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00"/>
        <w:rPr>
          <w:color w:val="auto"/>
          <w:sz w:val="24"/>
          <w:szCs w:val="24"/>
        </w:rPr>
      </w:pPr>
    </w:p>
    <w:p>
      <w:pPr>
        <w:pStyle w:val="style0"/>
        <w:spacing w:lineRule="exact" w:line="212"/>
        <w:rPr>
          <w:color w:val="auto"/>
          <w:sz w:val="24"/>
          <w:szCs w:val="24"/>
        </w:rPr>
      </w:pPr>
    </w:p>
    <w:p>
      <w:pPr>
        <w:pStyle w:val="style0"/>
        <w:spacing w:lineRule="exact" w:line="594"/>
        <w:ind w:right="6"/>
        <w:jc w:val="center"/>
        <w:rPr>
          <w:color w:val="auto"/>
          <w:sz w:val="20"/>
          <w:szCs w:val="20"/>
        </w:rPr>
      </w:pPr>
      <w:r>
        <w:rPr>
          <w:rFonts w:ascii="黑体" w:cs="黑体" w:eastAsia="黑体" w:hAnsi="黑体"/>
          <w:color w:val="auto"/>
          <w:sz w:val="52"/>
          <w:szCs w:val="52"/>
        </w:rPr>
        <w:t>生产建设项目水土保持设施</w:t>
      </w:r>
    </w:p>
    <w:p>
      <w:pPr>
        <w:pStyle w:val="style0"/>
        <w:spacing w:lineRule="exact" w:line="289"/>
        <w:rPr>
          <w:color w:val="auto"/>
          <w:sz w:val="24"/>
          <w:szCs w:val="24"/>
        </w:rPr>
      </w:pPr>
    </w:p>
    <w:p>
      <w:pPr>
        <w:pStyle w:val="style0"/>
        <w:spacing w:lineRule="exact" w:line="959"/>
        <w:ind w:right="-13"/>
        <w:jc w:val="center"/>
        <w:rPr>
          <w:rFonts w:ascii="仿宋" w:eastAsia="仿宋" w:hAnsi="仿宋"/>
          <w:b/>
          <w:color w:val="auto"/>
          <w:sz w:val="20"/>
          <w:szCs w:val="20"/>
        </w:rPr>
      </w:pPr>
      <w:r>
        <w:rPr>
          <w:rFonts w:ascii="仿宋" w:cs="宋体" w:eastAsia="仿宋" w:hAnsi="仿宋"/>
          <w:b/>
          <w:color w:val="auto"/>
          <w:sz w:val="84"/>
          <w:szCs w:val="84"/>
        </w:rPr>
        <w:t>验收鉴定书</w:t>
      </w: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500"/>
        <w:ind w:right="-11"/>
        <w:jc w:val="center"/>
        <w:rPr>
          <w:rFonts w:ascii="黑体" w:cs="黑体" w:eastAsia="黑体" w:hAnsi="黑体"/>
          <w:color w:val="auto"/>
          <w:sz w:val="28"/>
          <w:szCs w:val="28"/>
        </w:rPr>
      </w:pPr>
    </w:p>
    <w:tbl>
      <w:tblPr>
        <w:tblStyle w:val="style154"/>
        <w:tblW w:w="7051" w:type="dxa"/>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7051"/>
      </w:tblGrid>
      <w:tr>
        <w:trPr/>
        <w:tc>
          <w:tcPr>
            <w:tcW w:w="7051" w:type="dxa"/>
            <w:tcBorders>
              <w:tl2br w:val="nil"/>
              <w:tr2bl w:val="nil"/>
            </w:tcBorders>
          </w:tcPr>
          <w:p>
            <w:pPr>
              <w:pStyle w:val="style0"/>
              <w:spacing w:lineRule="exact" w:line="600"/>
              <w:jc w:val="both"/>
              <w:rPr>
                <w:rFonts w:ascii="黑体" w:cs="黑体" w:eastAsia="黑体" w:hAnsi="黑体"/>
                <w:b/>
                <w:bCs/>
                <w:color w:val="auto"/>
                <w:sz w:val="28"/>
                <w:szCs w:val="28"/>
              </w:rPr>
            </w:pPr>
            <w:r>
              <w:rPr>
                <w:rFonts w:ascii="黑体" w:cs="黑体" w:eastAsia="黑体" w:hAnsi="黑体" w:hint="eastAsia"/>
                <w:color w:val="auto"/>
                <w:sz w:val="28"/>
                <w:szCs w:val="28"/>
              </w:rPr>
              <w:t>项 目 名 称</w:t>
            </w:r>
            <w:r>
              <w:rPr>
                <w:rFonts w:ascii="黑体" w:cs="黑体" w:eastAsia="黑体" w:hAnsi="黑体" w:hint="eastAsia"/>
                <w:b/>
                <w:bCs/>
                <w:color w:val="auto"/>
                <w:sz w:val="28"/>
                <w:szCs w:val="28"/>
              </w:rPr>
              <w:t xml:space="preserve">      木门家具生产线技改扩能项目     </w:t>
            </w:r>
          </w:p>
        </w:tc>
      </w:tr>
      <w:tr>
        <w:tblPrEx/>
        <w:trPr/>
        <w:tc>
          <w:tcPr>
            <w:tcW w:w="7051" w:type="dxa"/>
            <w:tcBorders>
              <w:tl2br w:val="nil"/>
              <w:tr2bl w:val="nil"/>
            </w:tcBorders>
          </w:tcPr>
          <w:p>
            <w:pPr>
              <w:pStyle w:val="style0"/>
              <w:spacing w:lineRule="exact" w:line="600"/>
              <w:jc w:val="both"/>
              <w:rPr>
                <w:rFonts w:ascii="黑体" w:cs="黑体" w:eastAsia="黑体" w:hAnsi="黑体"/>
                <w:b/>
                <w:bCs/>
                <w:color w:val="auto"/>
                <w:sz w:val="28"/>
                <w:szCs w:val="28"/>
              </w:rPr>
            </w:pPr>
            <w:r>
              <w:rPr>
                <w:rFonts w:ascii="黑体" w:cs="黑体" w:eastAsia="黑体" w:hAnsi="黑体" w:hint="eastAsia"/>
                <w:color w:val="auto"/>
                <w:sz w:val="28"/>
                <w:szCs w:val="28"/>
              </w:rPr>
              <mc:AlternateContent>
                <mc:Choice Requires="wps">
                  <w:drawing>
                    <wp:anchor distT="0" distB="0" distL="0" distR="0" simplePos="false" relativeHeight="3" behindDoc="false" locked="false" layoutInCell="true" allowOverlap="true">
                      <wp:simplePos x="0" y="0"/>
                      <wp:positionH relativeFrom="column">
                        <wp:posOffset>991235</wp:posOffset>
                      </wp:positionH>
                      <wp:positionV relativeFrom="paragraph">
                        <wp:posOffset>3810</wp:posOffset>
                      </wp:positionV>
                      <wp:extent cx="3414395" cy="0"/>
                      <wp:effectExtent l="0" t="0" r="0" b="0"/>
                      <wp:wrapNone/>
                      <wp:docPr id="1026" name="直接连接符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14395" cy="0"/>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26" filled="f" stroked="t" from="78.05pt,0.3pt" to="346.90002pt,0.3pt" style="position:absolute;z-index:3;mso-position-horizontal-relative:text;mso-position-vertical-relative:text;mso-width-relative:page;mso-height-relative:page;mso-wrap-distance-left:0.0pt;mso-wrap-distance-right:0.0pt;visibility:visible;">
                      <v:stroke joinstyle="miter" weight="0.5pt"/>
                      <v:fill/>
                    </v:line>
                  </w:pict>
                </mc:Fallback>
              </mc:AlternateContent>
            </w:r>
            <w:r>
              <w:rPr>
                <w:rFonts w:ascii="黑体" w:cs="黑体" w:eastAsia="黑体" w:hAnsi="黑体" w:hint="eastAsia"/>
                <w:color w:val="auto"/>
                <w:sz w:val="28"/>
                <w:szCs w:val="28"/>
              </w:rPr>
              <w:t xml:space="preserve">项 目 编 号    </w:t>
            </w:r>
            <w:r>
              <w:rPr>
                <w:rFonts w:ascii="黑体" w:cs="黑体" w:eastAsia="黑体" w:hAnsi="黑体" w:hint="eastAsia"/>
                <w:b/>
                <w:bCs/>
                <w:color w:val="auto"/>
                <w:sz w:val="28"/>
                <w:szCs w:val="28"/>
              </w:rPr>
              <w:t xml:space="preserve">广利技改投资备[20130625]0001号 </w:t>
            </w:r>
          </w:p>
        </w:tc>
      </w:tr>
      <w:tr>
        <w:tblPrEx/>
        <w:trPr/>
        <w:tc>
          <w:tcPr>
            <w:tcW w:w="7051" w:type="dxa"/>
            <w:tcBorders>
              <w:tl2br w:val="nil"/>
              <w:tr2bl w:val="nil"/>
            </w:tcBorders>
          </w:tcPr>
          <w:p>
            <w:pPr>
              <w:pStyle w:val="style0"/>
              <w:spacing w:lineRule="exact" w:line="600"/>
              <w:jc w:val="both"/>
              <w:rPr>
                <w:rFonts w:ascii="黑体" w:cs="黑体" w:eastAsia="黑体" w:hAnsi="黑体"/>
                <w:b/>
                <w:bCs/>
                <w:color w:val="auto"/>
                <w:sz w:val="28"/>
                <w:szCs w:val="28"/>
              </w:rPr>
            </w:pPr>
            <w:r>
              <w:rPr>
                <w:rFonts w:ascii="黑体" w:cs="黑体" w:eastAsia="黑体" w:hAnsi="黑体" w:hint="eastAsia"/>
                <w:color w:val="auto"/>
                <w:sz w:val="28"/>
                <w:szCs w:val="28"/>
              </w:rPr>
              <mc:AlternateContent>
                <mc:Choice Requires="wps">
                  <w:drawing>
                    <wp:anchor distT="0" distB="0" distL="0" distR="0" simplePos="false" relativeHeight="5" behindDoc="false" locked="false" layoutInCell="true" allowOverlap="true">
                      <wp:simplePos x="0" y="0"/>
                      <wp:positionH relativeFrom="column">
                        <wp:posOffset>1003300</wp:posOffset>
                      </wp:positionH>
                      <wp:positionV relativeFrom="paragraph">
                        <wp:posOffset>378460</wp:posOffset>
                      </wp:positionV>
                      <wp:extent cx="3402330" cy="6350"/>
                      <wp:effectExtent l="0" t="0" r="0" b="0"/>
                      <wp:wrapNone/>
                      <wp:docPr id="1027" name="直接连接符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402330" cy="6350"/>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27" filled="f" stroked="t" from="79.0pt,29.800001pt" to="346.9pt,30.300001pt" style="position:absolute;z-index:5;mso-position-horizontal-relative:text;mso-position-vertical-relative:text;mso-width-relative:page;mso-height-relative:page;mso-wrap-distance-left:0.0pt;mso-wrap-distance-right:0.0pt;visibility:visible;flip:y;">
                      <v:stroke joinstyle="miter" weight="0.5pt"/>
                      <v:fill/>
                    </v:line>
                  </w:pict>
                </mc:Fallback>
              </mc:AlternateContent>
            </w:r>
            <w:r>
              <w:rPr>
                <w:rFonts w:ascii="黑体" w:cs="黑体" w:eastAsia="黑体" w:hAnsi="黑体" w:hint="eastAsia"/>
                <w:color w:val="auto"/>
                <w:sz w:val="28"/>
                <w:szCs w:val="28"/>
              </w:rPr>
              <mc:AlternateContent>
                <mc:Choice Requires="wps">
                  <w:drawing>
                    <wp:anchor distT="0" distB="0" distL="0" distR="0" simplePos="false" relativeHeight="4" behindDoc="false" locked="false" layoutInCell="true" allowOverlap="true">
                      <wp:simplePos x="0" y="0"/>
                      <wp:positionH relativeFrom="column">
                        <wp:posOffset>993775</wp:posOffset>
                      </wp:positionH>
                      <wp:positionV relativeFrom="paragraph">
                        <wp:posOffset>2540</wp:posOffset>
                      </wp:positionV>
                      <wp:extent cx="3407409" cy="1270"/>
                      <wp:effectExtent l="0" t="0" r="0" b="0"/>
                      <wp:wrapNone/>
                      <wp:docPr id="1028" name="直接连接符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407409" cy="1270"/>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28" filled="f" stroked="t" from="78.25pt,0.2pt" to="346.55pt,0.3pt" style="position:absolute;z-index:4;mso-position-horizontal-relative:text;mso-position-vertical-relative:text;mso-width-relative:page;mso-height-relative:page;mso-wrap-distance-left:0.0pt;mso-wrap-distance-right:0.0pt;visibility:visible;flip:y;">
                      <v:stroke joinstyle="miter" weight="0.5pt"/>
                      <v:fill/>
                    </v:line>
                  </w:pict>
                </mc:Fallback>
              </mc:AlternateContent>
            </w:r>
            <w:r>
              <w:rPr>
                <w:rFonts w:ascii="黑体" w:cs="黑体" w:eastAsia="黑体" w:hAnsi="黑体" w:hint="eastAsia"/>
                <w:color w:val="auto"/>
                <w:sz w:val="28"/>
                <w:szCs w:val="28"/>
              </w:rPr>
              <w:t xml:space="preserve">建 设 地 点       </w:t>
            </w:r>
            <w:r>
              <w:rPr>
                <w:rFonts w:ascii="黑体" w:cs="黑体" w:eastAsia="黑体" w:hAnsi="黑体" w:hint="eastAsia"/>
                <w:b/>
                <w:bCs/>
                <w:color w:val="auto"/>
                <w:sz w:val="28"/>
                <w:szCs w:val="28"/>
              </w:rPr>
              <w:t xml:space="preserve">广元市利州区回龙河工业园       </w:t>
            </w:r>
          </w:p>
        </w:tc>
      </w:tr>
      <w:tr>
        <w:tblPrEx/>
        <w:trPr/>
        <w:tc>
          <w:tcPr>
            <w:tcW w:w="7051" w:type="dxa"/>
            <w:tcBorders>
              <w:tl2br w:val="nil"/>
              <w:tr2bl w:val="nil"/>
            </w:tcBorders>
          </w:tcPr>
          <w:p>
            <w:pPr>
              <w:pStyle w:val="style0"/>
              <w:spacing w:lineRule="exact" w:line="600"/>
              <w:jc w:val="both"/>
              <w:rPr>
                <w:rFonts w:ascii="黑体" w:cs="黑体" w:eastAsia="黑体" w:hAnsi="黑体"/>
                <w:b/>
                <w:bCs/>
                <w:color w:val="auto"/>
                <w:sz w:val="28"/>
                <w:szCs w:val="28"/>
              </w:rPr>
            </w:pPr>
            <w:r>
              <w:rPr>
                <w:rFonts w:ascii="黑体" w:cs="黑体" w:eastAsia="黑体" w:hAnsi="黑体" w:hint="eastAsia"/>
                <w:color w:val="auto"/>
                <w:sz w:val="28"/>
                <w:szCs w:val="28"/>
              </w:rPr>
              <mc:AlternateContent>
                <mc:Choice Requires="wps">
                  <w:drawing>
                    <wp:anchor distT="0" distB="0" distL="0" distR="0" simplePos="false" relativeHeight="6" behindDoc="false" locked="false" layoutInCell="true" allowOverlap="true">
                      <wp:simplePos x="0" y="0"/>
                      <wp:positionH relativeFrom="column">
                        <wp:posOffset>1025525</wp:posOffset>
                      </wp:positionH>
                      <wp:positionV relativeFrom="paragraph">
                        <wp:posOffset>378460</wp:posOffset>
                      </wp:positionV>
                      <wp:extent cx="3394075" cy="6984"/>
                      <wp:effectExtent l="0" t="0" r="0" b="0"/>
                      <wp:wrapNone/>
                      <wp:docPr id="1029" name="直接连接符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394075" cy="6984"/>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29" filled="f" stroked="t" from="80.75pt,29.800001pt" to="348.0pt,30.35pt" style="position:absolute;z-index:6;mso-position-horizontal-relative:text;mso-position-vertical-relative:text;mso-width-relative:page;mso-height-relative:page;mso-wrap-distance-left:0.0pt;mso-wrap-distance-right:0.0pt;visibility:visible;flip:y;">
                      <v:stroke joinstyle="miter" weight="0.5pt"/>
                      <v:fill/>
                    </v:line>
                  </w:pict>
                </mc:Fallback>
              </mc:AlternateContent>
            </w:r>
            <w:r>
              <w:rPr>
                <w:rFonts w:ascii="黑体" w:cs="黑体" w:eastAsia="黑体" w:hAnsi="黑体" w:hint="eastAsia"/>
                <w:color w:val="auto"/>
                <w:sz w:val="28"/>
                <w:szCs w:val="28"/>
              </w:rPr>
              <w:t xml:space="preserve">验 收 单 位         </w:t>
            </w:r>
            <w:r>
              <w:rPr>
                <w:rFonts w:ascii="黑体" w:cs="黑体" w:eastAsia="黑体" w:hAnsi="黑体" w:hint="eastAsia"/>
                <w:b/>
                <w:bCs/>
                <w:color w:val="auto"/>
                <w:sz w:val="28"/>
                <w:szCs w:val="28"/>
              </w:rPr>
              <w:t xml:space="preserve">四川兆宏木业有限公司                              </w:t>
            </w:r>
          </w:p>
        </w:tc>
      </w:tr>
    </w:tbl>
    <w:p>
      <w:pPr>
        <w:pStyle w:val="style0"/>
        <w:spacing w:lineRule="exact" w:line="500"/>
        <w:ind w:right="-11"/>
        <w:jc w:val="center"/>
        <w:rPr>
          <w:rFonts w:ascii="黑体" w:cs="黑体" w:eastAsia="黑体" w:hAnsi="黑体"/>
          <w:color w:val="auto"/>
          <w:sz w:val="28"/>
          <w:szCs w:val="28"/>
        </w:rPr>
      </w:pPr>
    </w:p>
    <w:p>
      <w:pPr>
        <w:pStyle w:val="style0"/>
        <w:spacing w:lineRule="exact" w:line="341"/>
        <w:ind w:right="-13"/>
        <w:jc w:val="center"/>
        <w:rPr>
          <w:rFonts w:ascii="黑体" w:cs="黑体" w:eastAsia="黑体" w:hAnsi="黑体"/>
          <w:color w:val="auto"/>
          <w:sz w:val="28"/>
          <w:szCs w:val="28"/>
        </w:rPr>
      </w:pPr>
    </w:p>
    <w:p>
      <w:pPr>
        <w:pStyle w:val="style0"/>
        <w:spacing w:lineRule="exact" w:line="600"/>
        <w:jc w:val="center"/>
        <w:rPr>
          <w:rFonts w:ascii="仿宋" w:cs="黑体" w:eastAsia="仿宋" w:hAnsi="仿宋"/>
          <w:color w:val="auto"/>
          <w:sz w:val="28"/>
          <w:szCs w:val="28"/>
        </w:rPr>
      </w:pPr>
      <w:r>
        <w:rPr>
          <w:rFonts w:eastAsia="仿宋"/>
          <w:bCs/>
          <w:color w:val="auto"/>
          <w:sz w:val="28"/>
          <w:szCs w:val="28"/>
        </w:rPr>
        <w:t>2020</w:t>
      </w:r>
      <w:r>
        <w:rPr>
          <w:rFonts w:ascii="仿宋" w:cs="黑体" w:eastAsia="仿宋" w:hAnsi="仿宋" w:hint="eastAsia"/>
          <w:color w:val="auto"/>
          <w:sz w:val="28"/>
          <w:szCs w:val="28"/>
        </w:rPr>
        <w:t xml:space="preserve"> 年</w:t>
      </w:r>
      <w:r>
        <w:rPr>
          <w:rFonts w:eastAsia="仿宋"/>
          <w:bCs/>
          <w:color w:val="auto"/>
          <w:sz w:val="28"/>
          <w:szCs w:val="28"/>
        </w:rPr>
        <w:t>0</w:t>
      </w:r>
      <w:r>
        <w:rPr>
          <w:rFonts w:eastAsia="仿宋" w:hint="eastAsia"/>
          <w:bCs/>
          <w:color w:val="auto"/>
          <w:sz w:val="28"/>
          <w:szCs w:val="28"/>
        </w:rPr>
        <w:t>6</w:t>
      </w:r>
      <w:r>
        <w:rPr>
          <w:rFonts w:ascii="仿宋" w:cs="黑体" w:eastAsia="仿宋" w:hAnsi="仿宋" w:hint="eastAsia"/>
          <w:color w:val="auto"/>
          <w:sz w:val="28"/>
          <w:szCs w:val="28"/>
        </w:rPr>
        <w:t>月02日</w:t>
      </w:r>
    </w:p>
    <w:p>
      <w:pPr>
        <w:pStyle w:val="style0"/>
        <w:spacing w:lineRule="exact" w:line="200"/>
        <w:rPr>
          <w:color w:val="auto"/>
          <w:sz w:val="24"/>
          <w:szCs w:val="24"/>
        </w:rPr>
      </w:pPr>
    </w:p>
    <w:p>
      <w:pPr>
        <w:pStyle w:val="style0"/>
        <w:rPr>
          <w:rFonts w:ascii="黑体" w:cs="黑体" w:eastAsia="黑体" w:hAnsi="黑体"/>
          <w:color w:val="auto"/>
          <w:sz w:val="30"/>
          <w:szCs w:val="30"/>
        </w:rPr>
      </w:pPr>
    </w:p>
    <w:p>
      <w:pPr>
        <w:pStyle w:val="style0"/>
        <w:jc w:val="both"/>
        <w:rPr>
          <w:rFonts w:ascii="仿宋" w:cs="仿宋" w:eastAsia="仿宋" w:hAnsi="仿宋"/>
          <w:color w:val="auto"/>
          <w:sz w:val="24"/>
          <w:szCs w:val="24"/>
        </w:rPr>
        <w:sectPr>
          <w:headerReference w:type="even" r:id="rId2"/>
          <w:headerReference w:type="default" r:id="rId3"/>
          <w:footerReference w:type="even" r:id="rId4"/>
          <w:footerReference w:type="default" r:id="rId5"/>
          <w:headerReference w:type="first" r:id="rId6"/>
          <w:pgSz w:w="11906" w:h="16838" w:orient="portrait"/>
          <w:pgMar w:top="1440" w:right="1800" w:bottom="1440" w:left="1800" w:header="851" w:footer="992" w:gutter="0"/>
          <w:cols w:space="425" w:num="1"/>
          <w:docGrid w:type="lines" w:linePitch="312" w:charSpace="0"/>
        </w:sectPr>
      </w:pPr>
    </w:p>
    <w:p>
      <w:pPr>
        <w:pStyle w:val="style0"/>
        <w:jc w:val="both"/>
        <w:rPr>
          <w:rFonts w:ascii="仿宋" w:cs="仿宋" w:eastAsia="仿宋" w:hAnsi="仿宋"/>
          <w:color w:val="auto"/>
          <w:sz w:val="28"/>
          <w:szCs w:val="28"/>
        </w:rPr>
      </w:pPr>
      <w:r>
        <w:rPr>
          <w:rFonts w:ascii="仿宋" w:cs="仿宋" w:eastAsia="仿宋" w:hAnsi="仿宋" w:hint="eastAsia"/>
          <w:color w:val="auto"/>
          <w:sz w:val="28"/>
          <w:szCs w:val="28"/>
        </w:rPr>
        <w:t>一、生产建设项目水土保持设施验收基本情况表</w:t>
      </w:r>
    </w:p>
    <w:p>
      <w:pPr>
        <w:pStyle w:val="style0"/>
        <w:spacing w:lineRule="exact" w:line="140"/>
        <w:rPr>
          <w:color w:val="auto"/>
          <w:sz w:val="20"/>
          <w:szCs w:val="20"/>
        </w:rPr>
      </w:pPr>
    </w:p>
    <w:tbl>
      <w:tblPr>
        <w:tblStyle w:val="style105"/>
        <w:tblW w:w="831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0" w:type="dxa"/>
          <w:left w:w="0" w:type="dxa"/>
          <w:bottom w:w="0" w:type="dxa"/>
          <w:right w:w="0" w:type="dxa"/>
        </w:tblCellMar>
      </w:tblPr>
      <w:tblGrid>
        <w:gridCol w:w="2163"/>
        <w:gridCol w:w="4111"/>
        <w:gridCol w:w="809"/>
        <w:gridCol w:w="1233"/>
      </w:tblGrid>
      <w:tr>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项目名称</w:t>
            </w:r>
          </w:p>
        </w:tc>
        <w:tc>
          <w:tcPr>
            <w:tcW w:w="4111"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木门家具生产线技改扩能项目</w:t>
            </w:r>
          </w:p>
        </w:tc>
        <w:tc>
          <w:tcPr>
            <w:tcW w:w="809"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行业</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类别</w:t>
            </w:r>
          </w:p>
        </w:tc>
        <w:tc>
          <w:tcPr>
            <w:tcW w:w="123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家具行业</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主管部门</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（或主要投资方）</w:t>
            </w:r>
          </w:p>
        </w:tc>
        <w:tc>
          <w:tcPr>
            <w:tcW w:w="4111"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四川兆宏木业有限公司</w:t>
            </w:r>
          </w:p>
        </w:tc>
        <w:tc>
          <w:tcPr>
            <w:tcW w:w="809"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项目</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性质</w:t>
            </w:r>
          </w:p>
        </w:tc>
        <w:tc>
          <w:tcPr>
            <w:tcW w:w="123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新建</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水土保持方案批复机关，文号及时间</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广元市水务局审批意见（报告表）</w:t>
            </w:r>
          </w:p>
          <w:p>
            <w:pPr>
              <w:pStyle w:val="style0"/>
              <w:jc w:val="center"/>
              <w:rPr>
                <w:rFonts w:ascii="仿宋" w:cs="仿宋" w:eastAsia="仿宋" w:hAnsi="仿宋"/>
                <w:color w:val="auto"/>
                <w:sz w:val="24"/>
                <w:szCs w:val="24"/>
              </w:rPr>
            </w:pPr>
            <w:r>
              <w:rPr>
                <w:rFonts w:cs="仿宋" w:eastAsia="仿宋" w:hint="eastAsia"/>
                <w:color w:val="auto"/>
                <w:sz w:val="24"/>
                <w:szCs w:val="24"/>
              </w:rPr>
              <w:t>2014</w:t>
            </w:r>
            <w:r>
              <w:rPr>
                <w:rFonts w:ascii="仿宋" w:cs="仿宋" w:eastAsia="仿宋" w:hAnsi="仿宋" w:hint="eastAsia"/>
                <w:color w:val="auto"/>
                <w:sz w:val="24"/>
                <w:szCs w:val="24"/>
              </w:rPr>
              <w:t>年</w:t>
            </w:r>
            <w:r>
              <w:rPr>
                <w:rFonts w:ascii="Times New Roman" w:cs="Times New Roman" w:eastAsia="仿宋" w:hAnsi="Times New Roman" w:hint="default"/>
                <w:color w:val="auto"/>
                <w:sz w:val="24"/>
                <w:szCs w:val="24"/>
              </w:rPr>
              <w:t>4</w:t>
            </w:r>
            <w:r>
              <w:rPr>
                <w:rFonts w:ascii="仿宋" w:cs="仿宋" w:eastAsia="仿宋" w:hAnsi="仿宋" w:hint="eastAsia"/>
                <w:color w:val="auto"/>
                <w:sz w:val="24"/>
                <w:szCs w:val="24"/>
              </w:rPr>
              <w:t>月</w:t>
            </w:r>
            <w:r>
              <w:rPr>
                <w:rFonts w:cs="仿宋" w:eastAsia="仿宋" w:hint="eastAsia"/>
                <w:color w:val="auto"/>
                <w:sz w:val="24"/>
                <w:szCs w:val="24"/>
              </w:rPr>
              <w:t>27</w:t>
            </w:r>
            <w:r>
              <w:rPr>
                <w:rFonts w:ascii="仿宋" w:cs="仿宋" w:eastAsia="仿宋" w:hAnsi="仿宋" w:hint="eastAsia"/>
                <w:color w:val="auto"/>
                <w:sz w:val="24"/>
                <w:szCs w:val="24"/>
              </w:rPr>
              <w:t>日</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水土保持方案变更批复机关，文号及时间</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水土保持初步设计批复机关，文号及时间</w:t>
            </w:r>
          </w:p>
        </w:tc>
        <w:tc>
          <w:tcPr>
            <w:tcW w:w="6153" w:type="dxa"/>
            <w:gridSpan w:val="3"/>
            <w:tcBorders>
              <w:tl2br w:val="nil"/>
              <w:tr2bl w:val="nil"/>
            </w:tcBorders>
            <w:vAlign w:val="center"/>
          </w:tcPr>
          <w:p>
            <w:pPr>
              <w:pStyle w:val="style0"/>
              <w:jc w:val="center"/>
              <w:rPr>
                <w:rFonts w:cs="仿宋" w:eastAsia="仿宋"/>
                <w:color w:val="auto"/>
                <w:sz w:val="24"/>
                <w:szCs w:val="24"/>
              </w:rPr>
            </w:pPr>
            <w:r>
              <w:rPr>
                <w:rFonts w:cs="仿宋" w:eastAsia="仿宋" w:hint="eastAsia"/>
                <w:color w:val="auto"/>
                <w:sz w:val="24"/>
                <w:szCs w:val="24"/>
              </w:rPr>
              <w:t>广元市规划管理处</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广规建审[</w:t>
            </w:r>
            <w:r>
              <w:rPr>
                <w:rFonts w:cs="仿宋" w:eastAsia="仿宋" w:hint="eastAsia"/>
                <w:color w:val="auto"/>
                <w:sz w:val="24"/>
                <w:szCs w:val="24"/>
              </w:rPr>
              <w:t>2014</w:t>
            </w:r>
            <w:r>
              <w:rPr>
                <w:rFonts w:ascii="仿宋" w:cs="仿宋" w:eastAsia="仿宋" w:hAnsi="仿宋" w:hint="eastAsia"/>
                <w:color w:val="auto"/>
                <w:sz w:val="24"/>
                <w:szCs w:val="24"/>
              </w:rPr>
              <w:t>]字第</w:t>
            </w:r>
            <w:r>
              <w:rPr>
                <w:rFonts w:cs="仿宋" w:eastAsia="仿宋" w:hint="eastAsia"/>
                <w:color w:val="auto"/>
                <w:sz w:val="24"/>
                <w:szCs w:val="24"/>
              </w:rPr>
              <w:t>025</w:t>
            </w:r>
            <w:r>
              <w:rPr>
                <w:rFonts w:ascii="仿宋" w:cs="仿宋" w:eastAsia="仿宋" w:hAnsi="仿宋" w:hint="eastAsia"/>
                <w:color w:val="auto"/>
                <w:sz w:val="24"/>
                <w:szCs w:val="24"/>
              </w:rPr>
              <w:t>号，</w:t>
            </w:r>
            <w:r>
              <w:rPr>
                <w:rFonts w:cs="仿宋" w:eastAsia="仿宋" w:hint="eastAsia"/>
                <w:color w:val="auto"/>
                <w:sz w:val="24"/>
                <w:szCs w:val="24"/>
              </w:rPr>
              <w:t>2014</w:t>
            </w:r>
            <w:r>
              <w:rPr>
                <w:rFonts w:ascii="仿宋" w:cs="仿宋" w:eastAsia="仿宋" w:hAnsi="仿宋" w:hint="eastAsia"/>
                <w:color w:val="auto"/>
                <w:sz w:val="24"/>
                <w:szCs w:val="24"/>
              </w:rPr>
              <w:t>年</w:t>
            </w:r>
            <w:r>
              <w:rPr>
                <w:rFonts w:cs="仿宋" w:eastAsia="仿宋" w:hint="eastAsia"/>
                <w:color w:val="auto"/>
                <w:sz w:val="24"/>
                <w:szCs w:val="24"/>
              </w:rPr>
              <w:t>3</w:t>
            </w:r>
            <w:r>
              <w:rPr>
                <w:rFonts w:ascii="仿宋" w:cs="仿宋" w:eastAsia="仿宋" w:hAnsi="仿宋" w:hint="eastAsia"/>
                <w:color w:val="auto"/>
                <w:sz w:val="24"/>
                <w:szCs w:val="24"/>
              </w:rPr>
              <w:t>月</w:t>
            </w:r>
            <w:r>
              <w:rPr>
                <w:rFonts w:cs="仿宋" w:eastAsia="仿宋" w:hint="eastAsia"/>
                <w:color w:val="auto"/>
                <w:sz w:val="24"/>
                <w:szCs w:val="24"/>
              </w:rPr>
              <w:t>25</w:t>
            </w:r>
            <w:r>
              <w:rPr>
                <w:rFonts w:ascii="仿宋" w:cs="仿宋" w:eastAsia="仿宋" w:hAnsi="仿宋" w:hint="eastAsia"/>
                <w:color w:val="auto"/>
                <w:sz w:val="24"/>
                <w:szCs w:val="24"/>
              </w:rPr>
              <w:t>日</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项目建设起止时间</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cs="仿宋" w:eastAsia="仿宋" w:hint="eastAsia"/>
                <w:color w:val="auto"/>
                <w:sz w:val="24"/>
                <w:szCs w:val="24"/>
              </w:rPr>
              <w:t>2014</w:t>
            </w:r>
            <w:r>
              <w:rPr>
                <w:rFonts w:ascii="仿宋" w:cs="仿宋" w:eastAsia="仿宋" w:hAnsi="仿宋" w:hint="eastAsia"/>
                <w:color w:val="auto"/>
                <w:sz w:val="24"/>
                <w:szCs w:val="24"/>
              </w:rPr>
              <w:t>年</w:t>
            </w:r>
            <w:r>
              <w:rPr>
                <w:rFonts w:cs="仿宋" w:eastAsia="仿宋" w:hint="eastAsia"/>
                <w:color w:val="auto"/>
                <w:sz w:val="24"/>
                <w:szCs w:val="24"/>
              </w:rPr>
              <w:t>07</w:t>
            </w:r>
            <w:r>
              <w:rPr>
                <w:rFonts w:ascii="仿宋" w:cs="仿宋" w:eastAsia="仿宋" w:hAnsi="仿宋" w:hint="eastAsia"/>
                <w:color w:val="auto"/>
                <w:sz w:val="24"/>
                <w:szCs w:val="24"/>
              </w:rPr>
              <w:t>月至</w:t>
            </w:r>
            <w:r>
              <w:rPr>
                <w:rFonts w:cs="仿宋" w:eastAsia="仿宋" w:hint="eastAsia"/>
                <w:color w:val="auto"/>
                <w:sz w:val="24"/>
                <w:szCs w:val="24"/>
              </w:rPr>
              <w:t>2014</w:t>
            </w:r>
            <w:r>
              <w:rPr>
                <w:rFonts w:ascii="仿宋" w:cs="仿宋" w:eastAsia="仿宋" w:hAnsi="仿宋" w:hint="eastAsia"/>
                <w:color w:val="auto"/>
                <w:sz w:val="24"/>
                <w:szCs w:val="24"/>
              </w:rPr>
              <w:t>年</w:t>
            </w:r>
            <w:r>
              <w:rPr>
                <w:rFonts w:cs="仿宋" w:eastAsia="仿宋" w:hint="eastAsia"/>
                <w:color w:val="auto"/>
                <w:sz w:val="24"/>
                <w:szCs w:val="24"/>
              </w:rPr>
              <w:t>12</w:t>
            </w:r>
            <w:r>
              <w:rPr>
                <w:rFonts w:ascii="仿宋" w:cs="仿宋" w:eastAsia="仿宋" w:hAnsi="仿宋" w:hint="eastAsia"/>
                <w:color w:val="auto"/>
                <w:sz w:val="24"/>
                <w:szCs w:val="24"/>
              </w:rPr>
              <w:t>月</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水土保持方案</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编制单位</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广元市利州区水利电力勘测设计队</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水土保持初步</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设计单位</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广元方园建筑设计有限公司</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监测单位</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监理单位</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 xml:space="preserve">四川兴景水利工程设计有限公司  </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施工单位</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四川兆宏木业有限公司</w:t>
            </w:r>
          </w:p>
        </w:tc>
      </w:tr>
      <w:tr>
        <w:tblPrEx/>
        <w:trPr>
          <w:trHeight w:val="987" w:hRule="atLeast"/>
        </w:trPr>
        <w:tc>
          <w:tcPr>
            <w:tcW w:w="2163" w:type="dxa"/>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水土保持设施验收</w:t>
            </w:r>
          </w:p>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报告编制单位</w:t>
            </w:r>
          </w:p>
        </w:tc>
        <w:tc>
          <w:tcPr>
            <w:tcW w:w="6153" w:type="dxa"/>
            <w:gridSpan w:val="3"/>
            <w:tcBorders>
              <w:tl2br w:val="nil"/>
              <w:tr2bl w:val="nil"/>
            </w:tcBorders>
            <w:vAlign w:val="center"/>
          </w:tcPr>
          <w:p>
            <w:pPr>
              <w:pStyle w:val="style0"/>
              <w:jc w:val="center"/>
              <w:rPr>
                <w:rFonts w:ascii="仿宋" w:cs="仿宋" w:eastAsia="仿宋" w:hAnsi="仿宋"/>
                <w:color w:val="auto"/>
                <w:sz w:val="24"/>
                <w:szCs w:val="24"/>
              </w:rPr>
            </w:pPr>
            <w:r>
              <w:rPr>
                <w:rFonts w:ascii="仿宋" w:cs="仿宋" w:eastAsia="仿宋" w:hAnsi="仿宋" w:hint="eastAsia"/>
                <w:color w:val="auto"/>
                <w:sz w:val="24"/>
                <w:szCs w:val="24"/>
              </w:rPr>
              <w:t>四川西韦工程建设有限责任公司</w:t>
            </w:r>
          </w:p>
        </w:tc>
      </w:tr>
    </w:tbl>
    <w:p>
      <w:pPr>
        <w:pStyle w:val="style0"/>
        <w:rPr>
          <w:rFonts w:eastAsia="黑体"/>
          <w:color w:val="auto"/>
          <w:sz w:val="20"/>
          <w:szCs w:val="20"/>
        </w:rPr>
      </w:pPr>
      <w:r>
        <w:rPr>
          <w:rFonts w:ascii="黑体" w:cs="黑体" w:eastAsia="黑体" w:hAnsi="黑体"/>
          <w:color w:val="auto"/>
          <w:sz w:val="30"/>
          <w:szCs w:val="30"/>
        </w:rPr>
        <w:br w:type="page"/>
      </w:r>
      <w:r>
        <w:rPr>
          <w:rFonts w:ascii="仿宋" w:cs="仿宋" w:eastAsia="仿宋" w:hAnsi="仿宋" w:hint="eastAsia"/>
          <w:color w:val="auto"/>
          <w:sz w:val="28"/>
          <w:szCs w:val="28"/>
        </w:rPr>
        <w:t>二、验收意见</w:t>
      </w:r>
    </w:p>
    <w:p>
      <w:pPr>
        <w:pStyle w:val="style0"/>
        <w:spacing w:lineRule="exact" w:line="20"/>
        <w:rPr>
          <w:color w:val="auto"/>
          <w:sz w:val="20"/>
          <w:szCs w:val="20"/>
        </w:rPr>
      </w:pPr>
    </w:p>
    <w:p>
      <w:pPr>
        <w:pStyle w:val="style0"/>
        <w:spacing w:lineRule="exact" w:line="20"/>
        <w:rPr>
          <w:color w:val="auto"/>
          <w:sz w:val="20"/>
          <w:szCs w:val="20"/>
        </w:rPr>
      </w:pPr>
    </w:p>
    <w:p>
      <w:pPr>
        <w:pStyle w:val="style0"/>
        <w:spacing w:lineRule="exact" w:line="500"/>
        <w:ind w:firstLine="400" w:firstLineChars="200"/>
        <w:rPr>
          <w:color w:val="auto"/>
        </w:rPr>
      </w:pPr>
      <w:r>
        <w:rPr>
          <w:color w:val="auto"/>
          <w:sz w:val="20"/>
        </w:rPr>
        <mc:AlternateContent>
          <mc:Choice Requires="wps">
            <w:drawing>
              <wp:anchor distT="0" distB="0" distL="0" distR="0" simplePos="false" relativeHeight="2" behindDoc="false" locked="false" layoutInCell="true" allowOverlap="true">
                <wp:simplePos x="0" y="0"/>
                <wp:positionH relativeFrom="margin">
                  <wp:posOffset>-34925</wp:posOffset>
                </wp:positionH>
                <wp:positionV relativeFrom="paragraph">
                  <wp:posOffset>5715</wp:posOffset>
                </wp:positionV>
                <wp:extent cx="5321300" cy="8414385"/>
                <wp:effectExtent l="6350" t="6350" r="6350" b="18415"/>
                <wp:wrapNone/>
                <wp:docPr id="1030" name="矩形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21300" cy="8414385"/>
                        </a:xfrm>
                        <a:prstGeom prst="rect"/>
                        <a:ln cmpd="sng" cap="flat" w="12700">
                          <a:solidFill>
                            <a:srgbClr val="000000"/>
                          </a:solidFill>
                          <a:prstDash val="solid"/>
                          <a:miter/>
                          <a:headEnd/>
                          <a:tailEnd/>
                        </a:ln>
                      </wps:spPr>
                      <wps:bodyPr>
                        <a:prstTxWarp prst="textNoShape"/>
                      </wps:bodyPr>
                    </wps:wsp>
                  </a:graphicData>
                </a:graphic>
              </wp:anchor>
            </w:drawing>
          </mc:Choice>
          <mc:Fallback>
            <w:pict>
              <v:rect id="1030" filled="f" stroked="t" style="position:absolute;margin-left:-2.75pt;margin-top:0.45pt;width:419.0pt;height:662.55pt;z-index:2;mso-position-horizontal-relative:margin;mso-position-vertical-relative:text;mso-width-relative:page;mso-height-relative:page;mso-wrap-distance-left:0.0pt;mso-wrap-distance-right:0.0pt;visibility:visible;">
                <v:stroke joinstyle="miter" weight="1.0pt"/>
                <v:fill/>
              </v:rect>
            </w:pict>
          </mc:Fallback>
        </mc:AlternateContent>
      </w:r>
      <w:r>
        <w:rPr>
          <w:rFonts w:ascii="仿宋" w:cs="仿宋" w:eastAsia="仿宋" w:hAnsi="仿宋" w:hint="eastAsia"/>
          <w:color w:val="auto"/>
          <w:sz w:val="28"/>
          <w:szCs w:val="28"/>
        </w:rPr>
        <w:t>根据水土保持法律法规和《开发建设项目水土设施验收管理办法》、《水利部关于进一步深化“放管服”改革全面加强水土保持监管的意见》（办水保〔</w:t>
      </w:r>
      <w:r>
        <w:rPr>
          <w:rFonts w:eastAsia="仿宋" w:hint="eastAsia"/>
          <w:color w:val="auto"/>
          <w:sz w:val="28"/>
          <w:szCs w:val="28"/>
        </w:rPr>
        <w:t>2019</w:t>
      </w:r>
      <w:r>
        <w:rPr>
          <w:rFonts w:ascii="仿宋" w:cs="仿宋" w:eastAsia="仿宋" w:hAnsi="仿宋" w:hint="eastAsia"/>
          <w:color w:val="auto"/>
          <w:sz w:val="28"/>
          <w:szCs w:val="28"/>
        </w:rPr>
        <w:t>〕</w:t>
      </w:r>
      <w:r>
        <w:rPr>
          <w:rFonts w:eastAsia="仿宋"/>
          <w:color w:val="auto"/>
          <w:sz w:val="28"/>
          <w:szCs w:val="28"/>
        </w:rPr>
        <w:t>1</w:t>
      </w:r>
      <w:r>
        <w:rPr>
          <w:rFonts w:eastAsia="仿宋" w:hint="eastAsia"/>
          <w:color w:val="auto"/>
          <w:sz w:val="28"/>
          <w:szCs w:val="28"/>
        </w:rPr>
        <w:t xml:space="preserve">60 </w:t>
      </w:r>
      <w:r>
        <w:rPr>
          <w:rFonts w:ascii="仿宋" w:cs="仿宋" w:eastAsia="仿宋" w:hAnsi="仿宋" w:hint="eastAsia"/>
          <w:color w:val="auto"/>
          <w:sz w:val="28"/>
          <w:szCs w:val="28"/>
        </w:rPr>
        <w:t>号）等要求，四川兆宏木业有限公司于</w:t>
      </w:r>
      <w:r>
        <w:rPr>
          <w:rFonts w:eastAsia="仿宋" w:hint="eastAsia"/>
          <w:color w:val="auto"/>
          <w:sz w:val="28"/>
          <w:szCs w:val="28"/>
        </w:rPr>
        <w:t>2020</w:t>
      </w:r>
      <w:r>
        <w:rPr>
          <w:rFonts w:ascii="仿宋" w:cs="仿宋" w:eastAsia="仿宋" w:hAnsi="仿宋" w:hint="eastAsia"/>
          <w:color w:val="auto"/>
          <w:sz w:val="28"/>
          <w:szCs w:val="28"/>
        </w:rPr>
        <w:t xml:space="preserve">年 </w:t>
      </w:r>
      <w:r>
        <w:rPr>
          <w:rFonts w:eastAsia="仿宋" w:hint="eastAsia"/>
          <w:color w:val="auto"/>
          <w:sz w:val="28"/>
          <w:szCs w:val="28"/>
        </w:rPr>
        <w:t>06</w:t>
      </w:r>
      <w:r>
        <w:rPr>
          <w:rFonts w:ascii="仿宋" w:cs="仿宋" w:eastAsia="仿宋" w:hAnsi="仿宋" w:hint="eastAsia"/>
          <w:color w:val="auto"/>
          <w:sz w:val="28"/>
          <w:szCs w:val="28"/>
        </w:rPr>
        <w:t>月</w:t>
      </w:r>
      <w:r>
        <w:rPr>
          <w:rFonts w:eastAsia="仿宋" w:hint="eastAsia"/>
          <w:color w:val="auto"/>
          <w:sz w:val="28"/>
          <w:szCs w:val="28"/>
        </w:rPr>
        <w:t>02</w:t>
      </w:r>
      <w:r>
        <w:rPr>
          <w:rFonts w:ascii="仿宋" w:cs="仿宋" w:eastAsia="仿宋" w:hAnsi="仿宋" w:hint="eastAsia"/>
          <w:color w:val="auto"/>
          <w:sz w:val="28"/>
          <w:szCs w:val="28"/>
        </w:rPr>
        <w:t>日在四川兆宏木业有限公司会议室主持召开了</w:t>
      </w:r>
      <w:r>
        <w:rPr>
          <w:rFonts w:ascii="仿宋" w:cs="仿宋" w:eastAsia="仿宋" w:hAnsi="仿宋" w:hint="eastAsia"/>
          <w:color w:val="auto"/>
          <w:sz w:val="28"/>
          <w:szCs w:val="28"/>
        </w:rPr>
        <w:t>木门家具生产线技改扩能项目</w:t>
      </w:r>
      <w:r>
        <w:rPr>
          <w:rFonts w:ascii="仿宋" w:cs="仿宋" w:eastAsia="仿宋" w:hAnsi="仿宋" w:hint="eastAsia"/>
          <w:color w:val="auto"/>
          <w:sz w:val="28"/>
          <w:szCs w:val="28"/>
        </w:rPr>
        <w:t>的水土保持设施竣工</w:t>
      </w:r>
      <w:r>
        <w:rPr>
          <w:rFonts w:ascii="仿宋" w:cs="仿宋" w:eastAsia="仿宋" w:hAnsi="仿宋" w:hint="eastAsia"/>
          <w:color w:val="auto"/>
          <w:sz w:val="28"/>
          <w:szCs w:val="28"/>
          <w:lang w:val="en-US" w:eastAsia="zh-CN"/>
        </w:rPr>
        <w:t>自主</w:t>
      </w:r>
      <w:r>
        <w:rPr>
          <w:rFonts w:ascii="仿宋" w:cs="仿宋" w:eastAsia="仿宋" w:hAnsi="仿宋" w:hint="eastAsia"/>
          <w:color w:val="auto"/>
          <w:sz w:val="28"/>
          <w:szCs w:val="28"/>
        </w:rPr>
        <w:t>验收会议。</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参加会议的有建设和施工单位四川兆宏木业有限公司，水土保持方案编制单位广元市利州区水利电力勘测设计队，水土保持设施验收</w:t>
      </w:r>
      <w:r>
        <w:rPr>
          <w:rFonts w:ascii="仿宋" w:cs="仿宋" w:eastAsia="仿宋" w:hAnsi="仿宋" w:hint="eastAsia"/>
          <w:color w:val="auto"/>
          <w:sz w:val="28"/>
          <w:szCs w:val="28"/>
          <w:lang w:val="en-US" w:eastAsia="zh-CN"/>
        </w:rPr>
        <w:t>报告</w:t>
      </w:r>
      <w:r>
        <w:rPr>
          <w:rFonts w:ascii="仿宋" w:cs="仿宋" w:eastAsia="仿宋" w:hAnsi="仿宋" w:hint="eastAsia"/>
          <w:color w:val="auto"/>
          <w:sz w:val="28"/>
          <w:szCs w:val="28"/>
        </w:rPr>
        <w:t>编制单位四川西韦工程建设有限责任公司，水土保持监理单位四川兴景水利工程设计有限公司以及特邀省级水土保持专家共计</w:t>
      </w:r>
      <w:r>
        <w:rPr>
          <w:rFonts w:hint="eastAsia"/>
          <w:color w:val="auto"/>
          <w:sz w:val="28"/>
          <w:szCs w:val="28"/>
        </w:rPr>
        <w:t>5</w:t>
      </w:r>
      <w:r>
        <w:rPr>
          <w:rFonts w:ascii="仿宋" w:cs="仿宋" w:eastAsia="仿宋" w:hAnsi="仿宋" w:hint="eastAsia"/>
          <w:color w:val="auto"/>
          <w:sz w:val="28"/>
          <w:szCs w:val="28"/>
        </w:rPr>
        <w:t>位参会代表，会议成立了验收组（验收名单附后）。</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lang w:val="en-US" w:eastAsia="zh-CN"/>
        </w:rPr>
        <w:t>验收会议上，</w:t>
      </w:r>
      <w:r>
        <w:rPr>
          <w:rFonts w:ascii="仿宋" w:cs="仿宋" w:eastAsia="仿宋" w:hAnsi="仿宋" w:hint="eastAsia"/>
          <w:color w:val="auto"/>
          <w:sz w:val="28"/>
          <w:szCs w:val="28"/>
        </w:rPr>
        <w:t>验收组</w:t>
      </w:r>
      <w:r>
        <w:rPr>
          <w:rFonts w:ascii="仿宋" w:cs="仿宋" w:eastAsia="仿宋" w:hAnsi="仿宋" w:hint="eastAsia"/>
          <w:color w:val="auto"/>
          <w:sz w:val="28"/>
          <w:szCs w:val="28"/>
          <w:lang w:val="en-US" w:eastAsia="zh-CN"/>
        </w:rPr>
        <w:t>成员观</w:t>
      </w:r>
      <w:r>
        <w:rPr>
          <w:rFonts w:ascii="仿宋" w:cs="仿宋" w:eastAsia="仿宋" w:hAnsi="仿宋" w:hint="eastAsia"/>
          <w:color w:val="auto"/>
          <w:sz w:val="28"/>
          <w:szCs w:val="28"/>
        </w:rPr>
        <w:t>看了</w:t>
      </w:r>
      <w:r>
        <w:rPr>
          <w:rFonts w:ascii="仿宋" w:cs="仿宋" w:eastAsia="仿宋" w:hAnsi="仿宋" w:hint="eastAsia"/>
          <w:color w:val="auto"/>
          <w:sz w:val="28"/>
          <w:szCs w:val="28"/>
          <w:lang w:val="en-US" w:eastAsia="zh-CN"/>
        </w:rPr>
        <w:t>项目建设</w:t>
      </w:r>
      <w:r>
        <w:rPr>
          <w:rFonts w:ascii="仿宋" w:cs="仿宋" w:eastAsia="仿宋" w:hAnsi="仿宋" w:hint="eastAsia"/>
          <w:color w:val="auto"/>
          <w:sz w:val="28"/>
          <w:szCs w:val="28"/>
        </w:rPr>
        <w:t>现场</w:t>
      </w:r>
      <w:r>
        <w:rPr>
          <w:rFonts w:ascii="仿宋" w:cs="仿宋" w:eastAsia="仿宋" w:hAnsi="仿宋" w:hint="eastAsia"/>
          <w:color w:val="auto"/>
          <w:sz w:val="28"/>
          <w:szCs w:val="28"/>
          <w:lang w:val="en-US" w:eastAsia="zh-CN"/>
        </w:rPr>
        <w:t>图片，认真听取了相关单位有关木门家具生产线技改扩能项目水土保持建设情况</w:t>
      </w:r>
      <w:r>
        <w:rPr>
          <w:rFonts w:ascii="仿宋" w:cs="仿宋" w:eastAsia="仿宋" w:hAnsi="仿宋" w:hint="eastAsia"/>
          <w:color w:val="auto"/>
          <w:sz w:val="28"/>
          <w:szCs w:val="28"/>
        </w:rPr>
        <w:t>，</w:t>
      </w:r>
      <w:r>
        <w:rPr>
          <w:rFonts w:ascii="仿宋" w:cs="仿宋" w:eastAsia="仿宋" w:hAnsi="仿宋" w:hint="eastAsia"/>
          <w:color w:val="auto"/>
          <w:sz w:val="28"/>
          <w:szCs w:val="28"/>
          <w:lang w:val="en-US" w:eastAsia="zh-CN"/>
        </w:rPr>
        <w:t>经</w:t>
      </w:r>
      <w:r>
        <w:rPr>
          <w:rFonts w:ascii="仿宋" w:cs="仿宋" w:eastAsia="仿宋" w:hAnsi="仿宋" w:hint="eastAsia"/>
          <w:color w:val="auto"/>
          <w:sz w:val="28"/>
          <w:szCs w:val="28"/>
        </w:rPr>
        <w:t>质询</w:t>
      </w:r>
      <w:r>
        <w:rPr>
          <w:rFonts w:ascii="仿宋" w:cs="仿宋" w:eastAsia="仿宋" w:hAnsi="仿宋" w:hint="eastAsia"/>
          <w:color w:val="auto"/>
          <w:sz w:val="28"/>
          <w:szCs w:val="28"/>
          <w:lang w:eastAsia="zh-CN"/>
        </w:rPr>
        <w:t>、</w:t>
      </w:r>
      <w:r>
        <w:rPr>
          <w:rFonts w:ascii="仿宋" w:cs="仿宋" w:eastAsia="仿宋" w:hAnsi="仿宋" w:hint="eastAsia"/>
          <w:color w:val="auto"/>
          <w:sz w:val="28"/>
          <w:szCs w:val="28"/>
          <w:lang w:val="en-US" w:eastAsia="zh-CN"/>
        </w:rPr>
        <w:t>交流和</w:t>
      </w:r>
      <w:r>
        <w:rPr>
          <w:rFonts w:ascii="仿宋" w:cs="仿宋" w:eastAsia="仿宋" w:hAnsi="仿宋" w:hint="eastAsia"/>
          <w:color w:val="auto"/>
          <w:sz w:val="28"/>
          <w:szCs w:val="28"/>
        </w:rPr>
        <w:t>讨论，形成验收意见如下：</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（一）项目概况</w:t>
      </w:r>
    </w:p>
    <w:p>
      <w:pPr>
        <w:pStyle w:val="style0"/>
        <w:spacing w:lineRule="exact" w:line="500"/>
        <w:ind w:firstLine="560" w:firstLineChars="200"/>
        <w:rPr>
          <w:rFonts w:ascii="仿宋" w:cs="仿宋" w:eastAsia="仿宋" w:hAnsi="仿宋" w:hint="eastAsia"/>
          <w:color w:val="auto"/>
          <w:sz w:val="28"/>
          <w:szCs w:val="28"/>
        </w:rPr>
      </w:pPr>
      <w:r>
        <w:rPr>
          <w:rFonts w:ascii="仿宋" w:cs="仿宋" w:eastAsia="仿宋" w:hAnsi="仿宋" w:hint="eastAsia"/>
          <w:color w:val="auto"/>
          <w:sz w:val="28"/>
          <w:szCs w:val="28"/>
        </w:rPr>
        <w:t>本项目建设地点位于广元市利州区回龙河工业园内。</w:t>
      </w:r>
    </w:p>
    <w:p>
      <w:pPr>
        <w:pStyle w:val="style0"/>
        <w:spacing w:lineRule="exact" w:line="500"/>
        <w:ind w:firstLine="560" w:firstLineChars="200"/>
        <w:rPr>
          <w:rFonts w:ascii="仿宋" w:eastAsia="仿宋" w:hAnsi="仿宋"/>
          <w:color w:val="auto"/>
          <w:sz w:val="28"/>
          <w:szCs w:val="28"/>
        </w:rPr>
      </w:pPr>
      <w:r>
        <w:rPr>
          <w:rFonts w:ascii="仿宋" w:eastAsia="仿宋" w:hAnsi="仿宋" w:hint="eastAsia"/>
          <w:color w:val="auto"/>
          <w:sz w:val="28"/>
          <w:szCs w:val="28"/>
        </w:rPr>
        <w:t>项目由建构筑物工程一部分组成，项目新建内容包括生产车间、水泵房和门卫值班室</w:t>
      </w:r>
      <w:r>
        <w:rPr>
          <w:rFonts w:ascii="仿宋" w:eastAsia="仿宋" w:hAnsi="仿宋" w:hint="eastAsia"/>
          <w:color w:val="auto"/>
          <w:sz w:val="28"/>
          <w:szCs w:val="28"/>
          <w:lang w:val="en-US" w:eastAsia="zh-CN"/>
        </w:rPr>
        <w:t>等</w:t>
      </w:r>
      <w:r>
        <w:rPr>
          <w:rFonts w:ascii="仿宋" w:eastAsia="仿宋" w:hAnsi="仿宋" w:hint="eastAsia"/>
          <w:color w:val="auto"/>
          <w:sz w:val="28"/>
          <w:szCs w:val="28"/>
        </w:rPr>
        <w:t>。</w:t>
      </w:r>
    </w:p>
    <w:p>
      <w:pPr>
        <w:pStyle w:val="style0"/>
        <w:autoSpaceDE w:val="false"/>
        <w:spacing w:lineRule="exact" w:line="500"/>
        <w:ind w:firstLine="560" w:firstLineChars="200"/>
        <w:rPr>
          <w:rFonts w:ascii="仿宋" w:eastAsia="仿宋" w:hAnsi="仿宋" w:hint="eastAsia"/>
          <w:color w:val="auto"/>
          <w:sz w:val="28"/>
          <w:szCs w:val="28"/>
        </w:rPr>
      </w:pPr>
      <w:r>
        <w:rPr>
          <w:rFonts w:ascii="仿宋" w:eastAsia="仿宋" w:hAnsi="仿宋" w:hint="eastAsia"/>
          <w:color w:val="auto"/>
          <w:sz w:val="28"/>
          <w:szCs w:val="28"/>
        </w:rPr>
        <w:t>项目总用地面积</w:t>
      </w:r>
      <w:r>
        <w:rPr>
          <w:rFonts w:eastAsia="仿宋" w:hint="eastAsia"/>
          <w:color w:val="auto"/>
          <w:sz w:val="28"/>
          <w:szCs w:val="28"/>
        </w:rPr>
        <w:t>3675.32m</w:t>
      </w:r>
      <w:r>
        <w:rPr>
          <w:rFonts w:eastAsia="仿宋" w:hint="eastAsia"/>
          <w:color w:val="auto"/>
          <w:sz w:val="28"/>
          <w:szCs w:val="28"/>
          <w:vertAlign w:val="superscript"/>
        </w:rPr>
        <w:t>2</w:t>
      </w:r>
      <w:r>
        <w:rPr>
          <w:rFonts w:ascii="仿宋" w:eastAsia="仿宋" w:hAnsi="仿宋" w:hint="eastAsia"/>
          <w:color w:val="auto"/>
          <w:sz w:val="28"/>
          <w:szCs w:val="28"/>
        </w:rPr>
        <w:t>，全部为永久占地。</w:t>
      </w:r>
    </w:p>
    <w:p>
      <w:pPr>
        <w:pStyle w:val="style0"/>
        <w:autoSpaceDE w:val="false"/>
        <w:spacing w:lineRule="exact" w:line="500"/>
        <w:ind w:firstLine="560" w:firstLineChars="200"/>
        <w:rPr>
          <w:rFonts w:eastAsia="仿宋" w:hint="eastAsia"/>
          <w:color w:val="auto"/>
          <w:sz w:val="28"/>
          <w:szCs w:val="28"/>
        </w:rPr>
      </w:pPr>
      <w:r>
        <w:rPr>
          <w:rFonts w:ascii="仿宋" w:eastAsia="仿宋" w:hAnsi="仿宋" w:hint="eastAsia"/>
          <w:color w:val="auto"/>
          <w:sz w:val="28"/>
          <w:szCs w:val="28"/>
        </w:rPr>
        <w:t>项目总建筑面积</w:t>
      </w:r>
      <w:r>
        <w:rPr>
          <w:rFonts w:eastAsia="仿宋" w:hint="eastAsia"/>
          <w:color w:val="auto"/>
          <w:sz w:val="28"/>
          <w:szCs w:val="28"/>
          <w:lang w:val="en-US" w:eastAsia="zh-CN"/>
        </w:rPr>
        <w:t>3675.32</w:t>
      </w:r>
      <w:r>
        <w:rPr>
          <w:rFonts w:eastAsia="仿宋" w:hint="eastAsia"/>
          <w:color w:val="auto"/>
          <w:sz w:val="28"/>
          <w:szCs w:val="28"/>
        </w:rPr>
        <w:t>m</w:t>
      </w:r>
      <w:r>
        <w:rPr>
          <w:rFonts w:eastAsia="仿宋" w:hint="eastAsia"/>
          <w:color w:val="auto"/>
          <w:sz w:val="28"/>
          <w:szCs w:val="28"/>
          <w:vertAlign w:val="superscript"/>
        </w:rPr>
        <w:t>2</w:t>
      </w:r>
      <w:r>
        <w:rPr>
          <w:rFonts w:ascii="仿宋" w:eastAsia="仿宋" w:hAnsi="仿宋" w:hint="eastAsia"/>
          <w:color w:val="auto"/>
          <w:sz w:val="28"/>
          <w:szCs w:val="28"/>
        </w:rPr>
        <w:t>，其中：</w:t>
      </w:r>
      <w:r>
        <w:rPr>
          <w:rFonts w:eastAsia="仿宋" w:hint="eastAsia"/>
          <w:color w:val="auto"/>
          <w:sz w:val="28"/>
          <w:szCs w:val="28"/>
        </w:rPr>
        <w:t>1#</w:t>
      </w:r>
      <w:r>
        <w:rPr>
          <w:rFonts w:ascii="仿宋" w:eastAsia="仿宋" w:hAnsi="仿宋" w:hint="eastAsia"/>
          <w:color w:val="auto"/>
          <w:sz w:val="28"/>
          <w:szCs w:val="28"/>
        </w:rPr>
        <w:t>生产车间</w:t>
      </w:r>
      <w:r>
        <w:rPr>
          <w:rFonts w:eastAsia="仿宋" w:hint="eastAsia"/>
          <w:color w:val="auto"/>
          <w:sz w:val="28"/>
          <w:szCs w:val="28"/>
        </w:rPr>
        <w:t>2450.54m</w:t>
      </w:r>
      <w:r>
        <w:rPr>
          <w:rFonts w:eastAsia="仿宋" w:hint="eastAsia"/>
          <w:color w:val="auto"/>
          <w:sz w:val="28"/>
          <w:szCs w:val="28"/>
          <w:vertAlign w:val="superscript"/>
        </w:rPr>
        <w:t>2</w:t>
      </w:r>
      <w:r>
        <w:rPr>
          <w:rFonts w:ascii="仿宋" w:eastAsia="仿宋" w:hAnsi="仿宋" w:hint="eastAsia"/>
          <w:color w:val="auto"/>
          <w:sz w:val="28"/>
          <w:szCs w:val="28"/>
        </w:rPr>
        <w:t>、</w:t>
      </w:r>
      <w:r>
        <w:rPr>
          <w:rFonts w:eastAsia="仿宋" w:hint="eastAsia"/>
          <w:color w:val="auto"/>
          <w:sz w:val="28"/>
          <w:szCs w:val="28"/>
        </w:rPr>
        <w:t>2#</w:t>
      </w:r>
      <w:r>
        <w:rPr>
          <w:rFonts w:ascii="仿宋" w:eastAsia="仿宋" w:hAnsi="仿宋" w:hint="eastAsia"/>
          <w:color w:val="auto"/>
          <w:sz w:val="28"/>
          <w:szCs w:val="28"/>
        </w:rPr>
        <w:t>生产车间</w:t>
      </w:r>
      <w:r>
        <w:rPr>
          <w:rFonts w:eastAsia="仿宋" w:hint="eastAsia"/>
          <w:color w:val="auto"/>
          <w:sz w:val="28"/>
          <w:szCs w:val="28"/>
        </w:rPr>
        <w:t>1117.68m</w:t>
      </w:r>
      <w:r>
        <w:rPr>
          <w:rFonts w:eastAsia="仿宋" w:hint="eastAsia"/>
          <w:color w:val="auto"/>
          <w:sz w:val="28"/>
          <w:szCs w:val="28"/>
          <w:vertAlign w:val="superscript"/>
        </w:rPr>
        <w:t>2</w:t>
      </w:r>
      <w:r>
        <w:rPr>
          <w:rFonts w:ascii="仿宋" w:eastAsia="仿宋" w:hAnsi="仿宋" w:hint="eastAsia"/>
          <w:color w:val="auto"/>
          <w:sz w:val="28"/>
          <w:szCs w:val="28"/>
        </w:rPr>
        <w:t>，</w:t>
      </w:r>
      <w:r>
        <w:rPr>
          <w:rFonts w:eastAsia="仿宋" w:hint="eastAsia"/>
          <w:color w:val="auto"/>
          <w:sz w:val="28"/>
          <w:szCs w:val="28"/>
        </w:rPr>
        <w:t>3#</w:t>
      </w:r>
      <w:r>
        <w:rPr>
          <w:rFonts w:ascii="仿宋" w:eastAsia="仿宋" w:hAnsi="仿宋" w:hint="eastAsia"/>
          <w:color w:val="auto"/>
          <w:sz w:val="28"/>
          <w:szCs w:val="28"/>
        </w:rPr>
        <w:t>水泵房</w:t>
      </w:r>
      <w:r>
        <w:rPr>
          <w:rFonts w:eastAsia="仿宋" w:hint="eastAsia"/>
          <w:color w:val="auto"/>
          <w:sz w:val="28"/>
          <w:szCs w:val="28"/>
        </w:rPr>
        <w:t>82.06m</w:t>
      </w:r>
      <w:r>
        <w:rPr>
          <w:rFonts w:eastAsia="仿宋" w:hint="eastAsia"/>
          <w:color w:val="auto"/>
          <w:sz w:val="28"/>
          <w:szCs w:val="28"/>
          <w:vertAlign w:val="superscript"/>
        </w:rPr>
        <w:t>2</w:t>
      </w:r>
      <w:r>
        <w:rPr>
          <w:rFonts w:ascii="仿宋" w:eastAsia="仿宋" w:hAnsi="仿宋" w:hint="eastAsia"/>
          <w:color w:val="auto"/>
          <w:sz w:val="28"/>
          <w:szCs w:val="28"/>
        </w:rPr>
        <w:t>，</w:t>
      </w:r>
      <w:r>
        <w:rPr>
          <w:rFonts w:eastAsia="仿宋" w:hint="eastAsia"/>
          <w:color w:val="auto"/>
          <w:sz w:val="28"/>
          <w:szCs w:val="28"/>
        </w:rPr>
        <w:t>4#</w:t>
      </w:r>
      <w:r>
        <w:rPr>
          <w:rFonts w:ascii="仿宋" w:eastAsia="仿宋" w:hAnsi="仿宋" w:hint="eastAsia"/>
          <w:color w:val="auto"/>
          <w:sz w:val="28"/>
          <w:szCs w:val="28"/>
        </w:rPr>
        <w:t>门卫值班室</w:t>
      </w:r>
      <w:r>
        <w:rPr>
          <w:rFonts w:eastAsia="仿宋" w:hint="eastAsia"/>
          <w:color w:val="auto"/>
          <w:sz w:val="28"/>
          <w:szCs w:val="28"/>
        </w:rPr>
        <w:t>25.04m</w:t>
      </w:r>
      <w:r>
        <w:rPr>
          <w:rFonts w:eastAsia="仿宋" w:hint="eastAsia"/>
          <w:color w:val="auto"/>
          <w:sz w:val="28"/>
          <w:szCs w:val="28"/>
          <w:vertAlign w:val="superscript"/>
        </w:rPr>
        <w:t>2</w:t>
      </w:r>
      <w:r>
        <w:rPr>
          <w:rFonts w:ascii="仿宋" w:eastAsia="仿宋" w:hAnsi="仿宋" w:hint="eastAsia"/>
          <w:color w:val="auto"/>
          <w:sz w:val="28"/>
          <w:szCs w:val="28"/>
        </w:rPr>
        <w:t>。</w:t>
      </w:r>
      <w:r>
        <w:rPr>
          <w:rFonts w:ascii="仿宋" w:eastAsia="仿宋" w:hAnsi="仿宋" w:hint="eastAsia"/>
          <w:color w:val="auto"/>
          <w:sz w:val="28"/>
          <w:szCs w:val="28"/>
          <w:lang w:val="en-US" w:eastAsia="zh-CN"/>
        </w:rPr>
        <w:t>建筑基地面积</w:t>
      </w:r>
      <w:r>
        <w:rPr>
          <w:rFonts w:eastAsia="仿宋" w:hint="eastAsia"/>
          <w:color w:val="auto"/>
          <w:sz w:val="28"/>
          <w:szCs w:val="28"/>
          <w:lang w:val="en-US" w:eastAsia="zh-CN"/>
        </w:rPr>
        <w:t>3675.32</w:t>
      </w:r>
      <w:r>
        <w:rPr>
          <w:rFonts w:eastAsia="仿宋" w:hint="eastAsia"/>
          <w:color w:val="auto"/>
          <w:sz w:val="28"/>
          <w:szCs w:val="28"/>
        </w:rPr>
        <w:t>m</w:t>
      </w:r>
      <w:r>
        <w:rPr>
          <w:rFonts w:eastAsia="仿宋" w:hint="eastAsia"/>
          <w:color w:val="auto"/>
          <w:sz w:val="28"/>
          <w:szCs w:val="28"/>
          <w:vertAlign w:val="superscript"/>
        </w:rPr>
        <w:t>2</w:t>
      </w:r>
      <w:r>
        <w:rPr>
          <w:rFonts w:eastAsia="仿宋" w:hint="eastAsia"/>
          <w:color w:val="auto"/>
          <w:sz w:val="28"/>
          <w:szCs w:val="28"/>
          <w:vertAlign w:val="baseline"/>
          <w:lang w:eastAsia="zh-CN"/>
        </w:rPr>
        <w:t>，</w:t>
      </w:r>
      <w:r>
        <w:rPr>
          <w:rFonts w:eastAsia="仿宋" w:hint="eastAsia"/>
          <w:color w:val="auto"/>
          <w:sz w:val="28"/>
          <w:szCs w:val="28"/>
          <w:vertAlign w:val="baseline"/>
          <w:lang w:val="en-US" w:eastAsia="zh-CN"/>
        </w:rPr>
        <w:t>建筑密度为100%，容积率为1</w:t>
      </w:r>
      <w:r>
        <w:rPr>
          <w:rFonts w:ascii="仿宋" w:eastAsia="仿宋" w:hAnsi="仿宋" w:hint="eastAsia"/>
          <w:color w:val="auto"/>
          <w:sz w:val="28"/>
          <w:szCs w:val="28"/>
        </w:rPr>
        <w:t>。</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 xml:space="preserve">工程于 </w:t>
      </w:r>
      <w:r>
        <w:rPr>
          <w:rFonts w:cs="仿宋" w:eastAsia="仿宋" w:hint="eastAsia"/>
          <w:color w:val="auto"/>
          <w:sz w:val="28"/>
          <w:szCs w:val="28"/>
        </w:rPr>
        <w:t>2014</w:t>
      </w:r>
      <w:r>
        <w:rPr>
          <w:rFonts w:ascii="仿宋" w:cs="仿宋" w:eastAsia="仿宋" w:hAnsi="仿宋" w:hint="eastAsia"/>
          <w:color w:val="auto"/>
          <w:sz w:val="28"/>
          <w:szCs w:val="28"/>
        </w:rPr>
        <w:t>年</w:t>
      </w:r>
      <w:r>
        <w:rPr>
          <w:rFonts w:cs="仿宋" w:eastAsia="仿宋" w:hint="eastAsia"/>
          <w:color w:val="auto"/>
          <w:sz w:val="28"/>
          <w:szCs w:val="28"/>
        </w:rPr>
        <w:t>7</w:t>
      </w:r>
      <w:r>
        <w:rPr>
          <w:rFonts w:ascii="仿宋" w:cs="仿宋" w:eastAsia="仿宋" w:hAnsi="仿宋" w:hint="eastAsia"/>
          <w:color w:val="auto"/>
          <w:sz w:val="28"/>
          <w:szCs w:val="28"/>
        </w:rPr>
        <w:t>月开工，</w:t>
      </w:r>
      <w:r>
        <w:rPr>
          <w:rFonts w:ascii="仿宋" w:cs="仿宋" w:eastAsia="仿宋" w:hAnsi="仿宋" w:hint="eastAsia"/>
          <w:color w:val="auto"/>
          <w:sz w:val="28"/>
          <w:szCs w:val="28"/>
          <w:lang w:val="en-US" w:eastAsia="zh-CN"/>
        </w:rPr>
        <w:t>并于</w:t>
      </w:r>
      <w:r>
        <w:rPr>
          <w:rFonts w:cs="仿宋" w:eastAsia="仿宋" w:hint="eastAsia"/>
          <w:color w:val="auto"/>
          <w:sz w:val="28"/>
          <w:szCs w:val="28"/>
        </w:rPr>
        <w:t>2014</w:t>
      </w:r>
      <w:r>
        <w:rPr>
          <w:rFonts w:ascii="仿宋" w:cs="仿宋" w:eastAsia="仿宋" w:hAnsi="仿宋" w:hint="eastAsia"/>
          <w:color w:val="auto"/>
          <w:sz w:val="28"/>
          <w:szCs w:val="28"/>
        </w:rPr>
        <w:t>年</w:t>
      </w:r>
      <w:r>
        <w:rPr>
          <w:rFonts w:cs="仿宋" w:eastAsia="仿宋" w:hint="eastAsia"/>
          <w:color w:val="auto"/>
          <w:sz w:val="28"/>
          <w:szCs w:val="28"/>
        </w:rPr>
        <w:t>12</w:t>
      </w:r>
      <w:r>
        <w:rPr>
          <w:rFonts w:ascii="仿宋" w:cs="仿宋" w:eastAsia="仿宋" w:hAnsi="仿宋" w:hint="eastAsia"/>
          <w:color w:val="auto"/>
          <w:sz w:val="28"/>
          <w:szCs w:val="28"/>
        </w:rPr>
        <w:t>月竣工，建设总工期为</w:t>
      </w:r>
      <w:r>
        <w:rPr>
          <w:rFonts w:cs="仿宋" w:eastAsia="仿宋" w:hint="eastAsia"/>
          <w:color w:val="auto"/>
          <w:sz w:val="28"/>
          <w:szCs w:val="28"/>
        </w:rPr>
        <w:t>6</w:t>
      </w:r>
      <w:r>
        <w:rPr>
          <w:rFonts w:ascii="仿宋" w:cs="仿宋" w:eastAsia="仿宋" w:hAnsi="仿宋" w:hint="eastAsia"/>
          <w:color w:val="auto"/>
          <w:sz w:val="28"/>
          <w:szCs w:val="28"/>
        </w:rPr>
        <w:t>个月。项目总投资</w:t>
      </w:r>
      <w:r>
        <w:rPr>
          <w:rFonts w:cs="仿宋" w:eastAsia="仿宋" w:hint="eastAsia"/>
          <w:color w:val="auto"/>
          <w:sz w:val="28"/>
          <w:szCs w:val="28"/>
        </w:rPr>
        <w:t>1650</w:t>
      </w:r>
      <w:r>
        <w:rPr>
          <w:rFonts w:ascii="仿宋" w:cs="仿宋" w:eastAsia="仿宋" w:hAnsi="仿宋" w:hint="eastAsia"/>
          <w:color w:val="auto"/>
          <w:sz w:val="28"/>
          <w:szCs w:val="28"/>
        </w:rPr>
        <w:t>万元，其中</w:t>
      </w:r>
      <w:r>
        <w:rPr>
          <w:rFonts w:ascii="仿宋" w:cs="仿宋" w:eastAsia="仿宋" w:hAnsi="仿宋" w:hint="eastAsia"/>
          <w:color w:val="auto"/>
          <w:sz w:val="28"/>
          <w:szCs w:val="28"/>
          <w:lang w:eastAsia="zh-CN"/>
        </w:rPr>
        <w:t>：</w:t>
      </w:r>
      <w:r>
        <w:rPr>
          <w:rFonts w:ascii="仿宋" w:cs="仿宋" w:eastAsia="仿宋" w:hAnsi="仿宋" w:hint="eastAsia"/>
          <w:color w:val="auto"/>
          <w:sz w:val="28"/>
          <w:szCs w:val="28"/>
        </w:rPr>
        <w:t>土</w:t>
      </w:r>
      <w:r>
        <w:rPr>
          <w:rFonts w:ascii="仿宋" w:cs="仿宋" w:eastAsia="仿宋" w:hAnsi="仿宋" w:hint="eastAsia"/>
          <w:color w:val="auto"/>
          <w:sz w:val="28"/>
          <w:szCs w:val="28"/>
        </w:rPr>
        <w:t>建投资约</w:t>
      </w:r>
      <w:r>
        <w:rPr>
          <w:rFonts w:cs="仿宋" w:eastAsia="仿宋" w:hint="eastAsia"/>
          <w:color w:val="auto"/>
          <w:sz w:val="28"/>
          <w:szCs w:val="28"/>
        </w:rPr>
        <w:t>1237</w:t>
      </w:r>
      <w:r>
        <w:rPr>
          <w:rFonts w:ascii="仿宋" w:cs="仿宋" w:eastAsia="仿宋" w:hAnsi="仿宋" w:hint="eastAsia"/>
          <w:color w:val="auto"/>
          <w:sz w:val="28"/>
          <w:szCs w:val="28"/>
        </w:rPr>
        <w:t>万元</w:t>
      </w:r>
      <w:r>
        <w:rPr>
          <w:rFonts w:ascii="仿宋" w:cs="仿宋" w:eastAsia="仿宋" w:hAnsi="仿宋" w:hint="eastAsia"/>
          <w:color w:val="auto"/>
          <w:sz w:val="28"/>
          <w:szCs w:val="28"/>
          <w:lang w:eastAsia="zh-CN"/>
        </w:rPr>
        <w:t>；</w:t>
      </w:r>
      <w:r>
        <w:rPr>
          <w:rFonts w:ascii="仿宋" w:cs="仿宋" w:eastAsia="仿宋" w:hAnsi="仿宋" w:hint="eastAsia"/>
          <w:color w:val="auto"/>
          <w:sz w:val="28"/>
          <w:szCs w:val="28"/>
        </w:rPr>
        <w:t xml:space="preserve">资金来源于企业自筹。 </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（二）水土保持方案批复情况</w:t>
      </w:r>
    </w:p>
    <w:p>
      <w:pPr>
        <w:pStyle w:val="style0"/>
        <w:spacing w:lineRule="exact" w:line="500"/>
        <w:ind w:firstLine="400" w:firstLineChars="200"/>
        <w:rPr>
          <w:rFonts w:ascii="仿宋" w:cs="仿宋" w:eastAsia="仿宋" w:hAnsi="仿宋"/>
          <w:color w:val="auto"/>
          <w:sz w:val="28"/>
          <w:szCs w:val="28"/>
        </w:rPr>
      </w:pPr>
      <w:r>
        <w:rPr>
          <w:color w:val="auto"/>
          <w:sz w:val="20"/>
        </w:rPr>
        <mc:AlternateContent>
          <mc:Choice Requires="wps">
            <w:drawing>
              <wp:anchor distT="0" distB="0" distL="0" distR="0" simplePos="false" relativeHeight="7" behindDoc="false" locked="false" layoutInCell="true" allowOverlap="true">
                <wp:simplePos x="0" y="0"/>
                <wp:positionH relativeFrom="margin">
                  <wp:posOffset>635</wp:posOffset>
                </wp:positionH>
                <wp:positionV relativeFrom="paragraph">
                  <wp:posOffset>-1270</wp:posOffset>
                </wp:positionV>
                <wp:extent cx="5321300" cy="8867140"/>
                <wp:effectExtent l="6350" t="6350" r="6350" b="22860"/>
                <wp:wrapNone/>
                <wp:docPr id="1031" name="矩形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21300" cy="8867140"/>
                        </a:xfrm>
                        <a:prstGeom prst="rect"/>
                        <a:ln cmpd="sng" cap="flat" w="12700">
                          <a:solidFill>
                            <a:srgbClr val="000000"/>
                          </a:solidFill>
                          <a:prstDash val="solid"/>
                          <a:miter/>
                          <a:headEnd/>
                          <a:tailEnd/>
                        </a:ln>
                      </wps:spPr>
                      <wps:bodyPr>
                        <a:prstTxWarp prst="textNoShape"/>
                      </wps:bodyPr>
                    </wps:wsp>
                  </a:graphicData>
                </a:graphic>
              </wp:anchor>
            </w:drawing>
          </mc:Choice>
          <mc:Fallback>
            <w:pict>
              <v:rect id="1031" filled="f" stroked="t" style="position:absolute;margin-left:0.05pt;margin-top:-0.1pt;width:419.0pt;height:698.2pt;z-index:7;mso-position-horizontal-relative:margin;mso-position-vertical-relative:text;mso-width-relative:page;mso-height-relative:page;mso-wrap-distance-left:0.0pt;mso-wrap-distance-right:0.0pt;visibility:visible;">
                <v:stroke joinstyle="miter" weight="1.0pt"/>
                <v:fill/>
              </v:rect>
            </w:pict>
          </mc:Fallback>
        </mc:AlternateContent>
      </w:r>
      <w:r>
        <w:rPr>
          <w:rFonts w:cs="仿宋" w:eastAsia="仿宋" w:hint="eastAsia"/>
          <w:color w:val="auto"/>
          <w:sz w:val="28"/>
          <w:szCs w:val="28"/>
        </w:rPr>
        <w:t>2014年4月2日</w:t>
      </w:r>
      <w:r>
        <w:rPr>
          <w:rFonts w:ascii="仿宋" w:cs="仿宋" w:eastAsia="仿宋" w:hAnsi="仿宋" w:hint="eastAsia"/>
          <w:color w:val="auto"/>
          <w:sz w:val="28"/>
          <w:szCs w:val="28"/>
        </w:rPr>
        <w:t>，广元市利州区水利电力勘测设计队编制了本工程的水土保持方案报告表。</w:t>
      </w:r>
    </w:p>
    <w:p>
      <w:pPr>
        <w:pStyle w:val="style0"/>
        <w:spacing w:lineRule="exact" w:line="500"/>
        <w:ind w:firstLine="560" w:firstLineChars="200"/>
        <w:rPr>
          <w:rFonts w:cs="仿宋" w:eastAsia="仿宋"/>
          <w:color w:val="auto"/>
          <w:sz w:val="28"/>
          <w:szCs w:val="28"/>
        </w:rPr>
      </w:pPr>
      <w:r>
        <w:rPr>
          <w:rFonts w:cs="仿宋" w:eastAsia="仿宋" w:hint="eastAsia"/>
          <w:color w:val="auto"/>
          <w:sz w:val="28"/>
          <w:szCs w:val="28"/>
        </w:rPr>
        <w:t>2014年4月27日</w:t>
      </w:r>
      <w:r>
        <w:rPr>
          <w:rFonts w:ascii="仿宋" w:cs="仿宋" w:eastAsia="仿宋" w:hAnsi="仿宋" w:hint="eastAsia"/>
          <w:color w:val="auto"/>
          <w:sz w:val="28"/>
          <w:szCs w:val="28"/>
        </w:rPr>
        <w:t>广元市水务局签署了本工程水土保持方案报告表，批复的水土流失防治责任范围为</w:t>
      </w:r>
      <w:r>
        <w:rPr>
          <w:rFonts w:cs="仿宋" w:eastAsia="仿宋" w:hint="eastAsia"/>
          <w:color w:val="auto"/>
          <w:sz w:val="28"/>
          <w:szCs w:val="28"/>
        </w:rPr>
        <w:t>3675.32m</w:t>
      </w:r>
      <w:r>
        <w:rPr>
          <w:rFonts w:cs="仿宋" w:eastAsia="仿宋" w:hint="eastAsia"/>
          <w:color w:val="auto"/>
          <w:sz w:val="28"/>
          <w:szCs w:val="28"/>
          <w:vertAlign w:val="superscript"/>
        </w:rPr>
        <w:t>2</w:t>
      </w:r>
      <w:r>
        <w:rPr>
          <w:rFonts w:ascii="仿宋" w:cs="仿宋" w:eastAsia="仿宋" w:hAnsi="仿宋" w:hint="eastAsia"/>
          <w:color w:val="auto"/>
          <w:sz w:val="28"/>
          <w:szCs w:val="28"/>
        </w:rPr>
        <w:t>，其中：项目建设区</w:t>
      </w:r>
      <w:r>
        <w:rPr>
          <w:rFonts w:cs="仿宋" w:eastAsia="仿宋" w:hint="eastAsia"/>
          <w:color w:val="auto"/>
          <w:sz w:val="28"/>
          <w:szCs w:val="28"/>
        </w:rPr>
        <w:t>3675.32m</w:t>
      </w:r>
      <w:r>
        <w:rPr>
          <w:rFonts w:cs="仿宋" w:eastAsia="仿宋" w:hint="eastAsia"/>
          <w:color w:val="auto"/>
          <w:sz w:val="28"/>
          <w:szCs w:val="28"/>
          <w:vertAlign w:val="superscript"/>
        </w:rPr>
        <w:t>2</w:t>
      </w:r>
      <w:r>
        <w:rPr>
          <w:rFonts w:ascii="仿宋" w:cs="仿宋" w:eastAsia="仿宋" w:hAnsi="仿宋" w:hint="eastAsia"/>
          <w:color w:val="auto"/>
          <w:sz w:val="28"/>
          <w:szCs w:val="28"/>
        </w:rPr>
        <w:t>，直接影响区</w:t>
      </w:r>
      <w:r>
        <w:rPr>
          <w:rFonts w:cs="仿宋" w:eastAsia="仿宋" w:hint="eastAsia"/>
          <w:color w:val="auto"/>
          <w:sz w:val="28"/>
          <w:szCs w:val="28"/>
        </w:rPr>
        <w:t>0.00m</w:t>
      </w:r>
      <w:r>
        <w:rPr>
          <w:rFonts w:cs="仿宋" w:eastAsia="仿宋" w:hint="eastAsia"/>
          <w:color w:val="auto"/>
          <w:sz w:val="28"/>
          <w:szCs w:val="28"/>
          <w:vertAlign w:val="superscript"/>
        </w:rPr>
        <w:t>2</w:t>
      </w:r>
      <w:r>
        <w:rPr>
          <w:rFonts w:cs="仿宋" w:eastAsia="仿宋" w:hint="eastAsia"/>
          <w:color w:val="auto"/>
          <w:sz w:val="28"/>
          <w:szCs w:val="28"/>
        </w:rPr>
        <w:t>；项目土石开挖方为1654m</w:t>
      </w:r>
      <w:r>
        <w:rPr>
          <w:rFonts w:cs="仿宋" w:eastAsia="仿宋" w:hint="eastAsia"/>
          <w:color w:val="auto"/>
          <w:sz w:val="28"/>
          <w:szCs w:val="28"/>
          <w:vertAlign w:val="superscript"/>
        </w:rPr>
        <w:t>3</w:t>
      </w:r>
      <w:r>
        <w:rPr>
          <w:rFonts w:cs="仿宋" w:eastAsia="仿宋" w:hint="eastAsia"/>
          <w:color w:val="auto"/>
          <w:sz w:val="28"/>
          <w:szCs w:val="28"/>
        </w:rPr>
        <w:t>，回填利用方总量为1654m</w:t>
      </w:r>
      <w:r>
        <w:rPr>
          <w:rFonts w:cs="仿宋" w:eastAsia="仿宋" w:hint="eastAsia"/>
          <w:color w:val="auto"/>
          <w:sz w:val="28"/>
          <w:szCs w:val="28"/>
          <w:vertAlign w:val="superscript"/>
        </w:rPr>
        <w:t>3</w:t>
      </w:r>
      <w:r>
        <w:rPr>
          <w:rFonts w:cs="仿宋" w:eastAsia="仿宋" w:hint="eastAsia"/>
          <w:color w:val="auto"/>
          <w:sz w:val="28"/>
          <w:szCs w:val="28"/>
        </w:rPr>
        <w:t>，无借方，无弃方；水土</w:t>
      </w:r>
      <w:r>
        <w:rPr>
          <w:rFonts w:cs="仿宋" w:eastAsia="仿宋" w:hint="eastAsia"/>
          <w:color w:val="auto"/>
          <w:sz w:val="28"/>
          <w:szCs w:val="28"/>
          <w:lang w:val="en-US" w:eastAsia="zh-CN"/>
        </w:rPr>
        <w:t>保持</w:t>
      </w:r>
      <w:r>
        <w:rPr>
          <w:rFonts w:cs="仿宋" w:eastAsia="仿宋" w:hint="eastAsia"/>
          <w:color w:val="auto"/>
          <w:sz w:val="28"/>
          <w:szCs w:val="28"/>
        </w:rPr>
        <w:t>措施包括：永久排水系统（排水沟）504m；本工程水土保持总投资为35.19万元，其中主体工程设计中</w:t>
      </w:r>
      <w:bookmarkStart w:id="0" w:name="_GoBack"/>
      <w:bookmarkEnd w:id="0"/>
      <w:r>
        <w:rPr>
          <w:rFonts w:cs="仿宋" w:eastAsia="仿宋" w:hint="eastAsia"/>
          <w:color w:val="auto"/>
          <w:sz w:val="28"/>
          <w:szCs w:val="28"/>
        </w:rPr>
        <w:t>计列水土保持措施投资25.20万元，本方案水土保持新增投资为9.99万元。</w:t>
      </w:r>
    </w:p>
    <w:p>
      <w:pPr>
        <w:pStyle w:val="style0"/>
        <w:spacing w:lineRule="exact" w:line="500"/>
        <w:ind w:firstLine="560" w:firstLineChars="200"/>
        <w:rPr>
          <w:rFonts w:cs="仿宋" w:eastAsia="仿宋"/>
          <w:color w:val="auto"/>
          <w:sz w:val="28"/>
          <w:szCs w:val="28"/>
        </w:rPr>
      </w:pPr>
      <w:r>
        <w:rPr>
          <w:rFonts w:cs="仿宋" w:eastAsia="仿宋" w:hint="eastAsia"/>
          <w:color w:val="auto"/>
          <w:sz w:val="28"/>
          <w:szCs w:val="28"/>
        </w:rPr>
        <w:t>因项目未损坏水土保持设施面积，故本项目损坏水土保持设施补偿费为0万元。</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（三）水土保持初步设计或施工图设计情况</w:t>
      </w:r>
    </w:p>
    <w:p>
      <w:pPr>
        <w:pStyle w:val="style0"/>
        <w:spacing w:lineRule="exact" w:line="500"/>
        <w:ind w:firstLine="560" w:firstLineChars="200"/>
        <w:rPr>
          <w:rFonts w:ascii="仿宋" w:cs="仿宋" w:eastAsia="仿宋" w:hAnsi="仿宋"/>
          <w:color w:val="auto"/>
          <w:sz w:val="28"/>
          <w:szCs w:val="28"/>
        </w:rPr>
      </w:pPr>
      <w:r>
        <w:rPr>
          <w:rFonts w:cs="仿宋" w:eastAsia="仿宋" w:hint="eastAsia"/>
          <w:color w:val="auto"/>
          <w:sz w:val="28"/>
          <w:szCs w:val="28"/>
        </w:rPr>
        <w:t>本项目水土保持措施设计主要由水土保持施工图设计，其中水土保持施工图设计纳入主体设计并同主体工程一起进行审查、审批、招投标。主要完成的单位工程设计有防洪排导工程。</w:t>
      </w:r>
    </w:p>
    <w:p>
      <w:pPr>
        <w:pStyle w:val="style0"/>
        <w:numPr>
          <w:ilvl w:val="0"/>
          <w:numId w:val="1"/>
        </w:numPr>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水土保持监测情况</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工程项目规模小，</w:t>
      </w:r>
      <w:r>
        <w:rPr>
          <w:rFonts w:ascii="仿宋" w:cs="仿宋" w:eastAsia="仿宋" w:hAnsi="仿宋" w:hint="eastAsia"/>
          <w:color w:val="auto"/>
          <w:sz w:val="28"/>
          <w:szCs w:val="28"/>
          <w:lang w:val="en-US" w:eastAsia="zh-CN"/>
        </w:rPr>
        <w:t>建设单位自行开展了水土保持监测工作。</w:t>
      </w:r>
      <w:r>
        <w:rPr>
          <w:rFonts w:ascii="仿宋" w:cs="仿宋" w:eastAsia="仿宋" w:hAnsi="仿宋" w:hint="eastAsia"/>
          <w:color w:val="auto"/>
          <w:sz w:val="28"/>
          <w:szCs w:val="28"/>
        </w:rPr>
        <w:t>监测结</w:t>
      </w:r>
      <w:r>
        <w:rPr>
          <w:rFonts w:ascii="仿宋" w:cs="仿宋" w:eastAsia="仿宋" w:hAnsi="仿宋" w:hint="eastAsia"/>
          <w:color w:val="auto"/>
          <w:sz w:val="28"/>
          <w:szCs w:val="28"/>
          <w:lang w:val="en-US" w:eastAsia="zh-CN"/>
        </w:rPr>
        <w:t>果显示</w:t>
      </w:r>
      <w:r>
        <w:rPr>
          <w:rFonts w:ascii="仿宋" w:cs="仿宋" w:eastAsia="仿宋" w:hAnsi="仿宋" w:hint="eastAsia"/>
          <w:color w:val="auto"/>
          <w:sz w:val="28"/>
          <w:szCs w:val="28"/>
        </w:rPr>
        <w:t>：该工程落实了水土流失防治措施，较好的控制和减少了施工过程的水土流失，扰动土地整治率达到</w:t>
      </w:r>
      <w:r>
        <w:rPr>
          <w:rFonts w:cs="仿宋" w:eastAsia="仿宋" w:hint="eastAsia"/>
          <w:color w:val="auto"/>
          <w:sz w:val="28"/>
          <w:szCs w:val="28"/>
        </w:rPr>
        <w:t>100</w:t>
      </w:r>
      <w:r>
        <w:rPr>
          <w:rFonts w:ascii="仿宋" w:cs="仿宋" w:eastAsia="仿宋" w:hAnsi="仿宋" w:hint="eastAsia"/>
          <w:color w:val="auto"/>
          <w:sz w:val="28"/>
          <w:szCs w:val="28"/>
        </w:rPr>
        <w:t>%，水土流失总治理度达到</w:t>
      </w:r>
      <w:r>
        <w:rPr>
          <w:rFonts w:cs="仿宋" w:eastAsia="仿宋" w:hint="eastAsia"/>
          <w:color w:val="auto"/>
          <w:sz w:val="28"/>
          <w:szCs w:val="28"/>
        </w:rPr>
        <w:t>100</w:t>
      </w:r>
      <w:r>
        <w:rPr>
          <w:rFonts w:ascii="仿宋" w:cs="仿宋" w:eastAsia="仿宋" w:hAnsi="仿宋" w:hint="eastAsia"/>
          <w:color w:val="auto"/>
          <w:sz w:val="28"/>
          <w:szCs w:val="28"/>
        </w:rPr>
        <w:t>%，土壤流失控制比达到</w:t>
      </w:r>
      <w:r>
        <w:rPr>
          <w:rFonts w:cs="仿宋" w:eastAsia="仿宋" w:hint="eastAsia"/>
          <w:color w:val="auto"/>
          <w:sz w:val="28"/>
          <w:szCs w:val="28"/>
        </w:rPr>
        <w:t>1.02</w:t>
      </w:r>
      <w:r>
        <w:rPr>
          <w:rFonts w:ascii="仿宋" w:cs="仿宋" w:eastAsia="仿宋" w:hAnsi="仿宋" w:hint="eastAsia"/>
          <w:color w:val="auto"/>
          <w:sz w:val="28"/>
          <w:szCs w:val="28"/>
        </w:rPr>
        <w:t>，拦渣率达到</w:t>
      </w:r>
      <w:r>
        <w:rPr>
          <w:rFonts w:cs="仿宋" w:eastAsia="仿宋" w:hint="eastAsia"/>
          <w:color w:val="auto"/>
          <w:sz w:val="28"/>
          <w:szCs w:val="28"/>
        </w:rPr>
        <w:t>100</w:t>
      </w:r>
      <w:r>
        <w:rPr>
          <w:rFonts w:ascii="仿宋" w:cs="仿宋" w:eastAsia="仿宋" w:hAnsi="仿宋" w:hint="eastAsia"/>
          <w:color w:val="auto"/>
          <w:sz w:val="28"/>
          <w:szCs w:val="28"/>
        </w:rPr>
        <w:t>%，林草植被恢复率为</w:t>
      </w:r>
      <w:r>
        <w:rPr>
          <w:rFonts w:cs="仿宋" w:eastAsia="仿宋" w:hint="eastAsia"/>
          <w:color w:val="auto"/>
          <w:sz w:val="28"/>
          <w:szCs w:val="28"/>
        </w:rPr>
        <w:t>0</w:t>
      </w:r>
      <w:r>
        <w:rPr>
          <w:rFonts w:ascii="仿宋" w:cs="仿宋" w:eastAsia="仿宋" w:hAnsi="仿宋" w:hint="eastAsia"/>
          <w:color w:val="auto"/>
          <w:sz w:val="28"/>
          <w:szCs w:val="28"/>
        </w:rPr>
        <w:t>、林草覆盖率为</w:t>
      </w:r>
      <w:r>
        <w:rPr>
          <w:rFonts w:cs="仿宋" w:eastAsia="仿宋" w:hint="eastAsia"/>
          <w:color w:val="auto"/>
          <w:sz w:val="28"/>
          <w:szCs w:val="28"/>
        </w:rPr>
        <w:t>0。由于《木门家具生产线技改扩能项目水土保持方案报告表》防治责任范围仅包括建筑物占地范围，无林草种植条件，故方案设定的</w:t>
      </w:r>
      <w:r>
        <w:rPr>
          <w:rFonts w:ascii="仿宋" w:cs="仿宋" w:eastAsia="仿宋" w:hAnsi="仿宋" w:hint="eastAsia"/>
          <w:color w:val="auto"/>
          <w:sz w:val="28"/>
          <w:szCs w:val="28"/>
        </w:rPr>
        <w:t>林草植被恢复率和林草覆盖率为0。本项目基本达到批复的水土保持方案规定</w:t>
      </w:r>
      <w:r>
        <w:rPr>
          <w:rFonts w:ascii="仿宋" w:cs="仿宋" w:eastAsia="仿宋" w:hAnsi="仿宋" w:hint="eastAsia"/>
          <w:color w:val="auto"/>
          <w:sz w:val="28"/>
          <w:szCs w:val="28"/>
        </w:rPr>
        <w:t>的水土流失防治的目标值，项目建设期的水土流失总体上得到有效治理。其水土流失防治工作总体可行，落实</w:t>
      </w:r>
      <w:r>
        <w:rPr>
          <w:rFonts w:ascii="仿宋" w:cs="仿宋" w:eastAsia="仿宋" w:hAnsi="仿宋" w:hint="eastAsia"/>
          <w:color w:val="auto"/>
          <w:sz w:val="28"/>
          <w:szCs w:val="28"/>
          <w:lang w:val="en-US" w:eastAsia="zh-CN"/>
        </w:rPr>
        <w:t>了</w:t>
      </w:r>
      <w:r>
        <w:rPr>
          <w:rFonts w:ascii="仿宋" w:cs="仿宋" w:eastAsia="仿宋" w:hAnsi="仿宋" w:hint="eastAsia"/>
          <w:color w:val="auto"/>
          <w:sz w:val="28"/>
          <w:szCs w:val="28"/>
        </w:rPr>
        <w:t>水土保持设施管护工作，保证已建成水保措施发挥长期效益。</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（五）验收报告编制情况和主要结论</w:t>
      </w:r>
    </w:p>
    <w:p>
      <w:pPr>
        <w:pStyle w:val="style0"/>
        <w:spacing w:lineRule="exact" w:line="500"/>
        <w:ind w:firstLine="560" w:firstLineChars="200"/>
        <w:rPr>
          <w:rFonts w:ascii="仿宋" w:cs="仿宋" w:eastAsia="仿宋" w:hAnsi="仿宋"/>
          <w:color w:val="auto"/>
          <w:sz w:val="28"/>
          <w:szCs w:val="28"/>
        </w:rPr>
      </w:pPr>
      <w:r>
        <w:rPr>
          <w:rFonts w:cs="仿宋" w:eastAsia="仿宋" w:hint="eastAsia"/>
          <w:color w:val="auto"/>
          <w:sz w:val="28"/>
          <w:szCs w:val="28"/>
        </w:rPr>
        <w:t>验收报告编制单位对该项目水土保持设施进行了实地查勘和抽查，收集并查询设计、施工和监理等相关资料，在水土保持措施实施、效果及其工作程序满足批复的水土保持方案要求后，于2020</w:t>
      </w:r>
      <w:r>
        <w:rPr>
          <w:rFonts w:ascii="仿宋" w:cs="仿宋" w:eastAsia="仿宋" w:hAnsi="仿宋" w:hint="eastAsia"/>
          <w:color w:val="auto"/>
          <w:sz w:val="28"/>
          <w:szCs w:val="28"/>
        </w:rPr>
        <w:t xml:space="preserve"> 年 </w:t>
      </w:r>
      <w:r>
        <w:rPr>
          <w:rFonts w:cs="仿宋" w:eastAsia="仿宋" w:hint="eastAsia"/>
          <w:color w:val="auto"/>
          <w:sz w:val="28"/>
          <w:szCs w:val="28"/>
        </w:rPr>
        <w:t>06</w:t>
      </w:r>
      <w:r>
        <w:rPr>
          <w:rFonts w:ascii="仿宋" w:cs="仿宋" w:eastAsia="仿宋" w:hAnsi="仿宋" w:hint="eastAsia"/>
          <w:color w:val="auto"/>
          <w:sz w:val="28"/>
          <w:szCs w:val="28"/>
        </w:rPr>
        <w:t>月编制完成《</w:t>
      </w:r>
      <w:r>
        <w:rPr>
          <w:rFonts w:cs="仿宋" w:eastAsia="仿宋" w:hint="eastAsia"/>
          <w:color w:val="auto"/>
          <w:sz w:val="28"/>
          <w:szCs w:val="28"/>
        </w:rPr>
        <w:t>木门家具生产线技改扩能项目水土保持设施验收鉴定书</w:t>
      </w:r>
      <w:r>
        <w:rPr>
          <w:rFonts w:ascii="仿宋" w:cs="仿宋" w:eastAsia="仿宋" w:hAnsi="仿宋" w:hint="eastAsia"/>
          <w:color w:val="auto"/>
          <w:sz w:val="28"/>
          <w:szCs w:val="28"/>
        </w:rPr>
        <w:t>》。主要结论如下：</w:t>
      </w:r>
    </w:p>
    <w:p>
      <w:pPr>
        <w:pStyle w:val="style0"/>
        <w:numPr>
          <w:ilvl w:val="0"/>
          <w:numId w:val="0"/>
        </w:numPr>
        <w:spacing w:lineRule="exact" w:line="500"/>
        <w:ind w:firstLine="560" w:firstLineChars="200"/>
        <w:rPr>
          <w:rFonts w:cs="仿宋" w:eastAsia="仿宋"/>
          <w:color w:val="auto"/>
          <w:sz w:val="28"/>
          <w:szCs w:val="28"/>
        </w:rPr>
      </w:pPr>
      <w:r>
        <w:rPr>
          <w:rFonts w:ascii="仿宋" w:cs="仿宋" w:eastAsia="仿宋" w:hAnsi="仿宋" w:hint="eastAsia"/>
          <w:color w:val="auto"/>
          <w:sz w:val="28"/>
          <w:szCs w:val="28"/>
          <w:lang w:val="en-US" w:eastAsia="zh-CN"/>
        </w:rPr>
        <w:t>1、</w:t>
      </w:r>
      <w:r>
        <w:rPr>
          <w:rFonts w:ascii="仿宋" w:cs="仿宋" w:eastAsia="仿宋" w:hAnsi="仿宋" w:hint="eastAsia"/>
          <w:color w:val="auto"/>
          <w:sz w:val="28"/>
          <w:szCs w:val="28"/>
        </w:rPr>
        <w:t>经核定。该项目建设期实际防治责任范围为</w:t>
      </w:r>
      <w:r>
        <w:rPr>
          <w:rFonts w:cs="仿宋" w:eastAsia="仿宋" w:hint="eastAsia"/>
          <w:color w:val="auto"/>
          <w:sz w:val="28"/>
          <w:szCs w:val="28"/>
        </w:rPr>
        <w:t>3675.32m</w:t>
      </w:r>
      <w:r>
        <w:rPr>
          <w:rFonts w:cs="仿宋" w:eastAsia="仿宋" w:hint="eastAsia"/>
          <w:color w:val="auto"/>
          <w:sz w:val="28"/>
          <w:szCs w:val="28"/>
          <w:vertAlign w:val="superscript"/>
        </w:rPr>
        <w:t>2</w:t>
      </w:r>
      <w:r>
        <w:rPr>
          <w:rFonts w:cs="仿宋" w:eastAsia="仿宋" w:hint="eastAsia"/>
          <w:color w:val="auto"/>
          <w:sz w:val="28"/>
          <w:szCs w:val="28"/>
        </w:rPr>
        <w:t>；</w:t>
      </w:r>
    </w:p>
    <w:p>
      <w:pPr>
        <w:pStyle w:val="style0"/>
        <w:numPr>
          <w:ilvl w:val="0"/>
          <w:numId w:val="0"/>
        </w:numPr>
        <w:spacing w:lineRule="exact" w:line="500"/>
        <w:ind w:firstLine="560" w:firstLineChars="200"/>
        <w:rPr>
          <w:rFonts w:cs="仿宋" w:eastAsia="仿宋"/>
          <w:color w:val="auto"/>
          <w:sz w:val="28"/>
          <w:szCs w:val="28"/>
        </w:rPr>
      </w:pPr>
      <w:r>
        <w:rPr>
          <w:rFonts w:cs="仿宋" w:eastAsia="仿宋" w:hint="eastAsia"/>
          <w:color w:val="auto"/>
          <w:sz w:val="28"/>
          <w:szCs w:val="28"/>
          <w:lang w:val="en-US" w:eastAsia="zh-CN"/>
        </w:rPr>
        <w:t>2、</w:t>
      </w:r>
      <w:r>
        <w:rPr>
          <w:rFonts w:cs="仿宋" w:eastAsia="仿宋" w:hint="eastAsia"/>
          <w:color w:val="auto"/>
          <w:sz w:val="28"/>
          <w:szCs w:val="28"/>
        </w:rPr>
        <w:t>工程建设过程中，建设单位基本落实了水土保持方案编制的各项防治措施，完成的水土保持措施主要包括为：永久排水系统（排水沟）504m。经施工单位自评、监理单位复核、建设单位认定，水土保持措施施工质量总体合格。工程生产运行期间</w:t>
      </w:r>
      <w:r>
        <w:rPr>
          <w:rFonts w:cs="仿宋" w:eastAsia="仿宋" w:hint="eastAsia"/>
          <w:color w:val="auto"/>
          <w:sz w:val="28"/>
          <w:szCs w:val="28"/>
          <w:lang w:eastAsia="zh-CN"/>
        </w:rPr>
        <w:t>，</w:t>
      </w:r>
      <w:r>
        <w:rPr>
          <w:rFonts w:cs="仿宋" w:eastAsia="仿宋" w:hint="eastAsia"/>
          <w:color w:val="auto"/>
          <w:sz w:val="28"/>
          <w:szCs w:val="28"/>
        </w:rPr>
        <w:t>水土保持设施由建设单位管理维护。</w:t>
      </w:r>
    </w:p>
    <w:p>
      <w:pPr>
        <w:pStyle w:val="style0"/>
        <w:numPr>
          <w:ilvl w:val="0"/>
          <w:numId w:val="0"/>
        </w:numPr>
        <w:spacing w:lineRule="exact" w:line="500"/>
        <w:ind w:firstLine="560" w:firstLineChars="200"/>
        <w:rPr>
          <w:rFonts w:cs="仿宋" w:eastAsia="仿宋"/>
          <w:color w:val="auto"/>
          <w:sz w:val="28"/>
          <w:szCs w:val="28"/>
        </w:rPr>
      </w:pPr>
      <w:r>
        <w:rPr>
          <w:rFonts w:cs="仿宋" w:eastAsia="仿宋" w:hint="eastAsia"/>
          <w:color w:val="auto"/>
          <w:sz w:val="28"/>
          <w:szCs w:val="28"/>
          <w:lang w:val="en-US" w:eastAsia="zh-CN"/>
        </w:rPr>
        <w:t>3、</w:t>
      </w:r>
      <w:r>
        <w:rPr>
          <w:rFonts w:cs="仿宋" w:eastAsia="仿宋" w:hint="eastAsia"/>
          <w:color w:val="auto"/>
          <w:sz w:val="28"/>
          <w:szCs w:val="28"/>
        </w:rPr>
        <w:t>本项目</w:t>
      </w:r>
      <w:r>
        <w:rPr>
          <w:rFonts w:ascii="仿宋" w:cs="仿宋" w:eastAsia="仿宋" w:hAnsi="仿宋"/>
          <w:color w:val="auto"/>
          <w:sz w:val="28"/>
          <w:szCs w:val="28"/>
        </w:rPr>
        <w:t>建设期实际完成的水土保持投资为</w:t>
      </w:r>
      <w:r>
        <w:rPr>
          <w:rFonts w:cs="仿宋" w:eastAsia="仿宋" w:hint="eastAsia"/>
          <w:color w:val="auto"/>
          <w:sz w:val="28"/>
          <w:szCs w:val="28"/>
        </w:rPr>
        <w:t>35.19万元</w:t>
      </w:r>
      <w:r>
        <w:rPr>
          <w:rFonts w:cs="仿宋" w:eastAsia="仿宋" w:hint="eastAsia"/>
          <w:color w:val="auto"/>
          <w:sz w:val="28"/>
          <w:szCs w:val="28"/>
        </w:rPr>
        <w:t>，因未损坏水土保持设施面积，故其损坏水土保持设施补偿费为0万元</w:t>
      </w:r>
      <w:r>
        <w:rPr>
          <w:rFonts w:cs="仿宋" w:eastAsia="仿宋" w:hint="eastAsia"/>
          <w:color w:val="auto"/>
          <w:sz w:val="28"/>
          <w:szCs w:val="28"/>
        </w:rPr>
        <w:t>。</w:t>
      </w:r>
    </w:p>
    <w:p>
      <w:pPr>
        <w:pStyle w:val="style0"/>
        <w:numPr>
          <w:ilvl w:val="0"/>
          <w:numId w:val="0"/>
        </w:numPr>
        <w:spacing w:lineRule="exact" w:line="500"/>
        <w:ind w:firstLine="560" w:firstLineChars="200"/>
        <w:rPr>
          <w:rFonts w:cs="仿宋" w:eastAsia="仿宋"/>
          <w:color w:val="auto"/>
          <w:sz w:val="28"/>
          <w:szCs w:val="28"/>
        </w:rPr>
      </w:pPr>
      <w:r>
        <w:rPr>
          <w:rFonts w:cs="仿宋" w:eastAsia="仿宋" w:hint="eastAsia"/>
          <w:color w:val="auto"/>
          <w:sz w:val="28"/>
          <w:szCs w:val="28"/>
          <w:lang w:val="en-US" w:eastAsia="zh-CN"/>
        </w:rPr>
        <w:t>4、</w:t>
      </w:r>
      <w:r>
        <w:rPr>
          <w:rFonts w:cs="仿宋" w:eastAsia="仿宋" w:hint="eastAsia"/>
          <w:color w:val="auto"/>
          <w:sz w:val="28"/>
          <w:szCs w:val="28"/>
        </w:rPr>
        <w:t>水土保持措施设计及其布局总体合理，建设期</w:t>
      </w:r>
      <w:r>
        <w:rPr>
          <w:rFonts w:cs="仿宋" w:eastAsia="仿宋" w:hint="eastAsia"/>
          <w:color w:val="auto"/>
          <w:sz w:val="28"/>
          <w:szCs w:val="28"/>
        </w:rPr>
        <w:t>各项水土流失防治指标达到防治目标要求，目前各项水土保持设施运行正常，发挥了较好的水土保持功能。</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（六）验收结论</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验收组认为，本项目建设单位编报了水土保持方案，开展了水土保持监理，水土保持法定程序</w:t>
      </w:r>
      <w:r>
        <w:rPr>
          <w:rFonts w:ascii="仿宋" w:cs="仿宋" w:eastAsia="仿宋" w:hAnsi="仿宋" w:hint="eastAsia"/>
          <w:color w:val="auto"/>
          <w:sz w:val="28"/>
          <w:szCs w:val="28"/>
          <w:lang w:val="en-US" w:eastAsia="zh-CN"/>
        </w:rPr>
        <w:t>基本</w:t>
      </w:r>
      <w:r>
        <w:rPr>
          <w:rFonts w:ascii="仿宋" w:cs="仿宋" w:eastAsia="仿宋" w:hAnsi="仿宋" w:hint="eastAsia"/>
          <w:color w:val="auto"/>
          <w:sz w:val="28"/>
          <w:szCs w:val="28"/>
        </w:rPr>
        <w:t>完整；按照水土保持方案以及批复（审批意见）文件要求，基本完成了水土流失预防和治理任务，水土保持设施运行正常；运行期间的水土保持后续管理维护责任落实，水土流失防治指标基本达到水土保持方案的目</w:t>
      </w:r>
      <w:r>
        <w:rPr>
          <w:rFonts w:ascii="仿宋" w:cs="仿宋" w:eastAsia="仿宋" w:hAnsi="仿宋" w:hint="eastAsia"/>
          <w:color w:val="auto"/>
          <w:sz w:val="28"/>
          <w:szCs w:val="28"/>
          <w:lang w:val="en-US" w:eastAsia="zh-CN"/>
        </w:rPr>
        <w:t>标</w:t>
      </w:r>
      <w:r>
        <w:rPr>
          <w:rFonts w:ascii="仿宋" w:cs="仿宋" w:eastAsia="仿宋" w:hAnsi="仿宋" w:hint="eastAsia"/>
          <w:color w:val="auto"/>
          <w:sz w:val="28"/>
          <w:szCs w:val="28"/>
        </w:rPr>
        <w:t>值，符合水土保持设施施工验收的条件，同意该工程水土保持设施通过验收。</w:t>
      </w:r>
    </w:p>
    <w:p>
      <w:pPr>
        <w:pStyle w:val="style0"/>
        <w:spacing w:lineRule="exact" w:line="500"/>
        <w:ind w:firstLine="560" w:firstLineChars="200"/>
        <w:rPr>
          <w:rFonts w:ascii="仿宋" w:cs="仿宋" w:eastAsia="仿宋" w:hAnsi="仿宋"/>
          <w:color w:val="auto"/>
          <w:sz w:val="28"/>
          <w:szCs w:val="28"/>
        </w:rPr>
      </w:pPr>
      <w:r>
        <w:rPr>
          <w:rFonts w:ascii="仿宋" w:cs="仿宋" w:eastAsia="仿宋" w:hAnsi="仿宋" w:hint="eastAsia"/>
          <w:color w:val="auto"/>
          <w:sz w:val="28"/>
          <w:szCs w:val="28"/>
        </w:rPr>
        <w:t>（七）后续管护要求</w:t>
      </w:r>
    </w:p>
    <w:p>
      <w:pPr>
        <w:pStyle w:val="style0"/>
        <w:spacing w:lineRule="exact" w:line="500"/>
        <w:ind w:firstLine="400" w:firstLineChars="200"/>
        <w:rPr>
          <w:rFonts w:ascii="仿宋" w:cs="仿宋" w:eastAsia="仿宋" w:hAnsi="仿宋" w:hint="eastAsia"/>
          <w:color w:val="auto"/>
          <w:sz w:val="28"/>
          <w:szCs w:val="28"/>
        </w:rPr>
      </w:pPr>
      <w:r>
        <w:rPr>
          <w:color w:val="auto"/>
          <w:sz w:val="20"/>
        </w:rPr>
        <mc:AlternateContent>
          <mc:Choice Requires="wps">
            <w:drawing>
              <wp:anchor distT="0" distB="0" distL="0" distR="0" simplePos="false" relativeHeight="8" behindDoc="false" locked="false" layoutInCell="true" allowOverlap="true">
                <wp:simplePos x="0" y="0"/>
                <wp:positionH relativeFrom="margin">
                  <wp:posOffset>635</wp:posOffset>
                </wp:positionH>
                <wp:positionV relativeFrom="paragraph">
                  <wp:posOffset>10795</wp:posOffset>
                </wp:positionV>
                <wp:extent cx="5321300" cy="8855075"/>
                <wp:effectExtent l="6350" t="6350" r="6350" b="15875"/>
                <wp:wrapNone/>
                <wp:docPr id="1032" name="矩形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21300" cy="8855075"/>
                        </a:xfrm>
                        <a:prstGeom prst="rect"/>
                        <a:ln cmpd="sng" cap="flat" w="12700">
                          <a:solidFill>
                            <a:srgbClr val="000000"/>
                          </a:solidFill>
                          <a:prstDash val="solid"/>
                          <a:miter/>
                          <a:headEnd/>
                          <a:tailEnd/>
                        </a:ln>
                      </wps:spPr>
                      <wps:bodyPr>
                        <a:prstTxWarp prst="textNoShape"/>
                      </wps:bodyPr>
                    </wps:wsp>
                  </a:graphicData>
                </a:graphic>
              </wp:anchor>
            </w:drawing>
          </mc:Choice>
          <mc:Fallback>
            <w:pict>
              <v:rect id="1032" filled="f" stroked="t" style="position:absolute;margin-left:0.05pt;margin-top:0.85pt;width:419.0pt;height:697.25pt;z-index:8;mso-position-horizontal-relative:margin;mso-position-vertical-relative:text;mso-width-relative:page;mso-height-relative:page;mso-wrap-distance-left:0.0pt;mso-wrap-distance-right:0.0pt;visibility:visible;">
                <v:stroke joinstyle="miter" weight="1.0pt"/>
                <v:fill/>
              </v:rect>
            </w:pict>
          </mc:Fallback>
        </mc:AlternateContent>
      </w:r>
      <w:r>
        <w:rPr>
          <w:rFonts w:ascii="仿宋" w:cs="仿宋" w:eastAsia="仿宋" w:hAnsi="仿宋" w:hint="eastAsia"/>
          <w:color w:val="auto"/>
          <w:sz w:val="28"/>
          <w:szCs w:val="28"/>
        </w:rPr>
        <w:t>为进一步做好项目的水土保持工作，验收组要求：建设单位应进一步加强水土流失防治工作，并切实履行水土保持设施安全监测的主体责任，确保其正常运行和发挥效益。</w:t>
      </w:r>
    </w:p>
    <w:p>
      <w:pPr>
        <w:pStyle w:val="style0"/>
        <w:spacing w:lineRule="exact" w:line="500"/>
        <w:rPr>
          <w:color w:val="auto"/>
        </w:rPr>
      </w:pPr>
      <w:r>
        <w:rPr/>
        <w:drawing>
          <wp:anchor distT="0" distB="0" distL="114300" distR="114300" simplePos="false" relativeHeight="9" behindDoc="false" locked="false" layoutInCell="true" allowOverlap="true">
            <wp:simplePos x="0" y="0"/>
            <wp:positionH relativeFrom="page">
              <wp:posOffset>978992</wp:posOffset>
            </wp:positionH>
            <wp:positionV relativeFrom="page">
              <wp:posOffset>1094060</wp:posOffset>
            </wp:positionV>
            <wp:extent cx="5645513" cy="9269712"/>
            <wp:effectExtent l="0" t="0" r="0" b="0"/>
            <wp:wrapSquare wrapText="bothSides"/>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7" cstate="print"/>
                    <a:srcRect l="0" t="0" r="0" b="0"/>
                    <a:stretch/>
                  </pic:blipFill>
                  <pic:spPr>
                    <a:xfrm rot="0">
                      <a:off x="0" y="0"/>
                      <a:ext cx="5645513" cy="9269712"/>
                    </a:xfrm>
                    <a:prstGeom prst="rect"/>
                  </pic:spPr>
                </pic:pic>
              </a:graphicData>
            </a:graphic>
          </wp:anchor>
        </w:drawing>
      </w:r>
    </w:p>
    <w:sectPr>
      <w:footerReference w:type="default" r:id="rId8"/>
      <w:pgSz w:w="11906" w:h="16838" w:orient="portrait"/>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Arial Rounded MT Bold"/>
    <w:panose1 w:val="020f0502020002030204"/>
    <w:charset w:val="00"/>
    <w:family w:val="swiss"/>
    <w:pitch w:val="default"/>
    <w:sig w:usb0="00000000" w:usb1="00000000" w:usb2="00000001" w:usb3="00000000" w:csb0="0000019F" w:csb1="00000000"/>
  </w:font>
  <w:font w:name="等线">
    <w:altName w:val="Arial Unicode MS"/>
    <w:panose1 w:val="02010600030001010101"/>
    <w:charset w:val="86"/>
    <w:family w:val="auto"/>
    <w:pitch w:val="default"/>
    <w:sig w:usb0="00000000" w:usb1="00000000" w:usb2="00000016" w:usb3="00000000" w:csb0="0004000F" w:csb1="00000000"/>
  </w:font>
  <w:font w:name="仿宋">
    <w:altName w:val="仿宋"/>
    <w:panose1 w:val="02010609060001010101"/>
    <w:charset w:val="86"/>
    <w:family w:val="modern"/>
    <w:pitch w:val="default"/>
    <w:sig w:usb0="800002BF" w:usb1="38CF7CFA" w:usb2="00000016" w:usb3="00000000" w:csb0="00040001" w:csb1="00000000"/>
  </w:font>
  <w:font w:name="Arial Unicode MS">
    <w:altName w:val="Arial Unicode MS"/>
    <w:panose1 w:val="020b0604020002020204"/>
    <w:charset w:val="86"/>
    <w:family w:val="auto"/>
    <w:pitch w:val="default"/>
    <w:sig w:usb0="FFFFFFFF" w:usb1="E9FFFFFF" w:usb2="0000003F" w:usb3="00000000" w:csb0="603F01FF" w:csb1="FFFF0000"/>
  </w:font>
  <w:font w:name="微软雅黑">
    <w:altName w:val="微软雅黑"/>
    <w:panose1 w:val="020b0503020002020204"/>
    <w:charset w:val="86"/>
    <w:family w:val="auto"/>
    <w:pitch w:val="default"/>
    <w:sig w:usb0="80000287" w:usb1="2ACF3C50" w:usb2="00000016" w:usb3="00000000" w:csb0="0004001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jc w:val="center"/>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ind w:firstLine="0" w:firstLineChars="0"/>
                            <w:rPr>
                              <w:rFonts w:eastAsia="等线"/>
                            </w:rPr>
                          </w:pP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ind w:firstLine="0" w:firstLineChars="0"/>
                      <w:rPr>
                        <w:rFonts w:eastAsia="等线"/>
                      </w:rPr>
                    </w:pP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jc w:val="center"/>
      <w:rPr/>
    </w:pPr>
    <w:r>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32"/>
                            <w:ind w:firstLine="360"/>
                            <w:rPr>
                              <w:rFonts w:eastAsia="等线"/>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ind w:firstLine="360"/>
                      <w:rPr>
                        <w:rFonts w:eastAsia="等线"/>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rect>
          </w:pict>
        </mc:Fallback>
      </mc:AlternateContent>
    </w:r>
    <w:r>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pPr>
                            <w:pStyle w:val="style32"/>
                            <w:ind w:firstLine="0" w:firstLineChars="0"/>
                            <w:rPr>
                              <w:rFonts w:eastAsia="等线"/>
                            </w:rPr>
                          </w:pP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ind w:firstLine="0" w:firstLineChars="0"/>
                      <w:rPr>
                        <w:rFonts w:eastAsia="等线"/>
                      </w:rPr>
                    </w:pP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1" w:color="auto"/>
      </w:pBdr>
      <w:ind w:firstLine="0" w:firstLineChars="0"/>
      <w:jc w:val="left"/>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200D6EEF"/>
    <w:lvl w:ilvl="0">
      <w:start w:val="4"/>
      <w:numFmt w:val="chineseCounting"/>
      <w:suff w:val="nothing"/>
      <w:lvlText w:val="（%1）"/>
      <w:lvlJc w:val="left"/>
      <w:pPr/>
      <w:rPr>
        <w:rFonts w:hint="eastAsia"/>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1"/>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rPr>
      <w:rFonts w:ascii="Times New Roman" w:cs="Times New Roman" w:eastAsia="等线" w:hAnsi="Times New Roman"/>
      <w:sz w:val="22"/>
      <w:szCs w:val="22"/>
      <w:lang w:val="en-US" w:bidi="ar-SA" w:eastAsia="zh-CN"/>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30">
    <w:name w:val="annotation text"/>
    <w:basedOn w:val="style0"/>
    <w:next w:val="style30"/>
    <w:qFormat/>
    <w:uiPriority w:val="99"/>
    <w:pPr/>
  </w:style>
  <w:style w:type="paragraph" w:styleId="style153">
    <w:name w:val="Balloon Text"/>
    <w:basedOn w:val="style0"/>
    <w:next w:val="style153"/>
    <w:link w:val="style4099"/>
    <w:qFormat/>
    <w:uiPriority w:val="99"/>
    <w:pPr/>
    <w:rPr>
      <w:sz w:val="18"/>
      <w:szCs w:val="18"/>
    </w:rPr>
  </w:style>
  <w:style w:type="paragraph" w:styleId="style32">
    <w:name w:val="footer"/>
    <w:basedOn w:val="style0"/>
    <w:next w:val="style32"/>
    <w:link w:val="style4098"/>
    <w:qFormat/>
    <w:uiPriority w:val="99"/>
    <w:pPr>
      <w:widowControl w:val="false"/>
      <w:tabs>
        <w:tab w:val="center" w:leader="none" w:pos="4153"/>
        <w:tab w:val="right" w:leader="none" w:pos="8306"/>
      </w:tabs>
      <w:snapToGrid w:val="false"/>
      <w:spacing w:lineRule="atLeast" w:line="240"/>
      <w:ind w:firstLine="200" w:firstLineChars="200"/>
    </w:pPr>
    <w:rPr>
      <w:rFonts w:cs="宋体" w:eastAsia="仿宋"/>
      <w:kern w:val="2"/>
      <w:sz w:val="18"/>
      <w:szCs w:val="18"/>
    </w:rPr>
  </w:style>
  <w:style w:type="paragraph" w:styleId="style31">
    <w:name w:val="header"/>
    <w:basedOn w:val="style0"/>
    <w:next w:val="style31"/>
    <w:link w:val="style4097"/>
    <w:qFormat/>
    <w:uiPriority w:val="99"/>
    <w:pPr>
      <w:widowControl w:val="false"/>
      <w:pBdr>
        <w:bottom w:val="single" w:sz="6" w:space="1" w:color="auto"/>
      </w:pBdr>
      <w:tabs>
        <w:tab w:val="center" w:leader="none" w:pos="4153"/>
        <w:tab w:val="right" w:leader="none" w:pos="8306"/>
      </w:tabs>
      <w:snapToGrid w:val="false"/>
      <w:spacing w:lineRule="atLeast" w:line="240"/>
      <w:ind w:firstLine="200" w:firstLineChars="200"/>
      <w:jc w:val="center"/>
    </w:pPr>
    <w:rPr>
      <w:rFonts w:cs="宋体" w:eastAsia="仿宋"/>
      <w:kern w:val="2"/>
      <w:sz w:val="18"/>
      <w:szCs w:val="18"/>
    </w:rPr>
  </w:style>
  <w:style w:type="table" w:styleId="style154">
    <w:name w:val="Table Grid"/>
    <w:basedOn w:val="style105"/>
    <w:next w:val="style154"/>
    <w:qFormat/>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页眉 Char"/>
    <w:basedOn w:val="style65"/>
    <w:next w:val="style4097"/>
    <w:link w:val="style31"/>
    <w:qFormat/>
    <w:uiPriority w:val="99"/>
    <w:rPr>
      <w:rFonts w:ascii="Times New Roman" w:eastAsia="仿宋" w:hAnsi="Times New Roman"/>
      <w:sz w:val="18"/>
      <w:szCs w:val="18"/>
    </w:rPr>
  </w:style>
  <w:style w:type="character" w:customStyle="1" w:styleId="style4098">
    <w:name w:val="页脚 Char"/>
    <w:basedOn w:val="style65"/>
    <w:next w:val="style4098"/>
    <w:link w:val="style32"/>
    <w:qFormat/>
    <w:uiPriority w:val="99"/>
    <w:rPr>
      <w:rFonts w:ascii="Times New Roman" w:eastAsia="仿宋" w:hAnsi="Times New Roman"/>
      <w:sz w:val="18"/>
      <w:szCs w:val="18"/>
    </w:rPr>
  </w:style>
  <w:style w:type="character" w:customStyle="1" w:styleId="style4099">
    <w:name w:val="批注框文本 Char"/>
    <w:basedOn w:val="style65"/>
    <w:next w:val="style4099"/>
    <w:link w:val="style153"/>
    <w:qFormat/>
    <w:uiPriority w:val="99"/>
    <w:rPr>
      <w:rFonts w:ascii="Times New Roman" w:cs="Times New Roman" w:hAnsi="Times New Roman"/>
      <w:sz w:val="18"/>
      <w:szCs w:val="18"/>
    </w:r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11" Type="http://schemas.openxmlformats.org/officeDocument/2006/relationships/settings" Target="settings.xml"/><Relationship Id="rId10"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styles" Target="styles.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image" Target="media/image1.png"/><Relationship Id="rId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Words>2292</Words>
  <Pages>1</Pages>
  <Characters>2498</Characters>
  <Application>WPS Office</Application>
  <DocSecurity>0</DocSecurity>
  <Paragraphs>146</Paragraphs>
  <ScaleCrop>false</ScaleCrop>
  <Company>SysCeo.com</Company>
  <LinksUpToDate>false</LinksUpToDate>
  <CharactersWithSpaces>2588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2020-05-19T03:30:00Z</dcterms:created>
  <dc:creator>Administrator</dc:creator>
  <lastModifiedBy>SM-G9730</lastModifiedBy>
  <lastPrinted>2020-06-23T04:17:05Z</lastPrinted>
  <dcterms:modified xsi:type="dcterms:W3CDTF">2020-06-30T04:57:45Z</dcterms:modified>
  <revision>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