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0"/>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lang w:eastAsia="zh-CN"/>
        </w:rPr>
        <w:t>广元市水利局</w:t>
      </w:r>
    </w:p>
    <w:p>
      <w:pPr>
        <w:spacing w:afterLines="300"/>
        <w:jc w:val="center"/>
        <w:rPr>
          <w:rFonts w:ascii="宋体" w:hAnsi="宋体"/>
          <w:b/>
          <w:color w:val="auto"/>
          <w:sz w:val="36"/>
          <w:szCs w:val="36"/>
        </w:rPr>
      </w:pPr>
      <w:r>
        <w:rPr>
          <w:rFonts w:hint="eastAsia" w:asciiTheme="minorEastAsia" w:hAnsiTheme="minorEastAsia" w:eastAsiaTheme="minorEastAsia"/>
          <w:b/>
          <w:color w:val="auto"/>
          <w:sz w:val="36"/>
          <w:szCs w:val="36"/>
        </w:rPr>
        <w:t>2024年水利工程建设质量监督检测服务项目</w:t>
      </w:r>
    </w:p>
    <w:p>
      <w:pPr>
        <w:spacing w:line="0" w:lineRule="atLeast"/>
        <w:jc w:val="center"/>
        <w:rPr>
          <w:rFonts w:ascii="宋体" w:hAnsi="宋体"/>
          <w:b/>
          <w:color w:val="auto"/>
          <w:sz w:val="84"/>
          <w:szCs w:val="84"/>
        </w:rPr>
      </w:pPr>
      <w:r>
        <w:rPr>
          <w:rFonts w:hint="eastAsia" w:ascii="宋体" w:hAnsi="宋体"/>
          <w:b/>
          <w:color w:val="auto"/>
          <w:sz w:val="84"/>
          <w:szCs w:val="84"/>
        </w:rPr>
        <w:t>竞</w:t>
      </w:r>
    </w:p>
    <w:p>
      <w:pPr>
        <w:spacing w:line="0" w:lineRule="atLeast"/>
        <w:jc w:val="center"/>
        <w:rPr>
          <w:rFonts w:ascii="宋体" w:hAnsi="宋体"/>
          <w:b/>
          <w:color w:val="auto"/>
          <w:sz w:val="84"/>
          <w:szCs w:val="84"/>
        </w:rPr>
      </w:pPr>
      <w:r>
        <w:rPr>
          <w:rFonts w:hint="eastAsia" w:ascii="宋体" w:hAnsi="宋体"/>
          <w:b/>
          <w:color w:val="auto"/>
          <w:sz w:val="84"/>
          <w:szCs w:val="84"/>
        </w:rPr>
        <w:t>争</w:t>
      </w:r>
    </w:p>
    <w:p>
      <w:pPr>
        <w:spacing w:line="0" w:lineRule="atLeast"/>
        <w:jc w:val="center"/>
        <w:rPr>
          <w:rFonts w:ascii="宋体" w:hAnsi="宋体"/>
          <w:b/>
          <w:color w:val="auto"/>
          <w:sz w:val="84"/>
          <w:szCs w:val="84"/>
        </w:rPr>
      </w:pPr>
      <w:r>
        <w:rPr>
          <w:rFonts w:hint="eastAsia" w:ascii="宋体" w:hAnsi="宋体"/>
          <w:b/>
          <w:color w:val="auto"/>
          <w:sz w:val="84"/>
          <w:szCs w:val="84"/>
        </w:rPr>
        <w:t>性</w:t>
      </w:r>
    </w:p>
    <w:p>
      <w:pPr>
        <w:spacing w:line="0" w:lineRule="atLeast"/>
        <w:jc w:val="center"/>
        <w:rPr>
          <w:rFonts w:ascii="宋体" w:hAnsi="宋体"/>
          <w:b/>
          <w:color w:val="auto"/>
          <w:sz w:val="84"/>
          <w:szCs w:val="84"/>
        </w:rPr>
      </w:pPr>
      <w:r>
        <w:rPr>
          <w:rFonts w:hint="eastAsia" w:ascii="宋体" w:hAnsi="宋体"/>
          <w:b/>
          <w:color w:val="auto"/>
          <w:sz w:val="84"/>
          <w:szCs w:val="84"/>
        </w:rPr>
        <w:t>谈</w:t>
      </w:r>
    </w:p>
    <w:p>
      <w:pPr>
        <w:spacing w:line="0" w:lineRule="atLeast"/>
        <w:jc w:val="center"/>
        <w:rPr>
          <w:rFonts w:ascii="宋体" w:hAnsi="宋体"/>
          <w:b/>
          <w:color w:val="auto"/>
          <w:sz w:val="84"/>
          <w:szCs w:val="84"/>
        </w:rPr>
      </w:pPr>
      <w:r>
        <w:rPr>
          <w:rFonts w:hint="eastAsia" w:ascii="宋体" w:hAnsi="宋体"/>
          <w:b/>
          <w:color w:val="auto"/>
          <w:sz w:val="84"/>
          <w:szCs w:val="84"/>
        </w:rPr>
        <w:t>判</w:t>
      </w:r>
    </w:p>
    <w:p>
      <w:pPr>
        <w:spacing w:line="0" w:lineRule="atLeast"/>
        <w:jc w:val="center"/>
        <w:rPr>
          <w:rFonts w:ascii="宋体" w:hAnsi="宋体"/>
          <w:b/>
          <w:color w:val="auto"/>
          <w:sz w:val="84"/>
          <w:szCs w:val="84"/>
        </w:rPr>
      </w:pPr>
      <w:r>
        <w:rPr>
          <w:rFonts w:hint="eastAsia" w:ascii="宋体" w:hAnsi="宋体"/>
          <w:b/>
          <w:color w:val="auto"/>
          <w:sz w:val="84"/>
          <w:szCs w:val="84"/>
        </w:rPr>
        <w:t>文</w:t>
      </w:r>
    </w:p>
    <w:p>
      <w:pPr>
        <w:spacing w:afterLines="300" w:line="0" w:lineRule="atLeast"/>
        <w:jc w:val="center"/>
        <w:rPr>
          <w:rFonts w:ascii="宋体" w:hAnsi="宋体"/>
          <w:b/>
          <w:color w:val="auto"/>
          <w:sz w:val="84"/>
          <w:szCs w:val="84"/>
        </w:rPr>
      </w:pPr>
      <w:r>
        <w:rPr>
          <w:rFonts w:hint="eastAsia" w:ascii="宋体" w:hAnsi="宋体"/>
          <w:b/>
          <w:color w:val="auto"/>
          <w:sz w:val="84"/>
          <w:szCs w:val="84"/>
        </w:rPr>
        <w:t>件</w:t>
      </w:r>
    </w:p>
    <w:p>
      <w:pPr>
        <w:jc w:val="center"/>
        <w:rPr>
          <w:rFonts w:hint="eastAsia" w:ascii="宋体" w:hAnsi="宋体" w:eastAsia="宋体"/>
          <w:b/>
          <w:color w:val="auto"/>
          <w:sz w:val="30"/>
          <w:szCs w:val="30"/>
          <w:lang w:eastAsia="zh-CN"/>
        </w:rPr>
      </w:pPr>
      <w:r>
        <w:rPr>
          <w:rFonts w:hint="eastAsia" w:ascii="宋体" w:hAnsi="宋体"/>
          <w:b/>
          <w:color w:val="auto"/>
          <w:sz w:val="30"/>
          <w:szCs w:val="30"/>
        </w:rPr>
        <w:t>采购人：</w:t>
      </w:r>
      <w:r>
        <w:rPr>
          <w:rFonts w:hint="eastAsia" w:ascii="宋体" w:hAnsi="宋体"/>
          <w:b/>
          <w:color w:val="auto"/>
          <w:sz w:val="30"/>
          <w:szCs w:val="30"/>
          <w:lang w:eastAsia="zh-CN"/>
        </w:rPr>
        <w:t>广元市水利局</w:t>
      </w:r>
    </w:p>
    <w:p>
      <w:pPr>
        <w:spacing w:beforeLines="200"/>
        <w:jc w:val="center"/>
        <w:rPr>
          <w:rFonts w:asciiTheme="minorEastAsia" w:hAnsiTheme="minorEastAsia" w:eastAsiaTheme="minorEastAsia"/>
          <w:b/>
          <w:color w:val="auto"/>
          <w:sz w:val="30"/>
          <w:szCs w:val="30"/>
        </w:rPr>
        <w:sectPr>
          <w:footerReference r:id="rId3" w:type="default"/>
          <w:pgSz w:w="11907" w:h="16840"/>
          <w:pgMar w:top="1474" w:right="1418" w:bottom="1247" w:left="1418" w:header="1134" w:footer="851" w:gutter="170"/>
          <w:pgNumType w:fmt="upperRoman" w:start="1"/>
          <w:cols w:space="425" w:num="1"/>
          <w:docGrid w:linePitch="312" w:charSpace="0"/>
        </w:sectPr>
      </w:pPr>
      <w:r>
        <w:rPr>
          <w:rFonts w:hint="eastAsia" w:asciiTheme="minorEastAsia" w:hAnsiTheme="minorEastAsia" w:eastAsiaTheme="minorEastAsia"/>
          <w:b/>
          <w:color w:val="auto"/>
          <w:sz w:val="30"/>
          <w:szCs w:val="30"/>
          <w:lang w:val="en-US" w:eastAsia="zh-CN"/>
        </w:rPr>
        <w:t>2024</w:t>
      </w:r>
      <w:r>
        <w:rPr>
          <w:rFonts w:hint="eastAsia" w:asciiTheme="minorEastAsia" w:hAnsiTheme="minorEastAsia" w:eastAsiaTheme="minorEastAsia"/>
          <w:b/>
          <w:color w:val="auto"/>
          <w:sz w:val="30"/>
          <w:szCs w:val="30"/>
        </w:rPr>
        <w:t>年</w:t>
      </w:r>
      <w:r>
        <w:rPr>
          <w:rFonts w:hint="eastAsia" w:asciiTheme="minorEastAsia" w:hAnsiTheme="minorEastAsia" w:eastAsiaTheme="minorEastAsia"/>
          <w:b/>
          <w:color w:val="auto"/>
          <w:sz w:val="30"/>
          <w:szCs w:val="30"/>
          <w:lang w:val="en-US" w:eastAsia="zh-CN"/>
        </w:rPr>
        <w:t>3</w:t>
      </w:r>
      <w:r>
        <w:rPr>
          <w:rFonts w:hint="eastAsia" w:asciiTheme="minorEastAsia" w:hAnsiTheme="minorEastAsia" w:eastAsiaTheme="minorEastAsia"/>
          <w:b/>
          <w:color w:val="auto"/>
          <w:sz w:val="30"/>
          <w:szCs w:val="30"/>
        </w:rPr>
        <w:t>月</w:t>
      </w:r>
    </w:p>
    <w:p>
      <w:pPr>
        <w:ind w:firstLine="482"/>
        <w:jc w:val="center"/>
        <w:rPr>
          <w:rFonts w:ascii="宋体" w:hAnsi="宋体" w:eastAsia="宋体" w:cs="Times New Roman"/>
          <w:b/>
          <w:bCs/>
          <w:color w:val="auto"/>
          <w:kern w:val="2"/>
          <w:sz w:val="24"/>
          <w:szCs w:val="24"/>
          <w:lang w:val="en-US" w:eastAsia="zh-CN" w:bidi="ar-SA"/>
        </w:rPr>
      </w:pPr>
      <w:bookmarkStart w:id="0" w:name="_Toc534372063"/>
      <w:r>
        <w:rPr>
          <w:rFonts w:hint="eastAsia" w:ascii="宋体" w:hAnsi="宋体"/>
          <w:b/>
          <w:bCs/>
          <w:color w:val="auto"/>
          <w:sz w:val="36"/>
        </w:rPr>
        <w:t>目    录</w:t>
      </w:r>
      <w:bookmarkEnd w:id="0"/>
      <w:r>
        <w:rPr>
          <w:rFonts w:ascii="宋体" w:hAnsi="宋体"/>
          <w:b/>
          <w:bCs/>
          <w:color w:val="auto"/>
          <w:sz w:val="24"/>
        </w:rPr>
        <w:fldChar w:fldCharType="begin"/>
      </w:r>
      <w:r>
        <w:rPr>
          <w:rFonts w:ascii="宋体" w:hAnsi="宋体"/>
          <w:b/>
          <w:bCs/>
          <w:color w:val="auto"/>
          <w:sz w:val="24"/>
        </w:rPr>
        <w:instrText xml:space="preserve"> TOC \o "1-2" \h \z \u </w:instrText>
      </w:r>
      <w:r>
        <w:rPr>
          <w:rFonts w:ascii="宋体" w:hAnsi="宋体"/>
          <w:b/>
          <w:bCs/>
          <w:color w:val="auto"/>
          <w:sz w:val="24"/>
        </w:rPr>
        <w:fldChar w:fldCharType="separate"/>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_Toc609200890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第一章  谈判邀请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_Toc609200890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_Toc1276312075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第二章  谈判须知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_Toc1276312075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_Toc274829515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第三章  供应商的资格、资质性及其他类似效力要求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_Toc274829515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_Toc1182394454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第四章  供应商的资格、资质性及其他类似效力要求的相关证明材料</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_Toc1182394454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28"/>
        <w:tabs>
          <w:tab w:val="right" w:leader="dot" w:pos="8901"/>
          <w:tab w:val="clear" w:pos="8931"/>
          <w:tab w:val="clear" w:pos="9450"/>
          <w:tab w:val="clear" w:pos="10500"/>
          <w:tab w:val="clear" w:pos="10761"/>
        </w:tabs>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_Toc981074626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第五章  采购项目技术、服务及其他商务要求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_Toc981074626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_Toc541518286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_Toc541518286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_Toc1128548466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章  评审</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_Toc1128548466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pStyle w:val="34"/>
        <w:tabs>
          <w:tab w:val="right" w:leader="dot" w:pos="8901"/>
          <w:tab w:val="clear" w:pos="8931"/>
          <w:tab w:val="clear" w:pos="10761"/>
        </w:tabs>
        <w:ind w:left="0" w:leftChars="0" w:firstLine="0" w:firstLineChars="0"/>
        <w:jc w:val="both"/>
        <w:rPr>
          <w:color w:val="auto"/>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_Toc1686831472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章  政府采购合同主要条款（草案）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_Toc1686831472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pPr>
        <w:spacing w:beforeLines="150" w:afterLines="150" w:line="480" w:lineRule="auto"/>
        <w:ind w:firstLine="482"/>
        <w:jc w:val="center"/>
        <w:rPr>
          <w:rFonts w:ascii="宋体" w:hAnsi="宋体"/>
          <w:bCs/>
          <w:color w:val="auto"/>
          <w:sz w:val="36"/>
        </w:rPr>
        <w:sectPr>
          <w:headerReference r:id="rId4" w:type="default"/>
          <w:pgSz w:w="11907" w:h="16840"/>
          <w:pgMar w:top="1474" w:right="1418" w:bottom="1247" w:left="1418" w:header="1134" w:footer="851" w:gutter="170"/>
          <w:pgNumType w:fmt="upperRoman" w:start="1"/>
          <w:cols w:space="425" w:num="1"/>
          <w:docGrid w:linePitch="312" w:charSpace="0"/>
        </w:sectPr>
      </w:pPr>
      <w:r>
        <w:rPr>
          <w:rFonts w:ascii="宋体" w:hAnsi="宋体"/>
          <w:b/>
          <w:bCs/>
          <w:color w:val="auto"/>
          <w:sz w:val="24"/>
        </w:rPr>
        <w:fldChar w:fldCharType="end"/>
      </w:r>
      <w:bookmarkStart w:id="1" w:name="_Toc534620638"/>
      <w:bookmarkStart w:id="2" w:name="_Toc534622130"/>
      <w:bookmarkStart w:id="3" w:name="_Toc534620548"/>
    </w:p>
    <w:p>
      <w:pPr>
        <w:pStyle w:val="4"/>
        <w:keepNext w:val="0"/>
        <w:keepLines w:val="0"/>
        <w:spacing w:beforeLines="100" w:afterLines="100" w:line="360" w:lineRule="auto"/>
        <w:jc w:val="center"/>
        <w:rPr>
          <w:rFonts w:ascii="宋体" w:hAnsi="宋体" w:eastAsia="宋体"/>
          <w:color w:val="auto"/>
          <w:sz w:val="36"/>
          <w:szCs w:val="36"/>
        </w:rPr>
      </w:pPr>
      <w:bookmarkStart w:id="4" w:name="_Toc534623354"/>
      <w:bookmarkStart w:id="5" w:name="_Toc609200890"/>
      <w:r>
        <w:rPr>
          <w:rFonts w:hint="eastAsia" w:ascii="宋体" w:hAnsi="宋体" w:eastAsia="宋体"/>
          <w:color w:val="auto"/>
          <w:sz w:val="36"/>
          <w:szCs w:val="36"/>
        </w:rPr>
        <w:t>第一章  谈判邀请</w:t>
      </w:r>
      <w:bookmarkEnd w:id="1"/>
      <w:bookmarkEnd w:id="2"/>
      <w:bookmarkEnd w:id="3"/>
      <w:bookmarkEnd w:id="4"/>
      <w:bookmarkEnd w:id="5"/>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color w:val="auto"/>
          <w:sz w:val="24"/>
          <w:lang w:eastAsia="zh-CN"/>
        </w:rPr>
        <w:t>我单位拟对</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年水利工程建设质量监督检测服务采购项目</w:t>
      </w:r>
      <w:r>
        <w:rPr>
          <w:rFonts w:hint="eastAsia" w:ascii="宋体" w:hAnsi="宋体"/>
          <w:color w:val="auto"/>
          <w:sz w:val="24"/>
          <w:szCs w:val="32"/>
        </w:rPr>
        <w:t>采用竞争性谈判方式</w:t>
      </w:r>
      <w:r>
        <w:rPr>
          <w:rFonts w:hint="eastAsia" w:ascii="宋体" w:hAnsi="宋体"/>
          <w:color w:val="auto"/>
          <w:sz w:val="24"/>
        </w:rPr>
        <w:t>进行采购，特</w:t>
      </w:r>
      <w:r>
        <w:rPr>
          <w:rFonts w:hint="eastAsia" w:ascii="宋体" w:hAnsi="宋体"/>
          <w:color w:val="auto"/>
          <w:sz w:val="24"/>
          <w:szCs w:val="28"/>
        </w:rPr>
        <w:t>邀请符合本次采购要求的供应商参加</w:t>
      </w:r>
      <w:r>
        <w:rPr>
          <w:rFonts w:hint="eastAsia" w:ascii="宋体" w:hAnsi="宋体"/>
          <w:color w:val="auto"/>
          <w:sz w:val="24"/>
        </w:rPr>
        <w:t>本项目的竞争性谈判</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一、采购项目基本情况</w:t>
      </w:r>
    </w:p>
    <w:p>
      <w:pPr>
        <w:keepNext w:val="0"/>
        <w:keepLines w:val="0"/>
        <w:pageBreakBefore w:val="0"/>
        <w:kinsoku/>
        <w:wordWrap/>
        <w:overflowPunct/>
        <w:topLinePunct w:val="0"/>
        <w:autoSpaceDE/>
        <w:autoSpaceDN/>
        <w:bidi w:val="0"/>
        <w:adjustRightInd/>
        <w:snapToGrid/>
        <w:spacing w:line="360" w:lineRule="exact"/>
        <w:ind w:left="1983" w:leftChars="229" w:hanging="1502" w:hangingChars="626"/>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 项目名称：202</w:t>
      </w:r>
      <w:r>
        <w:rPr>
          <w:rFonts w:hint="eastAsia" w:ascii="宋体" w:hAnsi="宋体"/>
          <w:color w:val="auto"/>
          <w:sz w:val="24"/>
          <w:lang w:val="en-US" w:eastAsia="zh-CN"/>
        </w:rPr>
        <w:t>4</w:t>
      </w:r>
      <w:r>
        <w:rPr>
          <w:rFonts w:hint="eastAsia" w:ascii="宋体" w:hAnsi="宋体"/>
          <w:color w:val="auto"/>
          <w:sz w:val="24"/>
        </w:rPr>
        <w:t>年水利工程建设质量监督检测服务采购项目</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 xml:space="preserve"> 采购人：</w:t>
      </w:r>
      <w:r>
        <w:rPr>
          <w:rFonts w:hint="eastAsia" w:ascii="宋体" w:hAnsi="宋体"/>
          <w:color w:val="auto"/>
          <w:sz w:val="24"/>
          <w:lang w:eastAsia="zh-CN"/>
        </w:rPr>
        <w:t>广元市水利局</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二、资金情况</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资金来源：财政性资金。</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三</w:t>
      </w:r>
      <w:r>
        <w:rPr>
          <w:rFonts w:hint="eastAsia" w:ascii="宋体" w:hAnsi="宋体"/>
          <w:b/>
          <w:bCs/>
          <w:color w:val="auto"/>
          <w:sz w:val="24"/>
        </w:rPr>
        <w:t>、</w:t>
      </w:r>
      <w:r>
        <w:rPr>
          <w:rFonts w:hint="eastAsia" w:ascii="宋体" w:hAnsi="宋体"/>
          <w:b/>
          <w:color w:val="auto"/>
          <w:sz w:val="24"/>
        </w:rPr>
        <w:t>采购项目简介</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1、</w:t>
      </w:r>
      <w:r>
        <w:rPr>
          <w:rFonts w:hint="eastAsia" w:cstheme="minorBidi"/>
          <w:color w:val="auto"/>
          <w:sz w:val="24"/>
        </w:rPr>
        <w:t>服务内容</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年水利工程建设质量监督检测服务；</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2、采购标的属于其他未列明行业；</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bCs/>
          <w:color w:val="auto"/>
          <w:sz w:val="24"/>
        </w:rPr>
      </w:pPr>
      <w:r>
        <w:rPr>
          <w:rFonts w:hint="eastAsia" w:ascii="宋体" w:hAnsi="宋体"/>
          <w:color w:val="auto"/>
          <w:sz w:val="24"/>
        </w:rPr>
        <w:t>3、合同履行期限：2024年3月至2024年12月。</w:t>
      </w:r>
    </w:p>
    <w:p>
      <w:pPr>
        <w:keepNext w:val="0"/>
        <w:keepLines w:val="0"/>
        <w:pageBreakBefore w:val="0"/>
        <w:widowControl/>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四、定向采购情况</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本项目</w:t>
      </w:r>
      <w:r>
        <w:rPr>
          <w:rFonts w:hint="eastAsia" w:ascii="宋体" w:hAnsi="宋体"/>
          <w:color w:val="auto"/>
          <w:sz w:val="24"/>
          <w:lang w:eastAsia="zh-CN"/>
        </w:rPr>
        <w:t>不</w:t>
      </w:r>
      <w:r>
        <w:rPr>
          <w:rFonts w:hint="eastAsia" w:ascii="宋体" w:hAnsi="宋体"/>
          <w:color w:val="auto"/>
          <w:sz w:val="24"/>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rPr>
        <w:t>采购。</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bCs/>
          <w:color w:val="auto"/>
          <w:sz w:val="24"/>
        </w:rPr>
      </w:pPr>
      <w:r>
        <w:rPr>
          <w:rFonts w:hint="eastAsia" w:ascii="宋体" w:hAnsi="宋体"/>
          <w:b/>
          <w:bCs/>
          <w:color w:val="auto"/>
          <w:sz w:val="24"/>
        </w:rPr>
        <w:t>五、供应商邀请方式</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olor w:val="auto"/>
          <w:sz w:val="24"/>
        </w:rPr>
      </w:pPr>
      <w:r>
        <w:rPr>
          <w:rFonts w:hint="eastAsia" w:ascii="宋体" w:hAnsi="宋体" w:eastAsia="宋体"/>
          <w:color w:val="auto"/>
          <w:sz w:val="24"/>
        </w:rPr>
        <w:t>公告方式：本次竞争性谈判邀请在</w:t>
      </w:r>
      <w:r>
        <w:rPr>
          <w:rFonts w:hint="eastAsia" w:ascii="宋体" w:hAnsi="宋体" w:eastAsia="宋体"/>
          <w:color w:val="auto"/>
          <w:sz w:val="24"/>
          <w:lang w:eastAsia="zh-CN"/>
        </w:rPr>
        <w:t>广元市水利局官网上</w:t>
      </w:r>
      <w:r>
        <w:rPr>
          <w:rFonts w:hint="eastAsia" w:ascii="宋体" w:hAnsi="宋体" w:eastAsia="宋体"/>
          <w:color w:val="auto"/>
          <w:sz w:val="24"/>
        </w:rPr>
        <w:t>进行公告。</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bCs/>
          <w:color w:val="auto"/>
          <w:sz w:val="24"/>
        </w:rPr>
      </w:pPr>
      <w:r>
        <w:rPr>
          <w:rFonts w:hint="eastAsia" w:ascii="宋体" w:hAnsi="宋体"/>
          <w:b/>
          <w:bCs/>
          <w:color w:val="auto"/>
          <w:sz w:val="24"/>
        </w:rPr>
        <w:t>六、供应商参加本次政府采购活动应具备下列条件</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1、具备《中华人民共和国政府采购法》第二十二条规定的如下条件：</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（1）具有独立承担民事责任的能力；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（3）具有履行合同所必须的设备和专业技术能力；</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（4）有依法缴纳税收和社会保障资金的良好记录；</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（5）参加本次政府采购活动前三年内，在经营活动中没有重大违法记录；</w:t>
      </w:r>
    </w:p>
    <w:p>
      <w:pPr>
        <w:pStyle w:val="63"/>
        <w:keepNext w:val="0"/>
        <w:keepLines w:val="0"/>
        <w:pageBreakBefore w:val="0"/>
        <w:widowControl/>
        <w:tabs>
          <w:tab w:val="left" w:pos="6507"/>
        </w:tabs>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（6）法律、行政法规规定的其他条件。</w:t>
      </w:r>
    </w:p>
    <w:p>
      <w:pPr>
        <w:pStyle w:val="63"/>
        <w:keepNext w:val="0"/>
        <w:keepLines w:val="0"/>
        <w:pageBreakBefore w:val="0"/>
        <w:widowControl/>
        <w:tabs>
          <w:tab w:val="left" w:pos="6507"/>
        </w:tabs>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2、供应商单位及其现任法定代表人、主要负责人没有行贿受贿记录。</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color w:val="auto"/>
          <w:sz w:val="24"/>
        </w:rPr>
      </w:pPr>
      <w:r>
        <w:rPr>
          <w:rFonts w:hint="eastAsia" w:ascii="宋体" w:hAnsi="宋体"/>
          <w:color w:val="auto"/>
          <w:sz w:val="24"/>
        </w:rPr>
        <w:t>3、</w:t>
      </w:r>
      <w:r>
        <w:rPr>
          <w:rFonts w:hint="eastAsia" w:asciiTheme="minorEastAsia" w:hAnsiTheme="minorEastAsia" w:eastAsiaTheme="minorEastAsia"/>
          <w:color w:val="auto"/>
          <w:sz w:val="24"/>
        </w:rPr>
        <w:t>本项目不接受联合体参与采购活动。</w:t>
      </w:r>
    </w:p>
    <w:p>
      <w:pPr>
        <w:pStyle w:val="63"/>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ascii="宋体" w:hAnsi="宋体"/>
          <w:color w:val="auto"/>
          <w:sz w:val="24"/>
        </w:rPr>
      </w:pPr>
      <w:r>
        <w:rPr>
          <w:rFonts w:hint="eastAsia" w:ascii="宋体" w:hAnsi="宋体"/>
          <w:color w:val="auto"/>
          <w:sz w:val="24"/>
        </w:rPr>
        <w:t>采购人根据本次采购项目提出的特定条件证明材料</w:t>
      </w:r>
      <w:r>
        <w:rPr>
          <w:rFonts w:hint="eastAsia" w:ascii="宋体" w:hAnsi="宋体"/>
          <w:color w:val="auto"/>
          <w:sz w:val="24"/>
          <w:lang w:eastAsia="zh-CN"/>
        </w:rPr>
        <w:t>：具有相应水利行政主管部门颁发的水利工程质量检测单位资质证书，其中</w:t>
      </w:r>
      <w:r>
        <w:rPr>
          <w:rFonts w:hint="eastAsia" w:ascii="宋体" w:hAnsi="宋体"/>
          <w:sz w:val="24"/>
        </w:rPr>
        <w:t>岩土工程、混凝土工程、量测</w:t>
      </w:r>
      <w:r>
        <w:rPr>
          <w:rFonts w:hint="eastAsia" w:ascii="宋体" w:hAnsi="宋体"/>
          <w:sz w:val="24"/>
          <w:lang w:val="en-US" w:eastAsia="zh-CN"/>
        </w:rPr>
        <w:t>3</w:t>
      </w:r>
      <w:r>
        <w:rPr>
          <w:rFonts w:hint="eastAsia" w:ascii="宋体" w:hAnsi="宋体"/>
          <w:sz w:val="24"/>
        </w:rPr>
        <w:t>个类别均为</w:t>
      </w:r>
      <w:r>
        <w:rPr>
          <w:rFonts w:hint="eastAsia" w:ascii="宋体" w:hAnsi="宋体"/>
          <w:sz w:val="24"/>
          <w:lang w:eastAsia="zh-CN"/>
        </w:rPr>
        <w:t>乙级或以上资质；</w:t>
      </w:r>
      <w:r>
        <w:rPr>
          <w:rFonts w:hint="eastAsia" w:ascii="宋体" w:hAnsi="宋体"/>
          <w:color w:val="auto"/>
          <w:sz w:val="24"/>
          <w:lang w:eastAsia="zh-CN"/>
        </w:rPr>
        <w:t>具有相应主管部门颁发的检验检测机构计量认证CMA资质认定证书；供应商拟派的项目负责人具有水利类专业工程师及以上资格证书、水利工程质量检测员具有相应水利类专业工程师及以上资格证书等。</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七、禁止参加本次政府采购活动的供应商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ascii="宋体" w:hAnsi="宋体"/>
          <w:b/>
          <w:color w:val="auto"/>
          <w:sz w:val="24"/>
        </w:rPr>
      </w:pPr>
      <w:r>
        <w:rPr>
          <w:rFonts w:hint="eastAsia" w:ascii="宋体" w:hAnsi="宋体"/>
          <w:b/>
          <w:color w:val="auto"/>
          <w:sz w:val="24"/>
        </w:rPr>
        <w:t>八、谈判文件获取方式、时间、地点</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谈判文件自202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月1</w:t>
      </w:r>
      <w:r>
        <w:rPr>
          <w:rFonts w:hint="eastAsia" w:ascii="宋体" w:hAnsi="宋体"/>
          <w:color w:val="auto"/>
          <w:sz w:val="24"/>
          <w:lang w:val="en-US" w:eastAsia="zh-CN"/>
        </w:rPr>
        <w:t>3</w:t>
      </w:r>
      <w:r>
        <w:rPr>
          <w:rFonts w:hint="eastAsia" w:ascii="宋体" w:hAnsi="宋体"/>
          <w:color w:val="auto"/>
          <w:sz w:val="24"/>
        </w:rPr>
        <w:t>日至202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18</w:t>
      </w:r>
      <w:r>
        <w:rPr>
          <w:rFonts w:hint="eastAsia" w:ascii="宋体" w:hAnsi="宋体"/>
          <w:color w:val="auto"/>
          <w:sz w:val="24"/>
        </w:rPr>
        <w:t>日0∶00至24∶00（北京时间</w:t>
      </w:r>
      <w:r>
        <w:rPr>
          <w:rFonts w:ascii="宋体" w:hAnsi="宋体"/>
          <w:color w:val="auto"/>
          <w:sz w:val="24"/>
        </w:rPr>
        <w:t>）</w:t>
      </w:r>
      <w:r>
        <w:rPr>
          <w:rFonts w:hint="eastAsia" w:ascii="宋体" w:hAnsi="宋体"/>
          <w:color w:val="auto"/>
          <w:sz w:val="24"/>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ascii="宋体" w:hAnsi="宋体"/>
          <w:color w:val="auto"/>
          <w:sz w:val="24"/>
        </w:rPr>
        <w:t>本项目潜在供应商应在</w:t>
      </w:r>
      <w:r>
        <w:rPr>
          <w:rFonts w:hint="eastAsia" w:ascii="宋体" w:hAnsi="宋体"/>
          <w:color w:val="auto"/>
          <w:sz w:val="24"/>
          <w:lang w:eastAsia="zh-CN"/>
        </w:rPr>
        <w:t>广元市水利局官网</w:t>
      </w:r>
      <w:r>
        <w:rPr>
          <w:rFonts w:ascii="宋体" w:hAnsi="宋体"/>
          <w:color w:val="auto"/>
          <w:sz w:val="24"/>
        </w:rPr>
        <w:t>获取采购文件。</w:t>
      </w:r>
      <w:r>
        <w:rPr>
          <w:rFonts w:hint="eastAsia" w:ascii="宋体" w:hAnsi="宋体"/>
          <w:color w:val="auto"/>
          <w:sz w:val="24"/>
          <w:szCs w:val="18"/>
        </w:rPr>
        <w:t>项目谈判文件无偿获取，</w:t>
      </w:r>
      <w:r>
        <w:rPr>
          <w:rFonts w:hint="eastAsia" w:ascii="宋体" w:hAnsi="宋体"/>
          <w:color w:val="auto"/>
          <w:sz w:val="24"/>
        </w:rPr>
        <w:t>谈判资格不能转让。</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rPr>
      </w:pPr>
      <w:r>
        <w:rPr>
          <w:rFonts w:hint="eastAsia" w:ascii="宋体" w:hAnsi="宋体"/>
          <w:b/>
          <w:color w:val="auto"/>
          <w:sz w:val="24"/>
          <w:szCs w:val="28"/>
        </w:rPr>
        <w:t>九、递交响应文件</w:t>
      </w:r>
      <w:r>
        <w:rPr>
          <w:rFonts w:hint="eastAsia" w:ascii="宋体" w:hAnsi="宋体"/>
          <w:b/>
          <w:color w:val="auto"/>
          <w:sz w:val="24"/>
        </w:rPr>
        <w:t>开始时间</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bCs/>
          <w:color w:val="auto"/>
          <w:sz w:val="24"/>
        </w:rPr>
        <w:t>202</w:t>
      </w:r>
      <w:r>
        <w:rPr>
          <w:rFonts w:hint="eastAsia" w:ascii="宋体" w:hAnsi="宋体"/>
          <w:bCs/>
          <w:color w:val="auto"/>
          <w:sz w:val="24"/>
          <w:lang w:val="en-US" w:eastAsia="zh-CN"/>
        </w:rPr>
        <w:t>4</w:t>
      </w:r>
      <w:r>
        <w:rPr>
          <w:rFonts w:hint="eastAsia" w:ascii="宋体" w:hAnsi="宋体"/>
          <w:bCs/>
          <w:color w:val="auto"/>
          <w:sz w:val="24"/>
        </w:rPr>
        <w:t>年</w:t>
      </w:r>
      <w:r>
        <w:rPr>
          <w:rFonts w:hint="eastAsia" w:ascii="宋体" w:hAnsi="宋体"/>
          <w:bCs/>
          <w:color w:val="auto"/>
          <w:sz w:val="24"/>
          <w:lang w:val="en-US" w:eastAsia="zh-CN"/>
        </w:rPr>
        <w:t>3</w:t>
      </w:r>
      <w:r>
        <w:rPr>
          <w:rFonts w:hint="eastAsia" w:ascii="宋体" w:hAnsi="宋体"/>
          <w:bCs/>
          <w:color w:val="auto"/>
          <w:sz w:val="24"/>
        </w:rPr>
        <w:t>月</w:t>
      </w:r>
      <w:r>
        <w:rPr>
          <w:rFonts w:hint="eastAsia" w:ascii="宋体" w:hAnsi="宋体"/>
          <w:bCs/>
          <w:color w:val="auto"/>
          <w:sz w:val="24"/>
          <w:lang w:val="en-US" w:eastAsia="zh-CN"/>
        </w:rPr>
        <w:t>19</w:t>
      </w:r>
      <w:r>
        <w:rPr>
          <w:rFonts w:hint="eastAsia" w:ascii="宋体" w:hAnsi="宋体"/>
          <w:bCs/>
          <w:color w:val="auto"/>
          <w:sz w:val="24"/>
        </w:rPr>
        <w:t>日上午9</w:t>
      </w:r>
      <w:r>
        <w:rPr>
          <w:rFonts w:ascii="宋体" w:hAnsi="宋体"/>
          <w:bCs/>
          <w:color w:val="auto"/>
          <w:sz w:val="24"/>
        </w:rPr>
        <w:t>:3</w:t>
      </w:r>
      <w:r>
        <w:rPr>
          <w:rFonts w:hint="eastAsia" w:ascii="宋体" w:hAnsi="宋体"/>
          <w:bCs/>
          <w:color w:val="auto"/>
          <w:sz w:val="24"/>
        </w:rPr>
        <w:t>0</w:t>
      </w:r>
      <w:r>
        <w:rPr>
          <w:rFonts w:ascii="宋体" w:hAnsi="宋体"/>
          <w:color w:val="auto"/>
          <w:sz w:val="24"/>
          <w:szCs w:val="28"/>
        </w:rPr>
        <w:t>（北京时间）</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rPr>
      </w:pPr>
      <w:r>
        <w:rPr>
          <w:rFonts w:hint="eastAsia" w:ascii="宋体" w:hAnsi="宋体"/>
          <w:b/>
          <w:color w:val="auto"/>
          <w:sz w:val="24"/>
          <w:szCs w:val="28"/>
        </w:rPr>
        <w:t>十、递交响应文件</w:t>
      </w:r>
      <w:r>
        <w:rPr>
          <w:rFonts w:hint="eastAsia" w:ascii="宋体" w:hAnsi="宋体"/>
          <w:b/>
          <w:color w:val="auto"/>
          <w:sz w:val="24"/>
        </w:rPr>
        <w:t>截止时间</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bCs/>
          <w:color w:val="auto"/>
          <w:sz w:val="24"/>
        </w:rPr>
        <w:t>202</w:t>
      </w:r>
      <w:r>
        <w:rPr>
          <w:rFonts w:hint="eastAsia" w:ascii="宋体" w:hAnsi="宋体"/>
          <w:bCs/>
          <w:color w:val="auto"/>
          <w:sz w:val="24"/>
          <w:lang w:val="en-US" w:eastAsia="zh-CN"/>
        </w:rPr>
        <w:t>4</w:t>
      </w:r>
      <w:r>
        <w:rPr>
          <w:rFonts w:hint="eastAsia" w:ascii="宋体" w:hAnsi="宋体"/>
          <w:bCs/>
          <w:color w:val="auto"/>
          <w:sz w:val="24"/>
        </w:rPr>
        <w:t>年</w:t>
      </w:r>
      <w:r>
        <w:rPr>
          <w:rFonts w:hint="eastAsia" w:ascii="宋体" w:hAnsi="宋体"/>
          <w:bCs/>
          <w:color w:val="auto"/>
          <w:sz w:val="24"/>
          <w:lang w:val="en-US" w:eastAsia="zh-CN"/>
        </w:rPr>
        <w:t>3</w:t>
      </w:r>
      <w:r>
        <w:rPr>
          <w:rFonts w:hint="eastAsia" w:ascii="宋体" w:hAnsi="宋体"/>
          <w:bCs/>
          <w:color w:val="auto"/>
          <w:sz w:val="24"/>
        </w:rPr>
        <w:t>月</w:t>
      </w:r>
      <w:r>
        <w:rPr>
          <w:rFonts w:hint="eastAsia" w:ascii="宋体" w:hAnsi="宋体"/>
          <w:bCs/>
          <w:color w:val="auto"/>
          <w:sz w:val="24"/>
          <w:lang w:val="en-US" w:eastAsia="zh-CN"/>
        </w:rPr>
        <w:t>19</w:t>
      </w:r>
      <w:r>
        <w:rPr>
          <w:rFonts w:hint="eastAsia" w:ascii="宋体" w:hAnsi="宋体"/>
          <w:bCs/>
          <w:color w:val="auto"/>
          <w:sz w:val="24"/>
        </w:rPr>
        <w:t>日上午10</w:t>
      </w:r>
      <w:r>
        <w:rPr>
          <w:rFonts w:ascii="宋体" w:hAnsi="宋体"/>
          <w:bCs/>
          <w:color w:val="auto"/>
          <w:sz w:val="24"/>
        </w:rPr>
        <w:t>:0</w:t>
      </w:r>
      <w:r>
        <w:rPr>
          <w:rFonts w:hint="eastAsia" w:ascii="宋体" w:hAnsi="宋体"/>
          <w:bCs/>
          <w:color w:val="auto"/>
          <w:sz w:val="24"/>
        </w:rPr>
        <w:t>0</w:t>
      </w:r>
      <w:r>
        <w:rPr>
          <w:rFonts w:ascii="宋体" w:hAnsi="宋体"/>
          <w:color w:val="auto"/>
          <w:sz w:val="24"/>
          <w:szCs w:val="28"/>
        </w:rPr>
        <w:t>（北京时间）</w:t>
      </w:r>
      <w:r>
        <w:rPr>
          <w:rFonts w:hint="eastAsia" w:ascii="宋体" w:hAnsi="宋体"/>
          <w:color w:val="auto"/>
          <w:sz w:val="24"/>
          <w:szCs w:val="28"/>
        </w:rPr>
        <w:t>。</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rPr>
      </w:pPr>
      <w:r>
        <w:rPr>
          <w:rFonts w:hint="eastAsia" w:ascii="宋体" w:hAnsi="宋体"/>
          <w:b/>
          <w:color w:val="auto"/>
          <w:sz w:val="24"/>
          <w:szCs w:val="28"/>
        </w:rPr>
        <w:t xml:space="preserve">十一、 </w:t>
      </w:r>
      <w:r>
        <w:rPr>
          <w:rFonts w:hint="eastAsia" w:ascii="宋体" w:hAnsi="宋体"/>
          <w:b/>
          <w:color w:val="auto"/>
          <w:sz w:val="24"/>
        </w:rPr>
        <w:t>递交响应文件地点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color w:val="auto"/>
          <w:sz w:val="24"/>
        </w:rPr>
        <w:t>响应文件必须在递交响应文件截止时间前送达谈判地点。逾期送达、密封和标注错误的响应文件，采购机构恕不接收。本次采购不接收邮寄的响应文件。</w:t>
      </w:r>
    </w:p>
    <w:p>
      <w:pPr>
        <w:keepNext w:val="0"/>
        <w:keepLines w:val="0"/>
        <w:pageBreakBefore w:val="0"/>
        <w:kinsoku/>
        <w:wordWrap/>
        <w:overflowPunct/>
        <w:topLinePunct w:val="0"/>
        <w:autoSpaceDE/>
        <w:autoSpaceDN/>
        <w:bidi w:val="0"/>
        <w:adjustRightInd/>
        <w:snapToGrid/>
        <w:spacing w:line="360" w:lineRule="exact"/>
        <w:ind w:firstLine="481" w:firstLineChars="200"/>
        <w:textAlignment w:val="auto"/>
        <w:rPr>
          <w:rFonts w:hint="eastAsia" w:ascii="宋体" w:hAnsi="宋体"/>
          <w:b/>
          <w:color w:val="auto"/>
          <w:sz w:val="24"/>
          <w:szCs w:val="28"/>
        </w:rPr>
      </w:pPr>
      <w:r>
        <w:rPr>
          <w:rFonts w:hint="eastAsia" w:ascii="宋体" w:hAnsi="宋体"/>
          <w:b/>
          <w:color w:val="auto"/>
          <w:sz w:val="24"/>
          <w:szCs w:val="28"/>
        </w:rPr>
        <w:t>十二、 响应文件开启时间</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8"/>
        </w:rPr>
      </w:pPr>
      <w:r>
        <w:rPr>
          <w:rFonts w:hint="eastAsia" w:ascii="宋体" w:hAnsi="宋体"/>
          <w:bCs/>
          <w:color w:val="auto"/>
          <w:sz w:val="24"/>
        </w:rPr>
        <w:t>202</w:t>
      </w:r>
      <w:r>
        <w:rPr>
          <w:rFonts w:hint="eastAsia" w:ascii="宋体" w:hAnsi="宋体"/>
          <w:bCs/>
          <w:color w:val="auto"/>
          <w:sz w:val="24"/>
          <w:lang w:val="en-US" w:eastAsia="zh-CN"/>
        </w:rPr>
        <w:t>4</w:t>
      </w:r>
      <w:r>
        <w:rPr>
          <w:rFonts w:hint="eastAsia" w:ascii="宋体" w:hAnsi="宋体"/>
          <w:bCs/>
          <w:color w:val="auto"/>
          <w:sz w:val="24"/>
        </w:rPr>
        <w:t>年</w:t>
      </w:r>
      <w:r>
        <w:rPr>
          <w:rFonts w:hint="eastAsia" w:ascii="宋体" w:hAnsi="宋体"/>
          <w:bCs/>
          <w:color w:val="auto"/>
          <w:sz w:val="24"/>
          <w:lang w:val="en-US" w:eastAsia="zh-CN"/>
        </w:rPr>
        <w:t>3</w:t>
      </w:r>
      <w:r>
        <w:rPr>
          <w:rFonts w:hint="eastAsia" w:ascii="宋体" w:hAnsi="宋体"/>
          <w:bCs/>
          <w:color w:val="auto"/>
          <w:sz w:val="24"/>
        </w:rPr>
        <w:t>月</w:t>
      </w:r>
      <w:r>
        <w:rPr>
          <w:rFonts w:hint="eastAsia" w:ascii="宋体" w:hAnsi="宋体"/>
          <w:bCs/>
          <w:color w:val="auto"/>
          <w:sz w:val="24"/>
          <w:lang w:val="en-US" w:eastAsia="zh-CN"/>
        </w:rPr>
        <w:t>19</w:t>
      </w:r>
      <w:r>
        <w:rPr>
          <w:rFonts w:hint="eastAsia" w:ascii="宋体" w:hAnsi="宋体"/>
          <w:bCs/>
          <w:color w:val="auto"/>
          <w:sz w:val="24"/>
        </w:rPr>
        <w:t>日上午10</w:t>
      </w:r>
      <w:r>
        <w:rPr>
          <w:rFonts w:ascii="宋体" w:hAnsi="宋体"/>
          <w:bCs/>
          <w:color w:val="auto"/>
          <w:sz w:val="24"/>
        </w:rPr>
        <w:t>:0</w:t>
      </w:r>
      <w:r>
        <w:rPr>
          <w:rFonts w:hint="eastAsia" w:ascii="宋体" w:hAnsi="宋体"/>
          <w:bCs/>
          <w:color w:val="auto"/>
          <w:sz w:val="24"/>
        </w:rPr>
        <w:t>0</w:t>
      </w:r>
      <w:r>
        <w:rPr>
          <w:rFonts w:ascii="宋体" w:hAnsi="宋体"/>
          <w:color w:val="auto"/>
          <w:sz w:val="24"/>
          <w:szCs w:val="28"/>
        </w:rPr>
        <w:t>（北京时间）</w:t>
      </w:r>
      <w:r>
        <w:rPr>
          <w:rFonts w:hint="eastAsia" w:ascii="宋体" w:hAnsi="宋体"/>
          <w:color w:val="auto"/>
          <w:sz w:val="24"/>
          <w:szCs w:val="28"/>
        </w:rPr>
        <w:t>在谈判地点开启。</w:t>
      </w:r>
    </w:p>
    <w:p>
      <w:pPr>
        <w:keepNext w:val="0"/>
        <w:keepLines w:val="0"/>
        <w:pageBreakBefore w:val="0"/>
        <w:kinsoku/>
        <w:wordWrap/>
        <w:overflowPunct/>
        <w:topLinePunct w:val="0"/>
        <w:autoSpaceDE/>
        <w:autoSpaceDN/>
        <w:bidi w:val="0"/>
        <w:adjustRightInd/>
        <w:snapToGrid/>
        <w:spacing w:line="360" w:lineRule="exact"/>
        <w:ind w:firstLine="489" w:firstLineChars="203"/>
        <w:textAlignment w:val="auto"/>
        <w:rPr>
          <w:rFonts w:ascii="宋体" w:hAnsi="宋体"/>
          <w:b/>
          <w:color w:val="auto"/>
          <w:sz w:val="24"/>
          <w:szCs w:val="28"/>
        </w:rPr>
      </w:pPr>
      <w:r>
        <w:rPr>
          <w:rFonts w:hint="eastAsia" w:ascii="宋体" w:hAnsi="宋体"/>
          <w:b/>
          <w:color w:val="auto"/>
          <w:sz w:val="24"/>
          <w:szCs w:val="28"/>
        </w:rPr>
        <w:t>十三、谈判</w:t>
      </w:r>
      <w:r>
        <w:rPr>
          <w:rFonts w:ascii="宋体" w:hAnsi="宋体"/>
          <w:b/>
          <w:color w:val="auto"/>
          <w:sz w:val="24"/>
          <w:szCs w:val="28"/>
        </w:rPr>
        <w:t>地点</w:t>
      </w:r>
    </w:p>
    <w:p>
      <w:pPr>
        <w:keepNext w:val="0"/>
        <w:keepLines w:val="0"/>
        <w:pageBreakBefore w:val="0"/>
        <w:kinsoku/>
        <w:wordWrap/>
        <w:overflowPunct/>
        <w:topLinePunct w:val="0"/>
        <w:autoSpaceDE/>
        <w:autoSpaceDN/>
        <w:bidi w:val="0"/>
        <w:adjustRightInd/>
        <w:snapToGrid/>
        <w:spacing w:line="360" w:lineRule="exact"/>
        <w:ind w:firstLine="487" w:firstLineChars="203"/>
        <w:textAlignment w:val="auto"/>
        <w:rPr>
          <w:rFonts w:ascii="宋体" w:hAnsi="宋体"/>
          <w:color w:val="auto"/>
          <w:sz w:val="24"/>
          <w:szCs w:val="28"/>
        </w:rPr>
      </w:pPr>
      <w:r>
        <w:rPr>
          <w:rFonts w:hint="eastAsia" w:ascii="宋体" w:hAnsi="宋体"/>
          <w:color w:val="auto"/>
          <w:sz w:val="24"/>
        </w:rPr>
        <w:t>广元市水利局五楼会议室(广元市利州区利州东路一段659号)</w:t>
      </w:r>
      <w:r>
        <w:rPr>
          <w:rFonts w:hint="eastAsia" w:ascii="宋体" w:hAnsi="宋体"/>
          <w:bCs/>
          <w:color w:val="auto"/>
          <w:sz w:val="24"/>
          <w:szCs w:val="28"/>
        </w:rPr>
        <w:t>。</w:t>
      </w:r>
    </w:p>
    <w:p>
      <w:pPr>
        <w:pStyle w:val="48"/>
        <w:keepNext w:val="0"/>
        <w:keepLines w:val="0"/>
        <w:pageBreakBefore w:val="0"/>
        <w:kinsoku/>
        <w:wordWrap/>
        <w:overflowPunct/>
        <w:topLinePunct w:val="0"/>
        <w:autoSpaceDE/>
        <w:autoSpaceDN/>
        <w:bidi w:val="0"/>
        <w:adjustRightInd/>
        <w:snapToGrid/>
        <w:spacing w:line="360" w:lineRule="exact"/>
        <w:ind w:firstLine="482"/>
        <w:textAlignment w:val="auto"/>
        <w:rPr>
          <w:rFonts w:ascii="宋体" w:hAnsi="宋体"/>
          <w:b/>
          <w:color w:val="auto"/>
          <w:sz w:val="24"/>
        </w:rPr>
      </w:pPr>
      <w:r>
        <w:rPr>
          <w:rFonts w:hint="eastAsia" w:ascii="宋体" w:hAnsi="宋体"/>
          <w:b/>
          <w:color w:val="auto"/>
          <w:sz w:val="24"/>
        </w:rPr>
        <w:t>十四、联系方式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采 购 人：</w:t>
      </w:r>
      <w:r>
        <w:rPr>
          <w:rFonts w:hint="eastAsia" w:ascii="宋体" w:hAnsi="宋体"/>
          <w:color w:val="auto"/>
          <w:sz w:val="24"/>
          <w:lang w:eastAsia="zh-CN"/>
        </w:rPr>
        <w:t>广元市水利局</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auto"/>
          <w:sz w:val="24"/>
        </w:rPr>
      </w:pPr>
      <w:r>
        <w:rPr>
          <w:rFonts w:hint="eastAsia" w:ascii="宋体" w:hAnsi="宋体"/>
          <w:color w:val="auto"/>
          <w:sz w:val="24"/>
        </w:rPr>
        <w:t>通讯地址：广元市利州区利州东路一段659号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rPr>
      </w:pPr>
      <w:r>
        <w:rPr>
          <w:rFonts w:hint="eastAsia" w:ascii="宋体" w:hAnsi="宋体"/>
          <w:color w:val="auto"/>
          <w:sz w:val="24"/>
        </w:rPr>
        <w:t>联 系 人：</w:t>
      </w:r>
      <w:r>
        <w:rPr>
          <w:rFonts w:hint="eastAsia" w:ascii="宋体" w:hAnsi="宋体"/>
          <w:color w:val="auto"/>
          <w:sz w:val="24"/>
          <w:lang w:eastAsia="zh-CN"/>
        </w:rPr>
        <w:t>谢</w:t>
      </w:r>
      <w:r>
        <w:rPr>
          <w:rFonts w:hint="eastAsia" w:ascii="宋体" w:hAnsi="宋体"/>
          <w:color w:val="auto"/>
          <w:sz w:val="24"/>
        </w:rPr>
        <w:t>老师</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olor w:val="auto"/>
          <w:sz w:val="24"/>
          <w:lang w:val="en-US"/>
        </w:rPr>
      </w:pPr>
      <w:r>
        <w:rPr>
          <w:rFonts w:hint="eastAsia" w:ascii="宋体" w:hAnsi="宋体" w:eastAsia="宋体"/>
          <w:color w:val="auto"/>
          <w:sz w:val="24"/>
        </w:rPr>
        <w:t>联系电话：</w:t>
      </w:r>
      <w:r>
        <w:rPr>
          <w:rFonts w:hint="eastAsia" w:ascii="宋体" w:hAnsi="宋体"/>
          <w:color w:val="auto"/>
          <w:sz w:val="24"/>
          <w:lang w:val="en-US" w:eastAsia="zh-CN"/>
        </w:rPr>
        <w:t>18381055260</w:t>
      </w:r>
    </w:p>
    <w:p>
      <w:pPr>
        <w:pStyle w:val="4"/>
        <w:keepNext w:val="0"/>
        <w:keepLines w:val="0"/>
        <w:spacing w:beforeLines="100" w:afterLines="100" w:line="360" w:lineRule="auto"/>
        <w:jc w:val="center"/>
        <w:rPr>
          <w:rFonts w:ascii="宋体" w:hAnsi="宋体"/>
          <w:b w:val="0"/>
          <w:bCs w:val="0"/>
          <w:color w:val="auto"/>
          <w:sz w:val="36"/>
        </w:rPr>
      </w:pPr>
      <w:bookmarkStart w:id="6" w:name="_Toc217446031"/>
      <w:bookmarkStart w:id="7" w:name="_Toc213397009"/>
      <w:bookmarkStart w:id="8" w:name="_Toc534620639"/>
      <w:bookmarkStart w:id="9" w:name="_Toc534620549"/>
      <w:bookmarkStart w:id="10" w:name="_Toc213396945"/>
      <w:bookmarkStart w:id="11" w:name="_Toc534622131"/>
      <w:bookmarkStart w:id="12" w:name="_Toc534623355"/>
      <w:bookmarkStart w:id="13" w:name="_Toc213396759"/>
      <w:bookmarkStart w:id="14" w:name="_Toc213496267"/>
      <w:r>
        <w:rPr>
          <w:rFonts w:ascii="宋体" w:hAnsi="宋体"/>
          <w:color w:val="auto"/>
          <w:sz w:val="36"/>
        </w:rPr>
        <w:br w:type="page"/>
      </w:r>
      <w:bookmarkStart w:id="15" w:name="_Toc1276312075"/>
      <w:r>
        <w:rPr>
          <w:rFonts w:hint="eastAsia" w:ascii="宋体" w:hAnsi="宋体" w:eastAsia="宋体"/>
          <w:color w:val="auto"/>
          <w:sz w:val="36"/>
          <w:szCs w:val="36"/>
        </w:rPr>
        <w:t>第二章  谈判须知</w:t>
      </w:r>
      <w:bookmarkEnd w:id="6"/>
      <w:bookmarkEnd w:id="7"/>
      <w:bookmarkEnd w:id="8"/>
      <w:bookmarkEnd w:id="9"/>
      <w:bookmarkEnd w:id="10"/>
      <w:bookmarkEnd w:id="11"/>
      <w:bookmarkEnd w:id="12"/>
      <w:bookmarkEnd w:id="13"/>
      <w:bookmarkEnd w:id="14"/>
      <w:bookmarkEnd w:id="15"/>
    </w:p>
    <w:p>
      <w:pPr>
        <w:pStyle w:val="4"/>
        <w:keepNext w:val="0"/>
        <w:keepLines w:val="0"/>
        <w:spacing w:beforeLines="100" w:afterLines="100" w:line="360" w:lineRule="auto"/>
        <w:jc w:val="center"/>
        <w:rPr>
          <w:rFonts w:ascii="宋体" w:hAnsi="宋体" w:eastAsia="宋体"/>
          <w:color w:val="auto"/>
        </w:rPr>
      </w:pPr>
      <w:bookmarkStart w:id="16" w:name="_Toc534623356"/>
      <w:bookmarkStart w:id="17" w:name="_Toc534620550"/>
      <w:bookmarkStart w:id="18" w:name="_Toc536633421"/>
      <w:bookmarkStart w:id="19" w:name="_Toc1642503975"/>
      <w:bookmarkStart w:id="20" w:name="_Toc534622132"/>
      <w:bookmarkStart w:id="21" w:name="_Toc534620640"/>
      <w:r>
        <w:rPr>
          <w:rFonts w:hint="eastAsia" w:ascii="宋体" w:hAnsi="宋体" w:eastAsia="宋体"/>
          <w:color w:val="auto"/>
        </w:rPr>
        <w:t>一、供应商须知前附表</w:t>
      </w:r>
      <w:bookmarkEnd w:id="16"/>
      <w:bookmarkEnd w:id="17"/>
      <w:bookmarkEnd w:id="18"/>
      <w:bookmarkEnd w:id="19"/>
      <w:bookmarkEnd w:id="20"/>
      <w:bookmarkEnd w:id="21"/>
    </w:p>
    <w:tbl>
      <w:tblPr>
        <w:tblStyle w:val="4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35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pStyle w:val="50"/>
              <w:jc w:val="center"/>
              <w:rPr>
                <w:rFonts w:ascii="宋体" w:hAnsi="宋体"/>
                <w:color w:val="auto"/>
                <w:lang w:val="zh-CN"/>
              </w:rPr>
            </w:pPr>
            <w:r>
              <w:rPr>
                <w:rFonts w:hint="eastAsia" w:ascii="宋体" w:hAnsi="宋体"/>
                <w:color w:val="auto"/>
                <w:lang w:val="zh-CN"/>
              </w:rPr>
              <w:t>序号</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应知事项</w:t>
            </w:r>
          </w:p>
        </w:tc>
        <w:tc>
          <w:tcPr>
            <w:tcW w:w="5670" w:type="dxa"/>
            <w:vAlign w:val="center"/>
          </w:tcPr>
          <w:p>
            <w:pPr>
              <w:pStyle w:val="50"/>
              <w:jc w:val="center"/>
              <w:rPr>
                <w:rFonts w:ascii="宋体" w:hAnsi="宋体"/>
                <w:color w:val="auto"/>
                <w:lang w:val="zh-CN"/>
              </w:rPr>
            </w:pPr>
            <w:r>
              <w:rPr>
                <w:rFonts w:hint="eastAsia" w:ascii="宋体" w:hAnsi="宋体"/>
                <w:color w:val="auto"/>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1</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公告方式</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Theme="minorEastAsia" w:hAnsiTheme="minorEastAsia" w:eastAsiaTheme="minorEastAsia"/>
                <w:color w:val="auto"/>
                <w:lang w:val="zh-CN"/>
              </w:rPr>
              <w:t>广元市水利局官网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2</w:t>
            </w:r>
          </w:p>
        </w:tc>
        <w:tc>
          <w:tcPr>
            <w:tcW w:w="2356" w:type="dxa"/>
            <w:vAlign w:val="center"/>
          </w:tcPr>
          <w:p>
            <w:pPr>
              <w:pStyle w:val="50"/>
              <w:jc w:val="center"/>
              <w:rPr>
                <w:rFonts w:ascii="宋体" w:hAnsi="宋体"/>
                <w:b/>
                <w:color w:val="auto"/>
                <w:lang w:val="zh-CN"/>
              </w:rPr>
            </w:pPr>
            <w:r>
              <w:rPr>
                <w:rFonts w:hint="eastAsia" w:ascii="宋体" w:hAnsi="宋体"/>
                <w:color w:val="auto"/>
                <w:lang w:val="zh-CN"/>
              </w:rPr>
              <w:t>资金情况</w:t>
            </w:r>
          </w:p>
        </w:tc>
        <w:tc>
          <w:tcPr>
            <w:tcW w:w="5670" w:type="dxa"/>
            <w:vAlign w:val="center"/>
          </w:tcPr>
          <w:p>
            <w:pPr>
              <w:widowControl/>
              <w:spacing w:beforeLines="50" w:afterLines="50"/>
              <w:ind w:left="105" w:leftChars="50" w:right="105" w:rightChars="50"/>
              <w:rPr>
                <w:rFonts w:hint="eastAsia" w:ascii="宋体" w:hAnsi="宋体" w:eastAsia="宋体"/>
                <w:color w:val="auto"/>
                <w:sz w:val="24"/>
                <w:lang w:eastAsia="zh-CN"/>
              </w:rPr>
            </w:pPr>
            <w:r>
              <w:rPr>
                <w:rFonts w:hint="eastAsia" w:ascii="宋体" w:hAnsi="宋体"/>
                <w:color w:val="auto"/>
                <w:sz w:val="24"/>
                <w:lang w:eastAsia="zh-CN"/>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3</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最高限价</w:t>
            </w:r>
          </w:p>
          <w:p>
            <w:pPr>
              <w:pStyle w:val="50"/>
              <w:jc w:val="center"/>
              <w:rPr>
                <w:rFonts w:ascii="宋体" w:hAnsi="宋体"/>
                <w:b/>
                <w:color w:val="auto"/>
                <w:lang w:val="zh-CN"/>
              </w:rPr>
            </w:pPr>
            <w:r>
              <w:rPr>
                <w:rFonts w:hint="eastAsia" w:ascii="宋体" w:hAnsi="宋体"/>
                <w:b/>
                <w:color w:val="auto"/>
              </w:rPr>
              <w:t>（实质性要求）</w:t>
            </w:r>
          </w:p>
        </w:tc>
        <w:tc>
          <w:tcPr>
            <w:tcW w:w="5670" w:type="dxa"/>
            <w:vAlign w:val="center"/>
          </w:tcPr>
          <w:p>
            <w:pPr>
              <w:widowControl/>
              <w:spacing w:beforeLines="50" w:afterLines="50"/>
              <w:ind w:left="105" w:leftChars="50" w:right="105" w:rightChars="50"/>
              <w:rPr>
                <w:rFonts w:ascii="宋体" w:hAnsi="宋体"/>
                <w:color w:val="auto"/>
                <w:sz w:val="24"/>
              </w:rPr>
            </w:pPr>
            <w:r>
              <w:rPr>
                <w:rFonts w:hint="eastAsia" w:ascii="宋体" w:hAnsi="宋体"/>
                <w:color w:val="auto"/>
                <w:kern w:val="0"/>
                <w:sz w:val="24"/>
              </w:rPr>
              <w:t>最高限价：供应商按折扣率报价，且不超过100%(最高限价)，各项单价超过最高限价的报价为无效响应。</w:t>
            </w:r>
          </w:p>
          <w:p>
            <w:pPr>
              <w:widowControl/>
              <w:spacing w:beforeLines="50" w:afterLines="50"/>
              <w:ind w:left="105" w:leftChars="50" w:right="105" w:rightChars="50"/>
              <w:rPr>
                <w:rFonts w:ascii="宋体" w:hAnsi="宋体"/>
                <w:color w:val="auto"/>
                <w:sz w:val="24"/>
              </w:rPr>
            </w:pPr>
            <w:r>
              <w:rPr>
                <w:rFonts w:hint="eastAsia" w:ascii="宋体" w:hAnsi="宋体"/>
                <w:color w:val="auto"/>
                <w:sz w:val="24"/>
              </w:rPr>
              <w:t>本项目最高限价详见第五章。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05" w:type="dxa"/>
            <w:vAlign w:val="center"/>
          </w:tcPr>
          <w:p>
            <w:pPr>
              <w:pStyle w:val="50"/>
              <w:jc w:val="center"/>
              <w:rPr>
                <w:rFonts w:cs="Courier New" w:asciiTheme="minorEastAsia" w:hAnsiTheme="minorEastAsia" w:eastAsiaTheme="minorEastAsia"/>
                <w:color w:val="auto"/>
                <w:lang w:val="zh-CN"/>
              </w:rPr>
            </w:pPr>
            <w:r>
              <w:rPr>
                <w:rFonts w:hint="eastAsia" w:cs="Courier New" w:asciiTheme="minorEastAsia" w:hAnsiTheme="minorEastAsia" w:eastAsiaTheme="minorEastAsia"/>
                <w:color w:val="auto"/>
                <w:lang w:val="zh-CN"/>
              </w:rPr>
              <w:t>4</w:t>
            </w:r>
          </w:p>
        </w:tc>
        <w:tc>
          <w:tcPr>
            <w:tcW w:w="2356"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定向采购</w:t>
            </w:r>
          </w:p>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（实质性要求）</w:t>
            </w:r>
          </w:p>
        </w:tc>
        <w:tc>
          <w:tcPr>
            <w:tcW w:w="5670" w:type="dxa"/>
            <w:vAlign w:val="center"/>
          </w:tcPr>
          <w:p>
            <w:pPr>
              <w:pStyle w:val="50"/>
              <w:spacing w:beforeLines="50"/>
              <w:ind w:left="105" w:leftChars="50" w:right="105" w:rightChars="50"/>
              <w:rPr>
                <w:rFonts w:asciiTheme="minorEastAsia" w:hAnsiTheme="minorEastAsia" w:eastAsiaTheme="minorEastAsia"/>
                <w:color w:val="auto"/>
              </w:rPr>
            </w:pPr>
            <w:r>
              <w:rPr>
                <w:rFonts w:hint="eastAsia" w:asciiTheme="minorEastAsia" w:hAnsiTheme="minorEastAsia" w:eastAsiaTheme="minorEastAsia"/>
                <w:color w:val="auto"/>
              </w:rPr>
              <w:t>本</w:t>
            </w:r>
            <w:r>
              <w:rPr>
                <w:rFonts w:hint="eastAsia" w:asciiTheme="minorEastAsia" w:hAnsiTheme="minorEastAsia" w:eastAsiaTheme="minorEastAsia"/>
                <w:color w:val="auto"/>
                <w:kern w:val="2"/>
              </w:rPr>
              <w:t>项目</w:t>
            </w:r>
            <w:r>
              <w:rPr>
                <w:rFonts w:hint="eastAsia" w:asciiTheme="minorEastAsia" w:hAnsiTheme="minorEastAsia" w:eastAsiaTheme="minorEastAsia"/>
                <w:color w:val="auto"/>
                <w:kern w:val="2"/>
                <w:lang w:eastAsia="zh-CN"/>
              </w:rPr>
              <w:t>不</w:t>
            </w:r>
            <w:r>
              <w:rPr>
                <w:rFonts w:hint="eastAsia" w:asciiTheme="minorEastAsia" w:hAnsiTheme="minorEastAsia" w:eastAsiaTheme="minorEastAsia"/>
                <w:color w:val="auto"/>
                <w:kern w:val="2"/>
              </w:rPr>
              <w:t>专门面向中小企业</w:t>
            </w:r>
            <w:r>
              <w:rPr>
                <w:rFonts w:hint="eastAsia" w:ascii="宋体" w:cs="宋体"/>
                <w:color w:val="auto"/>
              </w:rPr>
              <w:t>（残疾人福利性单位、监狱企业视同小微企业）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5</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联合体</w:t>
            </w:r>
          </w:p>
          <w:p>
            <w:pPr>
              <w:pStyle w:val="50"/>
              <w:jc w:val="center"/>
              <w:rPr>
                <w:rFonts w:ascii="宋体" w:hAnsi="宋体"/>
                <w:color w:val="auto"/>
                <w:lang w:val="zh-CN"/>
              </w:rPr>
            </w:pPr>
            <w:r>
              <w:rPr>
                <w:rFonts w:hint="eastAsia" w:ascii="宋体" w:hAnsi="宋体"/>
                <w:b/>
                <w:color w:val="auto"/>
              </w:rPr>
              <w:t>（实质性要求）</w:t>
            </w:r>
          </w:p>
        </w:tc>
        <w:tc>
          <w:tcPr>
            <w:tcW w:w="5670" w:type="dxa"/>
            <w:vAlign w:val="center"/>
          </w:tcPr>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6</w:t>
            </w:r>
          </w:p>
        </w:tc>
        <w:tc>
          <w:tcPr>
            <w:tcW w:w="2356" w:type="dxa"/>
            <w:vAlign w:val="center"/>
          </w:tcPr>
          <w:p>
            <w:pPr>
              <w:pStyle w:val="50"/>
              <w:jc w:val="center"/>
              <w:rPr>
                <w:rFonts w:ascii="宋体" w:hAnsi="宋体"/>
                <w:color w:val="auto"/>
              </w:rPr>
            </w:pPr>
            <w:r>
              <w:rPr>
                <w:color w:val="auto"/>
              </w:rPr>
              <w:t>竞争性谈判响应文 件有效期</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递交响应文件截止之日起90天</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ascii="宋体" w:hAnsi="宋体" w:cs="Courier New"/>
                <w:color w:val="auto"/>
                <w:lang w:val="zh-CN"/>
              </w:rPr>
            </w:pPr>
            <w:r>
              <w:rPr>
                <w:rFonts w:hint="eastAsia" w:ascii="宋体" w:hAnsi="宋体" w:cs="Courier New"/>
                <w:color w:val="auto"/>
                <w:lang w:val="zh-CN"/>
              </w:rPr>
              <w:t>7</w:t>
            </w:r>
          </w:p>
        </w:tc>
        <w:tc>
          <w:tcPr>
            <w:tcW w:w="2356" w:type="dxa"/>
            <w:vAlign w:val="center"/>
          </w:tcPr>
          <w:p>
            <w:pPr>
              <w:pStyle w:val="50"/>
              <w:jc w:val="center"/>
              <w:rPr>
                <w:rFonts w:ascii="宋体" w:hAnsi="宋体"/>
                <w:color w:val="auto"/>
              </w:rPr>
            </w:pPr>
            <w:r>
              <w:rPr>
                <w:rFonts w:hint="eastAsia" w:ascii="宋体" w:hAnsi="宋体"/>
                <w:color w:val="auto"/>
              </w:rPr>
              <w:t>低于成本价</w:t>
            </w:r>
          </w:p>
          <w:p>
            <w:pPr>
              <w:pStyle w:val="50"/>
              <w:jc w:val="center"/>
              <w:rPr>
                <w:rFonts w:ascii="宋体" w:hAnsi="宋体"/>
                <w:color w:val="auto"/>
              </w:rPr>
            </w:pPr>
            <w:r>
              <w:rPr>
                <w:rFonts w:hint="eastAsia" w:ascii="宋体" w:hAnsi="宋体"/>
                <w:color w:val="auto"/>
              </w:rPr>
              <w:t>不正当竞争预防措施</w:t>
            </w:r>
            <w:r>
              <w:rPr>
                <w:rFonts w:hint="eastAsia" w:ascii="宋体" w:hAnsi="宋体"/>
                <w:b/>
                <w:color w:val="auto"/>
              </w:rPr>
              <w:t>（实质性要求）</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1. 在评审过程中，评审小组认为供应商</w:t>
            </w:r>
            <w:r>
              <w:rPr>
                <w:rFonts w:hint="eastAsia" w:ascii="宋体" w:hAnsi="宋体"/>
                <w:color w:val="auto"/>
                <w:lang w:eastAsia="zh-CN"/>
              </w:rPr>
              <w:t>各单项</w:t>
            </w:r>
            <w:r>
              <w:rPr>
                <w:rFonts w:hint="eastAsia" w:ascii="宋体" w:hAnsi="宋体"/>
                <w:color w:val="auto"/>
              </w:rPr>
              <w:t>报价</w:t>
            </w:r>
            <w:r>
              <w:rPr>
                <w:rFonts w:hint="eastAsia" w:ascii="宋体" w:hAnsi="宋体"/>
                <w:color w:val="auto"/>
                <w:lang w:eastAsia="zh-CN"/>
              </w:rPr>
              <w:t>低</w:t>
            </w:r>
            <w:r>
              <w:rPr>
                <w:rFonts w:hint="eastAsia" w:ascii="宋体" w:hAnsi="宋体"/>
                <w:color w:val="auto"/>
                <w:kern w:val="0"/>
                <w:sz w:val="24"/>
                <w:lang w:eastAsia="zh-CN"/>
              </w:rPr>
              <w:t>于</w:t>
            </w:r>
            <w:r>
              <w:rPr>
                <w:rFonts w:hint="eastAsia" w:ascii="宋体" w:hAnsi="宋体"/>
                <w:color w:val="auto"/>
                <w:kern w:val="0"/>
                <w:sz w:val="24"/>
              </w:rPr>
              <w:t>各</w:t>
            </w:r>
            <w:r>
              <w:rPr>
                <w:rFonts w:hint="eastAsia" w:ascii="宋体" w:hAnsi="宋体"/>
                <w:color w:val="auto"/>
                <w:kern w:val="0"/>
                <w:sz w:val="24"/>
                <w:lang w:eastAsia="zh-CN"/>
              </w:rPr>
              <w:t>单</w:t>
            </w:r>
            <w:r>
              <w:rPr>
                <w:rFonts w:hint="eastAsia" w:ascii="宋体" w:hAnsi="宋体"/>
                <w:color w:val="auto"/>
                <w:kern w:val="0"/>
                <w:sz w:val="24"/>
              </w:rPr>
              <w:t>项</w:t>
            </w:r>
            <w:r>
              <w:rPr>
                <w:rFonts w:hint="eastAsia" w:ascii="宋体" w:hAnsi="宋体"/>
                <w:color w:val="auto"/>
                <w:kern w:val="0"/>
                <w:sz w:val="24"/>
                <w:lang w:eastAsia="zh-CN"/>
              </w:rPr>
              <w:t>限</w:t>
            </w:r>
            <w:r>
              <w:rPr>
                <w:rFonts w:hint="eastAsia" w:ascii="宋体" w:hAnsi="宋体"/>
                <w:color w:val="auto"/>
                <w:kern w:val="0"/>
                <w:sz w:val="24"/>
              </w:rPr>
              <w:t>价</w:t>
            </w:r>
            <w:r>
              <w:rPr>
                <w:rFonts w:hint="eastAsia" w:ascii="宋体" w:hAnsi="宋体"/>
                <w:color w:val="auto"/>
                <w:kern w:val="0"/>
                <w:sz w:val="24"/>
                <w:lang w:eastAsia="zh-CN"/>
              </w:rPr>
              <w:t>的</w:t>
            </w:r>
            <w:r>
              <w:rPr>
                <w:rFonts w:hint="eastAsia" w:ascii="宋体" w:hAnsi="宋体"/>
                <w:color w:val="auto"/>
                <w:kern w:val="0"/>
                <w:sz w:val="24"/>
                <w:lang w:val="en-US" w:eastAsia="zh-CN"/>
              </w:rPr>
              <w:t>45%，以及</w:t>
            </w:r>
            <w:r>
              <w:rPr>
                <w:rFonts w:hint="eastAsia" w:ascii="宋体" w:hAnsi="宋体"/>
                <w:color w:val="auto"/>
              </w:rPr>
              <w:t>明显低于其他通过符合性审查供应商的报价，有可能影响</w:t>
            </w:r>
            <w:r>
              <w:rPr>
                <w:rFonts w:asciiTheme="minorEastAsia" w:hAnsiTheme="minorEastAsia" w:eastAsiaTheme="minorEastAsia"/>
                <w:color w:val="auto"/>
              </w:rPr>
              <w:t>服务质量</w:t>
            </w:r>
            <w:r>
              <w:rPr>
                <w:rFonts w:hint="eastAsia" w:ascii="宋体" w:hAnsi="宋体"/>
                <w:color w:val="auto"/>
              </w:rPr>
              <w:t>或者不能诚信履约的，谈判小组应当要求其在谈判现场合理的时间内提供书面说明，并提交相关证明材料，供应商不能证明其报价合理性的，谈判小组应当将其作为无效处理。</w:t>
            </w:r>
          </w:p>
          <w:p>
            <w:pPr>
              <w:pStyle w:val="50"/>
              <w:spacing w:beforeLines="50" w:afterLines="50"/>
              <w:ind w:left="105" w:leftChars="50" w:right="105" w:rightChars="50"/>
              <w:jc w:val="both"/>
              <w:rPr>
                <w:rFonts w:ascii="宋体" w:hAnsi="宋体"/>
                <w:color w:val="auto"/>
                <w:kern w:val="2"/>
              </w:rPr>
            </w:pPr>
            <w:r>
              <w:rPr>
                <w:rFonts w:hint="eastAsia" w:ascii="宋体" w:hAnsi="宋体"/>
                <w:color w:val="auto"/>
              </w:rPr>
              <w:t>供应商的书面说明材料应当按照国家财务会计制度的规定要求，逐项就供应商提供的货物、工程和服务的主营业务成本、税金及附加、销售费用、管理费用、财务费用等成本构成事项详细陈述。</w:t>
            </w:r>
          </w:p>
          <w:p>
            <w:pPr>
              <w:spacing w:beforeLines="50" w:afterLines="50"/>
              <w:ind w:left="105" w:leftChars="50" w:right="105" w:rightChars="50"/>
              <w:rPr>
                <w:rFonts w:ascii="宋体" w:hAnsi="宋体"/>
                <w:color w:val="auto"/>
                <w:sz w:val="24"/>
              </w:rPr>
            </w:pPr>
            <w:r>
              <w:rPr>
                <w:rFonts w:hint="eastAsia" w:ascii="宋体" w:hAnsi="宋体"/>
                <w:color w:val="auto"/>
                <w:sz w:val="24"/>
              </w:rPr>
              <w:t xml:space="preserve">2. 供应商书面说明应当签字确认或者加盖公章，否则无效。书面说明的签字确认，由其法定代表人或者其授权代表签字确认。 </w:t>
            </w:r>
          </w:p>
          <w:p>
            <w:pPr>
              <w:spacing w:beforeLines="50" w:afterLines="50"/>
              <w:ind w:left="105" w:leftChars="50" w:right="105" w:rightChars="50"/>
              <w:rPr>
                <w:rFonts w:ascii="宋体" w:hAnsi="宋体"/>
                <w:color w:val="auto"/>
                <w:sz w:val="24"/>
              </w:rPr>
            </w:pPr>
            <w:r>
              <w:rPr>
                <w:rFonts w:hint="eastAsia" w:ascii="宋体" w:hAnsi="宋体"/>
                <w:color w:val="auto"/>
                <w:sz w:val="24"/>
              </w:rPr>
              <w:t>3. 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cs="Courier New" w:asciiTheme="minorEastAsia" w:hAnsiTheme="minorEastAsia" w:eastAsiaTheme="minorEastAsia"/>
                <w:color w:val="auto"/>
                <w:lang w:val="zh-CN" w:eastAsia="zh-CN"/>
              </w:rPr>
            </w:pPr>
            <w:r>
              <w:rPr>
                <w:rFonts w:hint="eastAsia" w:cs="Courier New" w:asciiTheme="minorEastAsia" w:hAnsiTheme="minorEastAsia" w:eastAsiaTheme="minorEastAsia"/>
                <w:color w:val="auto"/>
                <w:lang w:val="en-US" w:eastAsia="zh-CN"/>
              </w:rPr>
              <w:t>8</w:t>
            </w:r>
          </w:p>
        </w:tc>
        <w:tc>
          <w:tcPr>
            <w:tcW w:w="2356" w:type="dxa"/>
            <w:vAlign w:val="center"/>
          </w:tcPr>
          <w:p>
            <w:pPr>
              <w:pStyle w:val="50"/>
              <w:jc w:val="center"/>
              <w:rPr>
                <w:rFonts w:asciiTheme="minorEastAsia" w:hAnsiTheme="minorEastAsia" w:eastAsiaTheme="minorEastAsia"/>
                <w:color w:val="auto"/>
                <w:lang w:val="zh-CN"/>
              </w:rPr>
            </w:pPr>
            <w:r>
              <w:rPr>
                <w:rFonts w:hint="eastAsia" w:asciiTheme="minorEastAsia" w:hAnsiTheme="minorEastAsia" w:eastAsiaTheme="minorEastAsia"/>
                <w:color w:val="auto"/>
                <w:lang w:val="zh-CN"/>
              </w:rPr>
              <w:t>谈判文件的</w:t>
            </w:r>
          </w:p>
          <w:p>
            <w:pPr>
              <w:pStyle w:val="50"/>
              <w:jc w:val="center"/>
              <w:rPr>
                <w:rFonts w:asciiTheme="minorEastAsia" w:hAnsiTheme="minorEastAsia" w:eastAsiaTheme="minorEastAsia"/>
                <w:color w:val="auto"/>
                <w:lang w:val="zh-CN"/>
              </w:rPr>
            </w:pPr>
            <w:r>
              <w:rPr>
                <w:rFonts w:hint="eastAsia" w:asciiTheme="minorEastAsia" w:hAnsiTheme="minorEastAsia" w:eastAsiaTheme="minorEastAsia"/>
                <w:color w:val="auto"/>
                <w:lang w:val="zh-CN"/>
              </w:rPr>
              <w:t>澄清、修改</w:t>
            </w:r>
          </w:p>
        </w:tc>
        <w:tc>
          <w:tcPr>
            <w:tcW w:w="5670" w:type="dxa"/>
            <w:vAlign w:val="center"/>
          </w:tcPr>
          <w:p>
            <w:pPr>
              <w:pStyle w:val="50"/>
              <w:spacing w:beforeLines="50" w:afterLines="50"/>
              <w:ind w:left="105" w:leftChars="50" w:right="105" w:rightChars="50"/>
              <w:jc w:val="both"/>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谈判文件的澄清、修改的内容将以公告形式发布。</w:t>
            </w:r>
          </w:p>
          <w:p>
            <w:pPr>
              <w:pStyle w:val="50"/>
              <w:spacing w:beforeLines="50" w:afterLines="50"/>
              <w:ind w:left="105" w:leftChars="50" w:right="105" w:rightChars="50"/>
              <w:jc w:val="both"/>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注：</w:t>
            </w:r>
            <w:r>
              <w:rPr>
                <w:rFonts w:hint="eastAsia"/>
                <w:color w:val="auto"/>
                <w:shd w:val="clear" w:color="auto" w:fill="FFFFFF"/>
              </w:rPr>
              <w:t>采购人或者采购代理机构可以对已发出的谈判文件、进行必要的澄清或者修改，但不得改变采购标的和资格条件。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en-US" w:eastAsia="zh-CN"/>
              </w:rPr>
              <w:t>9</w:t>
            </w:r>
          </w:p>
        </w:tc>
        <w:tc>
          <w:tcPr>
            <w:tcW w:w="2356" w:type="dxa"/>
            <w:vAlign w:val="center"/>
          </w:tcPr>
          <w:p>
            <w:pPr>
              <w:pStyle w:val="50"/>
              <w:jc w:val="center"/>
              <w:rPr>
                <w:rFonts w:ascii="宋体" w:hAnsi="宋体"/>
                <w:color w:val="auto"/>
                <w:lang w:val="zh-CN"/>
              </w:rPr>
            </w:pPr>
            <w:r>
              <w:rPr>
                <w:color w:val="auto"/>
              </w:rPr>
              <w:t>确定成交供应商</w:t>
            </w:r>
          </w:p>
        </w:tc>
        <w:tc>
          <w:tcPr>
            <w:tcW w:w="5670" w:type="dxa"/>
            <w:vAlign w:val="center"/>
          </w:tcPr>
          <w:p>
            <w:pPr>
              <w:pStyle w:val="50"/>
              <w:spacing w:beforeLines="50" w:afterLines="50"/>
              <w:ind w:right="105" w:rightChars="50"/>
              <w:jc w:val="both"/>
              <w:rPr>
                <w:rFonts w:hint="eastAsia"/>
                <w:color w:val="auto"/>
              </w:rPr>
            </w:pPr>
            <w:r>
              <w:rPr>
                <w:color w:val="auto"/>
              </w:rPr>
              <w:t>A.采购人委托谈判小组直接确定成交供应商；</w:t>
            </w:r>
            <w:r>
              <w:rPr>
                <w:color w:val="auto"/>
                <w:sz w:val="36"/>
                <w:szCs w:val="36"/>
              </w:rPr>
              <w:t>□</w:t>
            </w:r>
            <w:r>
              <w:rPr>
                <w:color w:val="auto"/>
              </w:rPr>
              <w:t xml:space="preserve"> </w:t>
            </w:r>
          </w:p>
          <w:p>
            <w:pPr>
              <w:pStyle w:val="50"/>
              <w:spacing w:beforeLines="50" w:afterLines="50"/>
              <w:ind w:right="105" w:rightChars="50"/>
              <w:jc w:val="both"/>
              <w:rPr>
                <w:rFonts w:asciiTheme="minorEastAsia" w:hAnsiTheme="minorEastAsia" w:eastAsiaTheme="minorEastAsia"/>
                <w:color w:val="auto"/>
                <w:lang w:val="zh-CN"/>
              </w:rPr>
            </w:pPr>
            <w:r>
              <w:rPr>
                <w:color w:val="auto"/>
              </w:rPr>
              <w:t>B.由谈判小组推荐成交候选供应商,由采购人按顺序确定成交供应商</w:t>
            </w:r>
            <w:r>
              <w:rPr>
                <w:rFonts w:hint="eastAsia"/>
                <w:color w:val="auto"/>
                <w:lang w:eastAsia="zh-CN"/>
              </w:rPr>
              <w:t>，若</w:t>
            </w:r>
            <w:r>
              <w:rPr>
                <w:rFonts w:hint="eastAsia" w:ascii="宋体" w:hAnsi="宋体"/>
                <w:color w:val="auto"/>
                <w:sz w:val="24"/>
                <w:lang w:eastAsia="zh-CN"/>
              </w:rPr>
              <w:t>供应商报价相同，成交候选供应商并列，由采购人随机抽取一家中选</w:t>
            </w:r>
            <w:r>
              <w:rPr>
                <w:color w:val="auto"/>
              </w:rPr>
              <w:t>。</w:t>
            </w:r>
            <w:r>
              <w:rPr>
                <w:rFonts w:hint="eastAsia" w:ascii="MS Mincho" w:hAnsi="MS Mincho" w:eastAsia="MS Mincho" w:cs="MS Mincho"/>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0</w:t>
            </w:r>
          </w:p>
        </w:tc>
        <w:tc>
          <w:tcPr>
            <w:tcW w:w="2356" w:type="dxa"/>
            <w:vAlign w:val="center"/>
          </w:tcPr>
          <w:p>
            <w:pPr>
              <w:pStyle w:val="50"/>
              <w:jc w:val="center"/>
              <w:rPr>
                <w:rFonts w:hint="eastAsia"/>
                <w:color w:val="auto"/>
              </w:rPr>
            </w:pPr>
            <w:r>
              <w:rPr>
                <w:color w:val="auto"/>
              </w:rPr>
              <w:t xml:space="preserve">拟推荐成交候选 </w:t>
            </w:r>
          </w:p>
          <w:p>
            <w:pPr>
              <w:pStyle w:val="50"/>
              <w:jc w:val="center"/>
              <w:rPr>
                <w:rFonts w:ascii="宋体" w:hAnsi="宋体"/>
                <w:color w:val="auto"/>
                <w:lang w:val="zh-CN"/>
              </w:rPr>
            </w:pPr>
            <w:r>
              <w:rPr>
                <w:color w:val="auto"/>
              </w:rPr>
              <w:t>供应商数量</w:t>
            </w:r>
          </w:p>
        </w:tc>
        <w:tc>
          <w:tcPr>
            <w:tcW w:w="5670" w:type="dxa"/>
            <w:vAlign w:val="center"/>
          </w:tcPr>
          <w:p>
            <w:pPr>
              <w:pStyle w:val="50"/>
              <w:spacing w:beforeLines="50" w:afterLines="50"/>
              <w:ind w:right="105" w:rightChars="50"/>
              <w:jc w:val="both"/>
              <w:rPr>
                <w:rFonts w:asciiTheme="minorEastAsia" w:hAnsiTheme="minorEastAsia" w:eastAsiaTheme="minorEastAsia"/>
                <w:color w:val="auto"/>
                <w:lang w:val="zh-CN"/>
              </w:rPr>
            </w:pPr>
            <w:r>
              <w:rPr>
                <w:rFonts w:hint="eastAsia"/>
                <w:color w:val="auto"/>
                <w:lang w:val="en-US" w:eastAsia="zh-CN"/>
              </w:rPr>
              <w:t>1-</w:t>
            </w:r>
            <w:r>
              <w:rPr>
                <w:color w:val="auto"/>
              </w:rPr>
              <w:t>3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1</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谈判结果</w:t>
            </w:r>
          </w:p>
        </w:tc>
        <w:tc>
          <w:tcPr>
            <w:tcW w:w="5670" w:type="dxa"/>
            <w:vAlign w:val="center"/>
          </w:tcPr>
          <w:p>
            <w:pPr>
              <w:pStyle w:val="50"/>
              <w:spacing w:beforeLines="50" w:afterLines="50"/>
              <w:ind w:right="105" w:rightChars="50"/>
              <w:jc w:val="both"/>
              <w:rPr>
                <w:rFonts w:ascii="宋体" w:hAnsi="宋体"/>
                <w:color w:val="auto"/>
                <w:lang w:val="zh-CN"/>
              </w:rPr>
            </w:pPr>
            <w:r>
              <w:rPr>
                <w:rFonts w:hint="eastAsia" w:asciiTheme="minorEastAsia" w:hAnsiTheme="minorEastAsia" w:eastAsiaTheme="minorEastAsia"/>
                <w:color w:val="auto"/>
                <w:lang w:val="zh-CN"/>
              </w:rPr>
              <w:t>谈判结果在广元市水利局官网予以公告。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2</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供应商询问</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lang w:val="zh-CN"/>
              </w:rPr>
              <w:t>联系人：谢老师</w:t>
            </w:r>
          </w:p>
          <w:p>
            <w:pPr>
              <w:pStyle w:val="50"/>
              <w:spacing w:beforeLines="50" w:afterLines="50"/>
              <w:ind w:left="105" w:leftChars="50" w:right="105" w:rightChars="50"/>
              <w:jc w:val="both"/>
              <w:rPr>
                <w:rFonts w:hint="default" w:ascii="宋体" w:hAnsi="宋体" w:eastAsia="宋体"/>
                <w:color w:val="auto"/>
                <w:lang w:val="en-US" w:eastAsia="zh-CN"/>
              </w:rPr>
            </w:pPr>
            <w:r>
              <w:rPr>
                <w:rFonts w:hint="eastAsia" w:ascii="宋体" w:hAnsi="宋体"/>
                <w:color w:val="auto"/>
                <w:lang w:val="zh-CN"/>
              </w:rPr>
              <w:t>联系电话：</w:t>
            </w:r>
            <w:r>
              <w:rPr>
                <w:rFonts w:hint="eastAsia" w:ascii="宋体" w:hAnsi="宋体"/>
                <w:color w:val="auto"/>
                <w:lang w:val="en-US" w:eastAsia="zh-CN"/>
              </w:rPr>
              <w:t>18381055260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en-US" w:eastAsia="zh-CN"/>
              </w:rPr>
            </w:pPr>
            <w:r>
              <w:rPr>
                <w:rFonts w:hint="eastAsia" w:ascii="宋体" w:hAnsi="宋体" w:cs="Courier New"/>
                <w:color w:val="auto"/>
                <w:lang w:val="zh-CN"/>
              </w:rPr>
              <w:t>1</w:t>
            </w:r>
            <w:r>
              <w:rPr>
                <w:rFonts w:hint="eastAsia" w:ascii="宋体" w:hAnsi="宋体" w:cs="Courier New"/>
                <w:color w:val="auto"/>
                <w:lang w:val="en-US" w:eastAsia="zh-CN"/>
              </w:rPr>
              <w:t>3</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谈判保证金</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4</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履约保证金</w:t>
            </w:r>
          </w:p>
        </w:tc>
        <w:tc>
          <w:tcPr>
            <w:tcW w:w="5670" w:type="dxa"/>
            <w:vAlign w:val="center"/>
          </w:tcPr>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05" w:type="dxa"/>
            <w:vAlign w:val="center"/>
          </w:tcPr>
          <w:p>
            <w:pPr>
              <w:pStyle w:val="50"/>
              <w:jc w:val="center"/>
              <w:rPr>
                <w:rFonts w:hint="eastAsia" w:eastAsia="宋体"/>
                <w:color w:val="auto"/>
                <w:lang w:eastAsia="zh-CN"/>
              </w:rPr>
            </w:pPr>
            <w:r>
              <w:rPr>
                <w:rFonts w:ascii="宋体" w:hAnsi="宋体" w:cs="Courier New"/>
                <w:color w:val="auto"/>
                <w:lang w:val="zh-CN"/>
              </w:rPr>
              <w:t>1</w:t>
            </w:r>
            <w:r>
              <w:rPr>
                <w:rFonts w:hint="eastAsia" w:ascii="宋体" w:hAnsi="宋体" w:cs="Courier New"/>
                <w:color w:val="auto"/>
                <w:lang w:val="en-US" w:eastAsia="zh-CN"/>
              </w:rPr>
              <w:t>5</w:t>
            </w:r>
          </w:p>
        </w:tc>
        <w:tc>
          <w:tcPr>
            <w:tcW w:w="2356" w:type="dxa"/>
            <w:vAlign w:val="center"/>
          </w:tcPr>
          <w:p>
            <w:pPr>
              <w:pStyle w:val="50"/>
              <w:jc w:val="center"/>
              <w:rPr>
                <w:rFonts w:ascii="宋体" w:hAnsi="宋体"/>
                <w:color w:val="auto"/>
                <w:lang w:val="zh-CN"/>
              </w:rPr>
            </w:pPr>
            <w:r>
              <w:rPr>
                <w:rFonts w:ascii="宋体" w:hAnsi="宋体"/>
                <w:color w:val="auto"/>
                <w:lang w:val="zh-CN"/>
              </w:rPr>
              <w:t>构成竞争性谈判采购文件的其他文件</w:t>
            </w:r>
          </w:p>
        </w:tc>
        <w:tc>
          <w:tcPr>
            <w:tcW w:w="5670" w:type="dxa"/>
            <w:vAlign w:val="center"/>
          </w:tcPr>
          <w:p>
            <w:pPr>
              <w:pStyle w:val="50"/>
              <w:rPr>
                <w:rFonts w:ascii="宋体" w:hAnsi="宋体"/>
                <w:color w:val="auto"/>
                <w:lang w:val="zh-CN"/>
              </w:rPr>
            </w:pPr>
            <w:r>
              <w:rPr>
                <w:rFonts w:ascii="宋体" w:hAnsi="宋体"/>
                <w:color w:val="auto"/>
                <w:lang w:val="zh-CN"/>
              </w:rPr>
              <w:t>竞争性谈判采购文件的澄清、修改书及有关补充通知为竞争性谈判采购文件的有效组成部分。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6</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成交公告</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采购结果公告在广元市水利局官网上发布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7</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供应商质疑</w:t>
            </w:r>
          </w:p>
        </w:tc>
        <w:tc>
          <w:tcPr>
            <w:tcW w:w="5670" w:type="dxa"/>
            <w:vAlign w:val="center"/>
          </w:tcPr>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联系电话：</w:t>
            </w:r>
            <w:r>
              <w:rPr>
                <w:rFonts w:hint="eastAsia" w:ascii="宋体" w:hAnsi="宋体"/>
                <w:color w:val="auto"/>
                <w:lang w:val="en-US" w:eastAsia="zh-CN"/>
              </w:rPr>
              <w:t>18381055260</w:t>
            </w:r>
            <w:r>
              <w:rPr>
                <w:rFonts w:hint="eastAsia" w:ascii="宋体" w:hAnsi="宋体"/>
                <w:color w:val="auto"/>
                <w:lang w:val="zh-CN"/>
              </w:rPr>
              <w:t>。</w:t>
            </w:r>
          </w:p>
          <w:p>
            <w:pPr>
              <w:pStyle w:val="50"/>
              <w:spacing w:beforeLines="50" w:afterLines="50"/>
              <w:ind w:left="105" w:leftChars="50" w:right="105" w:rightChars="50"/>
              <w:jc w:val="both"/>
              <w:rPr>
                <w:rFonts w:ascii="宋体" w:hAnsi="宋体"/>
                <w:color w:val="auto"/>
                <w:kern w:val="2"/>
                <w:lang w:val="zh-CN"/>
              </w:rPr>
            </w:pPr>
            <w:r>
              <w:rPr>
                <w:rFonts w:hint="eastAsia" w:ascii="宋体" w:hAnsi="宋体"/>
                <w:color w:val="auto"/>
                <w:lang w:val="zh-CN"/>
              </w:rPr>
              <w:t>联系地址：</w:t>
            </w:r>
            <w:r>
              <w:rPr>
                <w:rFonts w:hint="eastAsia" w:ascii="宋体" w:hAnsi="宋体"/>
                <w:color w:val="auto"/>
                <w:sz w:val="24"/>
              </w:rPr>
              <w:t>广元市利州区利州东路一段659号</w:t>
            </w:r>
            <w:r>
              <w:rPr>
                <w:rFonts w:hint="eastAsia" w:ascii="宋体" w:hAnsi="宋体"/>
                <w:color w:val="auto"/>
                <w:lang w:val="zh-CN"/>
              </w:rPr>
              <w:t>。</w:t>
            </w:r>
          </w:p>
          <w:p>
            <w:pPr>
              <w:pStyle w:val="50"/>
              <w:spacing w:beforeLines="50" w:afterLines="50"/>
              <w:ind w:left="105" w:leftChars="50" w:right="105" w:rightChars="50"/>
              <w:jc w:val="both"/>
              <w:rPr>
                <w:rFonts w:ascii="宋体" w:hAnsi="宋体"/>
                <w:color w:val="auto"/>
                <w:lang w:val="zh-CN"/>
              </w:rPr>
            </w:pPr>
            <w:r>
              <w:rPr>
                <w:rFonts w:hint="eastAsia" w:ascii="宋体" w:hAnsi="宋体"/>
                <w:color w:val="auto"/>
                <w:lang w:val="zh-CN"/>
              </w:rPr>
              <w:t>注：根据《中华人民共和国政府采购法》的规定，供应商质疑不得超出谈判文件、谈判过程、谈判结果的范围。</w:t>
            </w:r>
          </w:p>
          <w:p>
            <w:pPr>
              <w:pStyle w:val="50"/>
              <w:spacing w:beforeLines="50" w:afterLines="50"/>
              <w:ind w:left="105" w:leftChars="50" w:right="105" w:rightChars="50"/>
              <w:jc w:val="both"/>
              <w:rPr>
                <w:rFonts w:ascii="宋体" w:hAnsi="宋体"/>
                <w:color w:val="auto"/>
                <w:kern w:val="2"/>
                <w:lang w:val="zh-CN"/>
              </w:rPr>
            </w:pPr>
            <w:r>
              <w:rPr>
                <w:color w:val="auto"/>
              </w:rPr>
              <w:t>质疑函内容应当包括：（1）具体、明确的质疑事项和与质疑事项相关的请求；（2）事实依据；（3）必要的法律依据；（4） 其他法定内容。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905" w:type="dxa"/>
            <w:vAlign w:val="center"/>
          </w:tcPr>
          <w:p>
            <w:pPr>
              <w:pStyle w:val="50"/>
              <w:jc w:val="center"/>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8</w:t>
            </w:r>
          </w:p>
        </w:tc>
        <w:tc>
          <w:tcPr>
            <w:tcW w:w="2356" w:type="dxa"/>
            <w:vAlign w:val="center"/>
          </w:tcPr>
          <w:p>
            <w:pPr>
              <w:pStyle w:val="50"/>
              <w:jc w:val="center"/>
              <w:rPr>
                <w:rFonts w:ascii="宋体" w:hAnsi="宋体"/>
                <w:color w:val="auto"/>
                <w:lang w:val="zh-CN"/>
              </w:rPr>
            </w:pPr>
            <w:r>
              <w:rPr>
                <w:rFonts w:hint="eastAsia" w:ascii="宋体" w:hAnsi="宋体"/>
                <w:color w:val="auto"/>
                <w:lang w:val="zh-CN"/>
              </w:rPr>
              <w:t>供应商投诉</w:t>
            </w:r>
          </w:p>
        </w:tc>
        <w:tc>
          <w:tcPr>
            <w:tcW w:w="5670" w:type="dxa"/>
            <w:vAlign w:val="center"/>
          </w:tcPr>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eastAsia" w:ascii="宋体" w:hAnsi="宋体" w:eastAsia="宋体" w:cs="宋体"/>
                <w:color w:val="auto"/>
                <w:lang w:val="zh-CN"/>
              </w:rPr>
            </w:pPr>
            <w:r>
              <w:rPr>
                <w:rFonts w:hint="eastAsia" w:ascii="宋体" w:hAnsi="宋体" w:eastAsia="宋体" w:cs="宋体"/>
                <w:color w:val="auto"/>
                <w:lang w:val="zh-CN"/>
              </w:rPr>
              <w:t>投诉受理单位：广元市</w:t>
            </w:r>
            <w:r>
              <w:rPr>
                <w:rFonts w:hint="eastAsia" w:eastAsia="宋体" w:cs="宋体"/>
                <w:color w:val="auto"/>
                <w:lang w:val="zh-CN"/>
              </w:rPr>
              <w:t>水利</w:t>
            </w:r>
            <w:r>
              <w:rPr>
                <w:rFonts w:hint="eastAsia" w:ascii="宋体" w:hAnsi="宋体" w:eastAsia="宋体" w:cs="宋体"/>
                <w:color w:val="auto"/>
                <w:lang w:val="zh-CN"/>
              </w:rPr>
              <w:t>局政府采购</w:t>
            </w:r>
            <w:r>
              <w:rPr>
                <w:rFonts w:hint="eastAsia" w:eastAsia="宋体" w:cs="宋体"/>
                <w:color w:val="auto"/>
                <w:lang w:val="zh-CN"/>
              </w:rPr>
              <w:t>领导小组办公室</w:t>
            </w:r>
            <w:r>
              <w:rPr>
                <w:rFonts w:hint="eastAsia" w:ascii="宋体" w:hAnsi="宋体" w:eastAsia="宋体" w:cs="宋体"/>
                <w:color w:val="auto"/>
                <w:lang w:val="zh-CN"/>
              </w:rPr>
              <w:t>。</w:t>
            </w:r>
          </w:p>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default" w:ascii="宋体" w:hAnsi="宋体" w:eastAsia="宋体" w:cs="宋体"/>
                <w:color w:val="auto"/>
                <w:lang w:val="en-US" w:eastAsia="zh-CN"/>
              </w:rPr>
            </w:pPr>
            <w:r>
              <w:rPr>
                <w:rFonts w:hint="eastAsia" w:ascii="宋体" w:hAnsi="宋体" w:eastAsia="宋体" w:cs="宋体"/>
                <w:color w:val="auto"/>
                <w:lang w:val="zh-CN"/>
              </w:rPr>
              <w:t>联系电话：0839-</w:t>
            </w:r>
            <w:r>
              <w:rPr>
                <w:rFonts w:hint="eastAsia" w:eastAsia="宋体" w:cs="宋体"/>
                <w:color w:val="auto"/>
                <w:lang w:val="en-US" w:eastAsia="zh-CN"/>
              </w:rPr>
              <w:t>3262685</w:t>
            </w:r>
          </w:p>
          <w:p>
            <w:pPr>
              <w:pStyle w:val="50"/>
              <w:keepNext w:val="0"/>
              <w:keepLines w:val="0"/>
              <w:pageBreakBefore w:val="0"/>
              <w:widowControl w:val="0"/>
              <w:kinsoku/>
              <w:wordWrap/>
              <w:overflowPunct/>
              <w:topLinePunct w:val="0"/>
              <w:autoSpaceDE w:val="0"/>
              <w:autoSpaceDN w:val="0"/>
              <w:bidi w:val="0"/>
              <w:adjustRightInd w:val="0"/>
              <w:snapToGrid/>
              <w:spacing w:line="360" w:lineRule="exact"/>
              <w:ind w:left="40"/>
              <w:textAlignment w:val="auto"/>
              <w:rPr>
                <w:rFonts w:hint="eastAsia" w:ascii="宋体" w:hAnsi="宋体" w:eastAsia="宋体" w:cs="宋体"/>
                <w:color w:val="auto"/>
                <w:lang w:val="zh-CN" w:eastAsia="zh-CN"/>
              </w:rPr>
            </w:pPr>
            <w:r>
              <w:rPr>
                <w:rFonts w:hint="eastAsia" w:ascii="宋体" w:hAnsi="宋体" w:eastAsia="宋体" w:cs="宋体"/>
                <w:color w:val="auto"/>
                <w:lang w:val="zh-CN"/>
              </w:rPr>
              <w:t>联系人：</w:t>
            </w:r>
            <w:r>
              <w:rPr>
                <w:rFonts w:hint="eastAsia" w:eastAsia="宋体" w:cs="宋体"/>
                <w:color w:val="auto"/>
                <w:lang w:eastAsia="zh-CN"/>
              </w:rPr>
              <w:t>张先生</w:t>
            </w:r>
          </w:p>
          <w:p>
            <w:pPr>
              <w:pStyle w:val="50"/>
              <w:spacing w:beforeLines="50" w:afterLines="50"/>
              <w:ind w:left="105" w:leftChars="50" w:right="105" w:rightChars="50"/>
              <w:jc w:val="both"/>
              <w:rPr>
                <w:rFonts w:ascii="宋体" w:hAnsi="宋体"/>
                <w:color w:val="auto"/>
                <w:kern w:val="2"/>
                <w:lang w:val="zh-CN"/>
              </w:rPr>
            </w:pPr>
            <w:r>
              <w:rPr>
                <w:rFonts w:hint="eastAsia" w:ascii="宋体" w:hAnsi="宋体" w:eastAsia="宋体" w:cs="宋体"/>
                <w:color w:val="auto"/>
                <w:lang w:val="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905" w:type="dxa"/>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19</w:t>
            </w:r>
          </w:p>
        </w:tc>
        <w:tc>
          <w:tcPr>
            <w:tcW w:w="2356" w:type="dxa"/>
            <w:vAlign w:val="center"/>
          </w:tcPr>
          <w:p>
            <w:pPr>
              <w:widowControl/>
              <w:jc w:val="center"/>
              <w:rPr>
                <w:rFonts w:ascii="宋体" w:hAnsi="宋体"/>
                <w:color w:val="auto"/>
                <w:sz w:val="24"/>
              </w:rPr>
            </w:pPr>
            <w:r>
              <w:rPr>
                <w:rFonts w:hint="eastAsia" w:ascii="宋体" w:hAnsi="宋体"/>
                <w:color w:val="auto"/>
                <w:sz w:val="24"/>
              </w:rPr>
              <w:t>供应商信用融资</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四川省正在推进政府采购供应商信用融资工作，有融资需求的供应商，可根据《四川省财政厅关于推进四川省政府采购供应商信用融资工作的通知》（川财采〔2018〕123 号）等有关规定进行融资，相关文件请在四川政府采购网查询。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w:t>
            </w:r>
          </w:p>
        </w:tc>
        <w:tc>
          <w:tcPr>
            <w:tcW w:w="2356" w:type="dxa"/>
            <w:vAlign w:val="center"/>
          </w:tcPr>
          <w:p>
            <w:pPr>
              <w:widowControl/>
              <w:jc w:val="center"/>
              <w:rPr>
                <w:rFonts w:ascii="宋体" w:hAnsi="宋体"/>
                <w:color w:val="auto"/>
                <w:sz w:val="24"/>
              </w:rPr>
            </w:pPr>
            <w:r>
              <w:rPr>
                <w:rFonts w:hint="eastAsia" w:ascii="宋体" w:hAnsi="宋体"/>
                <w:color w:val="auto"/>
                <w:sz w:val="24"/>
              </w:rPr>
              <w:t>谈判文件内容冲突的解决及优先适用顺序</w:t>
            </w:r>
          </w:p>
        </w:tc>
        <w:tc>
          <w:tcPr>
            <w:tcW w:w="5670" w:type="dxa"/>
            <w:vAlign w:val="center"/>
          </w:tcPr>
          <w:p>
            <w:pPr>
              <w:pStyle w:val="50"/>
              <w:spacing w:beforeLines="50" w:afterLines="50"/>
              <w:ind w:left="105" w:leftChars="50" w:right="105" w:rightChars="50"/>
              <w:jc w:val="both"/>
              <w:rPr>
                <w:rFonts w:ascii="宋体" w:hAnsi="宋体"/>
                <w:color w:val="auto"/>
              </w:rPr>
            </w:pPr>
            <w:r>
              <w:rPr>
                <w:rFonts w:hint="eastAsia" w:ascii="宋体" w:hAnsi="宋体"/>
                <w:color w:val="auto"/>
              </w:rPr>
              <w:t>谈判文件中编制的内容前后有矛盾或不一致时，相关法律法规、规范性文件和强制性标准有专门规定的，以符合相关法律法规、规范性文件和强制性标准的为准；有时间先后顺序的，以时间在后的修改、澄清或补正文件为准；没有时间先后顺序的，以供应商须知前附表为准，如前附表中无相关内容，在保证国家、集体和采购人利益不受损害的情况下按有利于供应商的原则进行处理。</w:t>
            </w:r>
          </w:p>
        </w:tc>
      </w:tr>
    </w:tbl>
    <w:p>
      <w:pPr>
        <w:pStyle w:val="4"/>
        <w:keepLines w:val="0"/>
        <w:widowControl/>
        <w:spacing w:beforeLines="100" w:afterLines="100" w:line="360" w:lineRule="auto"/>
        <w:jc w:val="center"/>
        <w:rPr>
          <w:rFonts w:ascii="宋体" w:hAnsi="宋体" w:eastAsia="宋体"/>
          <w:color w:val="auto"/>
        </w:rPr>
      </w:pPr>
      <w:bookmarkStart w:id="22" w:name="_Toc536633422"/>
      <w:bookmarkStart w:id="23" w:name="_Toc534620641"/>
      <w:bookmarkStart w:id="24" w:name="_Toc534623357"/>
      <w:bookmarkStart w:id="25" w:name="_Toc534620551"/>
      <w:bookmarkStart w:id="26" w:name="_Toc583972430"/>
      <w:bookmarkStart w:id="27" w:name="_Toc534622133"/>
      <w:r>
        <w:rPr>
          <w:rFonts w:hint="eastAsia" w:ascii="宋体" w:hAnsi="宋体" w:eastAsia="宋体"/>
          <w:color w:val="auto"/>
        </w:rPr>
        <w:t>二、总  则</w:t>
      </w:r>
      <w:bookmarkEnd w:id="22"/>
      <w:bookmarkEnd w:id="23"/>
      <w:bookmarkEnd w:id="24"/>
      <w:bookmarkEnd w:id="25"/>
      <w:bookmarkEnd w:id="26"/>
      <w:bookmarkEnd w:id="27"/>
      <w:bookmarkStart w:id="28" w:name="_Toc183682342"/>
      <w:bookmarkStart w:id="29" w:name="_Toc183582205"/>
      <w:bookmarkStart w:id="30" w:name="_Toc217446034"/>
    </w:p>
    <w:p>
      <w:pPr>
        <w:spacing w:line="360" w:lineRule="auto"/>
        <w:ind w:firstLine="481" w:firstLineChars="200"/>
        <w:rPr>
          <w:rFonts w:ascii="宋体" w:hAnsi="宋体"/>
          <w:b/>
          <w:color w:val="auto"/>
          <w:sz w:val="24"/>
        </w:rPr>
      </w:pPr>
      <w:r>
        <w:rPr>
          <w:rFonts w:hint="eastAsia" w:ascii="宋体" w:hAnsi="宋体"/>
          <w:b/>
          <w:color w:val="auto"/>
          <w:sz w:val="24"/>
        </w:rPr>
        <w:t>1</w:t>
      </w:r>
      <w:r>
        <w:rPr>
          <w:rFonts w:ascii="宋体" w:hAnsi="宋体"/>
          <w:b/>
          <w:color w:val="auto"/>
          <w:sz w:val="24"/>
        </w:rPr>
        <w:t>.</w:t>
      </w:r>
      <w:bookmarkEnd w:id="28"/>
      <w:bookmarkEnd w:id="29"/>
      <w:r>
        <w:rPr>
          <w:rFonts w:hint="eastAsia" w:ascii="宋体" w:hAnsi="宋体"/>
          <w:b/>
          <w:color w:val="auto"/>
          <w:sz w:val="24"/>
        </w:rPr>
        <w:t xml:space="preserve"> 适用范围</w:t>
      </w:r>
      <w:bookmarkEnd w:id="30"/>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本谈判文件根据政府采购相关法律法规制定。</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本谈判文件仅适用于本次谈判所叙述的服务采购。</w:t>
      </w:r>
    </w:p>
    <w:p>
      <w:pPr>
        <w:spacing w:line="360" w:lineRule="auto"/>
        <w:ind w:firstLine="480" w:firstLineChars="200"/>
        <w:rPr>
          <w:rFonts w:ascii="宋体" w:hAnsi="宋体"/>
          <w:color w:val="auto"/>
          <w:sz w:val="24"/>
        </w:rPr>
      </w:pPr>
      <w:r>
        <w:rPr>
          <w:rFonts w:hint="eastAsia" w:ascii="宋体" w:hAnsi="宋体"/>
          <w:color w:val="auto"/>
          <w:sz w:val="24"/>
        </w:rPr>
        <w:t>1.3 本谈判文件的解释权归采购人</w:t>
      </w:r>
      <w:r>
        <w:rPr>
          <w:rFonts w:hint="eastAsia" w:ascii="宋体" w:hAnsi="宋体"/>
          <w:color w:val="auto"/>
          <w:sz w:val="24"/>
          <w:lang w:eastAsia="zh-CN"/>
        </w:rPr>
        <w:t>或</w:t>
      </w:r>
      <w:r>
        <w:rPr>
          <w:rFonts w:hint="eastAsia" w:ascii="宋体" w:hAnsi="宋体"/>
          <w:color w:val="auto"/>
          <w:sz w:val="24"/>
        </w:rPr>
        <w:t>采购代理机构所有。</w:t>
      </w:r>
    </w:p>
    <w:p>
      <w:pPr>
        <w:spacing w:line="360" w:lineRule="auto"/>
        <w:ind w:firstLine="481" w:firstLineChars="200"/>
        <w:rPr>
          <w:rFonts w:ascii="宋体" w:hAnsi="宋体"/>
          <w:b/>
          <w:color w:val="auto"/>
          <w:sz w:val="24"/>
        </w:rPr>
      </w:pPr>
      <w:bookmarkStart w:id="31" w:name="_Toc217446035"/>
      <w:bookmarkStart w:id="32" w:name="_Toc183682343"/>
      <w:bookmarkStart w:id="33" w:name="_Toc183582206"/>
      <w:r>
        <w:rPr>
          <w:rFonts w:ascii="宋体" w:hAnsi="宋体"/>
          <w:b/>
          <w:color w:val="auto"/>
          <w:sz w:val="24"/>
        </w:rPr>
        <w:t>2.</w:t>
      </w:r>
      <w:bookmarkEnd w:id="31"/>
      <w:bookmarkEnd w:id="32"/>
      <w:bookmarkEnd w:id="33"/>
      <w:r>
        <w:rPr>
          <w:rFonts w:hint="eastAsia" w:ascii="宋体" w:hAnsi="宋体"/>
          <w:b/>
          <w:color w:val="auto"/>
          <w:sz w:val="24"/>
        </w:rPr>
        <w:t xml:space="preserve"> 采购主体</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1 本次谈判的采购人是</w:t>
      </w:r>
      <w:r>
        <w:rPr>
          <w:rFonts w:hint="eastAsia" w:ascii="宋体" w:hAnsi="宋体"/>
          <w:color w:val="auto"/>
          <w:sz w:val="24"/>
          <w:lang w:eastAsia="zh-CN"/>
        </w:rPr>
        <w:t>广元市水利局</w:t>
      </w:r>
      <w:r>
        <w:rPr>
          <w:rFonts w:hint="eastAsia" w:ascii="宋体" w:hAnsi="宋体"/>
          <w:color w:val="auto"/>
          <w:sz w:val="24"/>
        </w:rPr>
        <w:t>。</w:t>
      </w:r>
    </w:p>
    <w:p>
      <w:pPr>
        <w:spacing w:line="360" w:lineRule="auto"/>
        <w:ind w:firstLine="481" w:firstLineChars="200"/>
        <w:rPr>
          <w:rFonts w:ascii="宋体" w:hAnsi="宋体"/>
          <w:b/>
          <w:color w:val="auto"/>
          <w:sz w:val="24"/>
        </w:rPr>
      </w:pPr>
      <w:bookmarkStart w:id="34" w:name="_Toc183582207"/>
      <w:bookmarkStart w:id="35" w:name="_Toc183682344"/>
      <w:bookmarkStart w:id="36" w:name="_Toc217446036"/>
      <w:bookmarkStart w:id="37" w:name="_Toc217390843"/>
      <w:r>
        <w:rPr>
          <w:rFonts w:ascii="宋体" w:hAnsi="宋体"/>
          <w:b/>
          <w:color w:val="auto"/>
          <w:sz w:val="24"/>
        </w:rPr>
        <w:t>3.</w:t>
      </w:r>
      <w:r>
        <w:rPr>
          <w:rFonts w:hint="eastAsia" w:ascii="宋体" w:hAnsi="宋体"/>
          <w:b/>
          <w:color w:val="auto"/>
          <w:sz w:val="24"/>
        </w:rPr>
        <w:t xml:space="preserve"> 合格</w:t>
      </w:r>
      <w:bookmarkEnd w:id="34"/>
      <w:bookmarkEnd w:id="35"/>
      <w:bookmarkEnd w:id="36"/>
      <w:bookmarkEnd w:id="37"/>
      <w:r>
        <w:rPr>
          <w:rFonts w:hint="eastAsia" w:ascii="宋体" w:hAnsi="宋体"/>
          <w:b/>
          <w:color w:val="auto"/>
          <w:sz w:val="24"/>
        </w:rPr>
        <w:t>供应商（实质性要求）</w:t>
      </w:r>
    </w:p>
    <w:p>
      <w:pPr>
        <w:spacing w:line="360" w:lineRule="auto"/>
        <w:ind w:firstLine="480" w:firstLineChars="200"/>
        <w:rPr>
          <w:rFonts w:ascii="宋体" w:hAnsi="宋体"/>
          <w:color w:val="auto"/>
          <w:sz w:val="24"/>
        </w:rPr>
      </w:pPr>
      <w:r>
        <w:rPr>
          <w:rFonts w:hint="eastAsia" w:ascii="宋体" w:hAnsi="宋体"/>
          <w:color w:val="auto"/>
          <w:sz w:val="24"/>
        </w:rPr>
        <w:t>合格供应商应具备以下条件：</w:t>
      </w:r>
    </w:p>
    <w:p>
      <w:pPr>
        <w:spacing w:line="360" w:lineRule="auto"/>
        <w:ind w:firstLine="480" w:firstLineChars="200"/>
        <w:rPr>
          <w:rFonts w:ascii="宋体" w:hAnsi="宋体"/>
          <w:color w:val="auto"/>
          <w:spacing w:val="-4"/>
          <w:sz w:val="24"/>
        </w:rPr>
      </w:pPr>
      <w:r>
        <w:rPr>
          <w:rFonts w:hint="eastAsia" w:ascii="宋体" w:hAnsi="宋体"/>
          <w:color w:val="auto"/>
          <w:sz w:val="24"/>
        </w:rPr>
        <w:t>3.1 本</w:t>
      </w:r>
      <w:r>
        <w:rPr>
          <w:rFonts w:hint="eastAsia" w:ascii="宋体" w:hAnsi="宋体"/>
          <w:color w:val="auto"/>
          <w:sz w:val="24"/>
          <w:lang w:eastAsia="zh-CN"/>
        </w:rPr>
        <w:t>谈判</w:t>
      </w:r>
      <w:r>
        <w:rPr>
          <w:rFonts w:hint="eastAsia" w:ascii="宋体" w:hAnsi="宋体"/>
          <w:color w:val="auto"/>
          <w:sz w:val="24"/>
        </w:rPr>
        <w:t>文件规定的资格条件</w:t>
      </w:r>
      <w:r>
        <w:rPr>
          <w:rFonts w:hint="eastAsia" w:ascii="宋体" w:hAnsi="宋体"/>
          <w:color w:val="auto"/>
          <w:sz w:val="24"/>
          <w:lang w:eastAsia="zh-CN"/>
        </w:rPr>
        <w:t>，</w:t>
      </w:r>
      <w:r>
        <w:rPr>
          <w:rFonts w:hint="eastAsia" w:ascii="宋体" w:hAnsi="宋体"/>
          <w:color w:val="auto"/>
          <w:sz w:val="24"/>
        </w:rPr>
        <w:t>遵守国家有关的法律、法规、规章和其他政策制度</w:t>
      </w:r>
      <w:r>
        <w:rPr>
          <w:rFonts w:hint="eastAsia" w:ascii="宋体" w:hAnsi="宋体"/>
          <w:color w:val="auto"/>
          <w:spacing w:val="-4"/>
          <w:sz w:val="24"/>
        </w:rPr>
        <w:t>；</w:t>
      </w:r>
    </w:p>
    <w:p>
      <w:pPr>
        <w:spacing w:line="360" w:lineRule="auto"/>
        <w:ind w:firstLine="464" w:firstLineChars="200"/>
        <w:rPr>
          <w:rFonts w:ascii="宋体" w:hAnsi="宋体"/>
          <w:color w:val="auto"/>
          <w:spacing w:val="-4"/>
          <w:sz w:val="24"/>
        </w:rPr>
      </w:pPr>
      <w:r>
        <w:rPr>
          <w:rFonts w:hint="eastAsia" w:ascii="宋体" w:hAnsi="宋体"/>
          <w:color w:val="auto"/>
          <w:spacing w:val="-4"/>
          <w:sz w:val="24"/>
        </w:rPr>
        <w:t>3.2 不属于禁止参加本项目政府采购活动的供应商。</w:t>
      </w:r>
    </w:p>
    <w:p>
      <w:pPr>
        <w:spacing w:line="360" w:lineRule="auto"/>
        <w:ind w:firstLine="481" w:firstLineChars="200"/>
        <w:rPr>
          <w:rFonts w:ascii="宋体" w:hAnsi="宋体"/>
          <w:b/>
          <w:color w:val="auto"/>
          <w:sz w:val="24"/>
        </w:rPr>
      </w:pPr>
      <w:bookmarkStart w:id="38" w:name="_Toc183582208"/>
      <w:bookmarkStart w:id="39" w:name="_Toc217446037"/>
      <w:bookmarkStart w:id="40" w:name="_Toc183682345"/>
      <w:r>
        <w:rPr>
          <w:rFonts w:hint="eastAsia" w:ascii="宋体" w:hAnsi="宋体"/>
          <w:b/>
          <w:color w:val="auto"/>
          <w:sz w:val="24"/>
        </w:rPr>
        <w:t>4. 谈判费用</w:t>
      </w:r>
      <w:bookmarkEnd w:id="38"/>
      <w:bookmarkEnd w:id="39"/>
      <w:bookmarkEnd w:id="40"/>
    </w:p>
    <w:p>
      <w:pPr>
        <w:spacing w:line="360" w:lineRule="auto"/>
        <w:ind w:firstLine="480" w:firstLineChars="200"/>
        <w:rPr>
          <w:rFonts w:ascii="宋体" w:hAnsi="宋体"/>
          <w:color w:val="auto"/>
          <w:sz w:val="24"/>
        </w:rPr>
      </w:pPr>
      <w:r>
        <w:rPr>
          <w:rFonts w:hint="eastAsia" w:ascii="宋体" w:hAnsi="宋体"/>
          <w:color w:val="auto"/>
          <w:sz w:val="24"/>
        </w:rPr>
        <w:t>供应商应自行承担参加谈判活动的全部费用。</w:t>
      </w:r>
    </w:p>
    <w:p>
      <w:pPr>
        <w:pStyle w:val="49"/>
        <w:spacing w:line="360" w:lineRule="auto"/>
        <w:ind w:firstLine="481" w:firstLineChars="200"/>
        <w:rPr>
          <w:rFonts w:hAnsi="宋体"/>
          <w:b/>
          <w:color w:val="auto"/>
          <w:sz w:val="24"/>
        </w:rPr>
      </w:pPr>
      <w:r>
        <w:rPr>
          <w:rFonts w:hint="eastAsia" w:hAnsi="宋体"/>
          <w:b/>
          <w:color w:val="auto"/>
          <w:sz w:val="24"/>
        </w:rPr>
        <w:t>5. 充分、公平竞争保障措施（实质性要求）</w:t>
      </w:r>
    </w:p>
    <w:p>
      <w:pPr>
        <w:pStyle w:val="49"/>
        <w:spacing w:line="360" w:lineRule="auto"/>
        <w:ind w:firstLine="464" w:firstLineChars="200"/>
        <w:rPr>
          <w:rFonts w:hAnsi="宋体"/>
          <w:b/>
          <w:color w:val="auto"/>
          <w:sz w:val="24"/>
        </w:rPr>
      </w:pPr>
      <w:r>
        <w:rPr>
          <w:rFonts w:hint="eastAsia" w:hAnsi="宋体"/>
          <w:color w:val="auto"/>
          <w:spacing w:val="-4"/>
          <w:sz w:val="24"/>
        </w:rPr>
        <w:t xml:space="preserve">5.1 </w:t>
      </w:r>
      <w:r>
        <w:rPr>
          <w:rFonts w:hint="eastAsia" w:hAnsi="宋体"/>
          <w:color w:val="auto"/>
          <w:sz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49"/>
        <w:spacing w:line="360" w:lineRule="auto"/>
        <w:ind w:firstLine="480" w:firstLineChars="200"/>
        <w:jc w:val="left"/>
        <w:rPr>
          <w:rFonts w:hAnsi="宋体"/>
          <w:color w:val="auto"/>
          <w:sz w:val="24"/>
        </w:rPr>
      </w:pPr>
      <w:r>
        <w:rPr>
          <w:rFonts w:hint="eastAsia" w:hAnsi="宋体"/>
          <w:color w:val="auto"/>
          <w:sz w:val="24"/>
        </w:rPr>
        <w:t>5.2 利害关系授权代表处理。两家以上的供应商不得在同一合同项下的采购项目中，委托同一个自然人、同一家庭的人员、同一单位的人员作为其授权代表，否则，其响应文件作为无效处理。</w:t>
      </w:r>
    </w:p>
    <w:p>
      <w:pPr>
        <w:pStyle w:val="49"/>
        <w:spacing w:line="360" w:lineRule="auto"/>
        <w:ind w:firstLine="480" w:firstLineChars="200"/>
        <w:rPr>
          <w:rFonts w:hAnsi="宋体"/>
          <w:color w:val="auto"/>
          <w:sz w:val="24"/>
        </w:rPr>
      </w:pPr>
      <w:r>
        <w:rPr>
          <w:rFonts w:hint="eastAsia" w:hAnsi="宋体"/>
          <w:color w:val="auto"/>
          <w:sz w:val="24"/>
        </w:rPr>
        <w:t>5.3 供应商实际控制人或者中高级管理人员，同时是采购代理机构工作人员，不得参与本项目政府采购活动。</w:t>
      </w:r>
    </w:p>
    <w:p>
      <w:pPr>
        <w:spacing w:line="360" w:lineRule="auto"/>
        <w:ind w:firstLine="480" w:firstLineChars="200"/>
        <w:rPr>
          <w:rFonts w:ascii="宋体" w:hAnsi="宋体"/>
          <w:color w:val="auto"/>
          <w:sz w:val="24"/>
        </w:rPr>
      </w:pPr>
      <w:r>
        <w:rPr>
          <w:rFonts w:hint="eastAsia" w:ascii="宋体" w:hAnsi="宋体"/>
          <w:color w:val="auto"/>
          <w:sz w:val="24"/>
        </w:rPr>
        <w:t>5.4 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ascii="宋体" w:hAnsi="宋体"/>
          <w:color w:val="auto"/>
          <w:sz w:val="24"/>
        </w:rPr>
      </w:pPr>
      <w:r>
        <w:rPr>
          <w:rFonts w:hint="eastAsia" w:ascii="宋体" w:hAnsi="宋体"/>
          <w:color w:val="auto"/>
          <w:sz w:val="24"/>
        </w:rPr>
        <w:t>5.5 供应商与采购代理机构存在关联关系，或者是采购代理机构的母公司或子公司，不得参加本项目政府</w:t>
      </w:r>
      <w:bookmarkStart w:id="273" w:name="_GoBack"/>
      <w:bookmarkEnd w:id="273"/>
      <w:r>
        <w:rPr>
          <w:rFonts w:hint="eastAsia" w:ascii="宋体" w:hAnsi="宋体"/>
          <w:color w:val="auto"/>
          <w:sz w:val="24"/>
        </w:rPr>
        <w:t>采购活动。</w:t>
      </w:r>
    </w:p>
    <w:p>
      <w:pPr>
        <w:pStyle w:val="49"/>
        <w:spacing w:line="360" w:lineRule="auto"/>
        <w:ind w:firstLine="480" w:firstLineChars="200"/>
        <w:rPr>
          <w:rFonts w:hAnsi="宋体"/>
          <w:color w:val="auto"/>
          <w:sz w:val="24"/>
        </w:rPr>
      </w:pPr>
      <w:r>
        <w:rPr>
          <w:rFonts w:hint="eastAsia" w:hAnsi="宋体"/>
          <w:color w:val="auto"/>
          <w:sz w:val="24"/>
        </w:rPr>
        <w:t>5.6 回避。采购活动中，采购人员及相关人员与供应商有下列利害关系之一的，应当回避：</w:t>
      </w:r>
    </w:p>
    <w:p>
      <w:pPr>
        <w:pStyle w:val="49"/>
        <w:spacing w:line="360" w:lineRule="auto"/>
        <w:ind w:firstLine="480" w:firstLineChars="200"/>
        <w:rPr>
          <w:rFonts w:hAnsi="宋体"/>
          <w:color w:val="auto"/>
          <w:sz w:val="24"/>
        </w:rPr>
      </w:pPr>
      <w:r>
        <w:rPr>
          <w:rFonts w:hint="eastAsia" w:hAnsi="宋体"/>
          <w:color w:val="auto"/>
          <w:sz w:val="24"/>
        </w:rPr>
        <w:t>（1）参加采购活动前3年内与供应商存在劳动关系；</w:t>
      </w:r>
    </w:p>
    <w:p>
      <w:pPr>
        <w:pStyle w:val="49"/>
        <w:spacing w:line="360" w:lineRule="auto"/>
        <w:ind w:firstLine="480" w:firstLineChars="200"/>
        <w:rPr>
          <w:rFonts w:hAnsi="宋体"/>
          <w:color w:val="auto"/>
          <w:sz w:val="24"/>
        </w:rPr>
      </w:pPr>
      <w:r>
        <w:rPr>
          <w:rFonts w:hint="eastAsia" w:hAnsi="宋体"/>
          <w:color w:val="auto"/>
          <w:sz w:val="24"/>
        </w:rPr>
        <w:t>（2）参加采购活动前3年内担任供应商的董事、监事；</w:t>
      </w:r>
    </w:p>
    <w:p>
      <w:pPr>
        <w:pStyle w:val="49"/>
        <w:spacing w:line="360" w:lineRule="auto"/>
        <w:ind w:firstLine="480" w:firstLineChars="200"/>
        <w:rPr>
          <w:rFonts w:hAnsi="宋体"/>
          <w:color w:val="auto"/>
          <w:sz w:val="24"/>
        </w:rPr>
      </w:pPr>
      <w:r>
        <w:rPr>
          <w:rFonts w:hint="eastAsia" w:hAnsi="宋体"/>
          <w:color w:val="auto"/>
          <w:sz w:val="24"/>
        </w:rPr>
        <w:t>（3）参加采购活动前3年内是供应商的控股股东或者实际控制人；</w:t>
      </w:r>
    </w:p>
    <w:p>
      <w:pPr>
        <w:pStyle w:val="49"/>
        <w:spacing w:line="360" w:lineRule="auto"/>
        <w:ind w:firstLine="480" w:firstLineChars="200"/>
        <w:rPr>
          <w:rFonts w:hAnsi="宋体"/>
          <w:color w:val="auto"/>
          <w:sz w:val="24"/>
        </w:rPr>
      </w:pPr>
      <w:r>
        <w:rPr>
          <w:rFonts w:hint="eastAsia" w:hAnsi="宋体"/>
          <w:color w:val="auto"/>
          <w:sz w:val="24"/>
        </w:rPr>
        <w:t>（4）与供应商的法定代表人或者负责人有夫妻、直系血亲、三代以内旁系血亲或者近姻亲关系；</w:t>
      </w:r>
    </w:p>
    <w:p>
      <w:pPr>
        <w:pStyle w:val="49"/>
        <w:spacing w:line="360" w:lineRule="auto"/>
        <w:ind w:firstLine="480" w:firstLineChars="200"/>
        <w:rPr>
          <w:rFonts w:hAnsi="宋体"/>
          <w:color w:val="auto"/>
          <w:sz w:val="24"/>
        </w:rPr>
      </w:pPr>
      <w:r>
        <w:rPr>
          <w:rFonts w:hint="eastAsia" w:hAnsi="宋体"/>
          <w:color w:val="auto"/>
          <w:sz w:val="24"/>
        </w:rPr>
        <w:t>（5）与供应商有其他可能影响采购活动公平、公正进行的关系。</w:t>
      </w:r>
    </w:p>
    <w:p>
      <w:pPr>
        <w:pStyle w:val="49"/>
        <w:spacing w:line="360" w:lineRule="auto"/>
        <w:ind w:firstLine="480" w:firstLineChars="200"/>
        <w:rPr>
          <w:rFonts w:hAnsi="宋体"/>
          <w:color w:val="auto"/>
          <w:sz w:val="24"/>
        </w:rPr>
      </w:pPr>
      <w:r>
        <w:rPr>
          <w:rFonts w:hint="eastAsia" w:hAnsi="宋体"/>
          <w:color w:val="auto"/>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49"/>
        <w:spacing w:line="360" w:lineRule="auto"/>
        <w:ind w:firstLine="480" w:firstLineChars="200"/>
        <w:rPr>
          <w:rFonts w:hAnsi="宋体"/>
          <w:color w:val="auto"/>
          <w:sz w:val="24"/>
        </w:rPr>
      </w:pPr>
      <w:r>
        <w:rPr>
          <w:rFonts w:hint="eastAsia" w:hAnsi="宋体"/>
          <w:color w:val="auto"/>
          <w:sz w:val="24"/>
        </w:rPr>
        <w:t>供应商认为采购人员及相关人员与其他供应商有利害关系的，可以向采购机构书面提出回避申请，并说明理由。采购机构将及时询问被申请回避人员，有利害关系的被申请回避人员应当回避。</w:t>
      </w:r>
    </w:p>
    <w:p>
      <w:pPr>
        <w:pStyle w:val="49"/>
        <w:spacing w:line="360" w:lineRule="auto"/>
        <w:ind w:firstLine="480" w:firstLineChars="200"/>
        <w:rPr>
          <w:rFonts w:hAnsi="宋体"/>
          <w:color w:val="auto"/>
          <w:sz w:val="24"/>
        </w:rPr>
      </w:pPr>
      <w:r>
        <w:rPr>
          <w:rFonts w:hint="eastAsia" w:hAnsi="宋体"/>
          <w:color w:val="auto"/>
          <w:sz w:val="24"/>
        </w:rPr>
        <w:t>5.7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49"/>
        <w:spacing w:line="360" w:lineRule="auto"/>
        <w:ind w:firstLine="481" w:firstLineChars="200"/>
        <w:rPr>
          <w:rFonts w:hAnsi="宋体"/>
          <w:b/>
          <w:color w:val="auto"/>
          <w:sz w:val="24"/>
        </w:rPr>
      </w:pPr>
      <w:r>
        <w:rPr>
          <w:rFonts w:hint="eastAsia" w:hAnsi="宋体"/>
          <w:b/>
          <w:color w:val="auto"/>
          <w:sz w:val="24"/>
        </w:rPr>
        <w:t>6. 联合体竞争性谈判（实质性要求）</w:t>
      </w:r>
    </w:p>
    <w:p>
      <w:pPr>
        <w:pStyle w:val="49"/>
        <w:spacing w:line="360" w:lineRule="auto"/>
        <w:ind w:firstLine="480" w:firstLineChars="200"/>
        <w:rPr>
          <w:rFonts w:asciiTheme="minorEastAsia" w:hAnsiTheme="minorEastAsia" w:eastAsiaTheme="minorEastAsia"/>
          <w:color w:val="auto"/>
          <w:sz w:val="24"/>
        </w:rPr>
      </w:pPr>
      <w:r>
        <w:rPr>
          <w:rFonts w:hint="eastAsia" w:hAnsi="宋体"/>
          <w:color w:val="auto"/>
          <w:sz w:val="24"/>
        </w:rPr>
        <w:t>本项目不接受联合体参与采购活动。</w:t>
      </w:r>
    </w:p>
    <w:p>
      <w:pPr>
        <w:pStyle w:val="49"/>
        <w:spacing w:line="360" w:lineRule="auto"/>
        <w:ind w:firstLine="481" w:firstLineChars="200"/>
        <w:rPr>
          <w:rFonts w:hAnsi="宋体"/>
          <w:b/>
          <w:color w:val="auto"/>
          <w:sz w:val="24"/>
        </w:rPr>
      </w:pPr>
      <w:r>
        <w:rPr>
          <w:rFonts w:hint="eastAsia" w:hAnsi="宋体"/>
          <w:b/>
          <w:color w:val="auto"/>
          <w:sz w:val="24"/>
        </w:rPr>
        <w:t>7. 谈判保证金（实质性要求）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本项目不需要缴纳谈判保证金。</w:t>
      </w:r>
    </w:p>
    <w:p>
      <w:pPr>
        <w:spacing w:line="360" w:lineRule="auto"/>
        <w:ind w:firstLine="481" w:firstLineChars="200"/>
        <w:rPr>
          <w:rFonts w:ascii="宋体" w:hAnsi="宋体"/>
          <w:b/>
          <w:color w:val="auto"/>
          <w:sz w:val="24"/>
        </w:rPr>
      </w:pPr>
      <w:r>
        <w:rPr>
          <w:rFonts w:hint="eastAsia" w:ascii="宋体" w:hAnsi="宋体"/>
          <w:b/>
          <w:color w:val="auto"/>
          <w:sz w:val="24"/>
        </w:rPr>
        <w:t>8. 响应文件有效期（实质性要求）</w:t>
      </w:r>
    </w:p>
    <w:p>
      <w:pPr>
        <w:spacing w:line="360" w:lineRule="auto"/>
        <w:ind w:firstLine="480" w:firstLineChars="200"/>
        <w:rPr>
          <w:rFonts w:ascii="宋体" w:hAnsi="宋体"/>
          <w:color w:val="auto"/>
          <w:sz w:val="24"/>
        </w:rPr>
      </w:pPr>
      <w:r>
        <w:rPr>
          <w:rFonts w:hint="eastAsia" w:ascii="宋体" w:hAnsi="宋体"/>
          <w:color w:val="auto"/>
          <w:sz w:val="24"/>
        </w:rPr>
        <w:t>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处理。</w:t>
      </w:r>
    </w:p>
    <w:p>
      <w:pPr>
        <w:pStyle w:val="17"/>
        <w:spacing w:line="360" w:lineRule="auto"/>
        <w:ind w:firstLine="481" w:firstLineChars="200"/>
        <w:rPr>
          <w:rFonts w:ascii="宋体" w:hAnsi="宋体"/>
          <w:b/>
          <w:bCs/>
          <w:color w:val="auto"/>
          <w:sz w:val="24"/>
          <w:szCs w:val="24"/>
        </w:rPr>
      </w:pPr>
      <w:r>
        <w:rPr>
          <w:rFonts w:hint="eastAsia" w:ascii="宋体" w:hAnsi="宋体"/>
          <w:b/>
          <w:color w:val="auto"/>
          <w:sz w:val="24"/>
        </w:rPr>
        <w:t xml:space="preserve">9. </w:t>
      </w:r>
      <w:r>
        <w:rPr>
          <w:rFonts w:hint="eastAsia" w:ascii="宋体" w:hAnsi="宋体"/>
          <w:b/>
          <w:bCs/>
          <w:color w:val="auto"/>
          <w:sz w:val="24"/>
          <w:szCs w:val="24"/>
        </w:rPr>
        <w:t>知识产权（实质性要求）</w:t>
      </w:r>
    </w:p>
    <w:p>
      <w:pPr>
        <w:pStyle w:val="17"/>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w:t>
      </w:r>
      <w:r>
        <w:rPr>
          <w:rFonts w:hint="eastAsia" w:ascii="宋体" w:hAnsi="宋体"/>
          <w:color w:val="auto"/>
          <w:sz w:val="24"/>
        </w:rPr>
        <w:t>供应商</w:t>
      </w:r>
      <w:r>
        <w:rPr>
          <w:rFonts w:hint="eastAsia" w:ascii="宋体" w:hAnsi="宋体"/>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auto"/>
          <w:sz w:val="24"/>
        </w:rPr>
        <w:t>供应商</w:t>
      </w:r>
      <w:r>
        <w:rPr>
          <w:rFonts w:hint="eastAsia" w:ascii="宋体" w:hAnsi="宋体"/>
          <w:color w:val="auto"/>
          <w:sz w:val="24"/>
          <w:szCs w:val="24"/>
        </w:rPr>
        <w:t>承担所有相关责任。</w:t>
      </w:r>
    </w:p>
    <w:p>
      <w:pPr>
        <w:pStyle w:val="17"/>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.2</w:t>
      </w:r>
      <w:r>
        <w:rPr>
          <w:rFonts w:hint="eastAsia" w:ascii="宋体" w:hAnsi="宋体"/>
          <w:color w:val="auto"/>
          <w:sz w:val="24"/>
          <w:szCs w:val="24"/>
        </w:rPr>
        <w:t xml:space="preserve"> 除非谈判文件特别规定，采购人享有本项目实施过程中产生的知识成果及知识产权。</w:t>
      </w:r>
    </w:p>
    <w:p>
      <w:pPr>
        <w:spacing w:line="360" w:lineRule="auto"/>
        <w:ind w:firstLine="480" w:firstLineChars="200"/>
        <w:rPr>
          <w:rFonts w:ascii="宋体" w:hAnsi="宋体"/>
          <w:color w:val="auto"/>
          <w:sz w:val="32"/>
          <w:szCs w:val="32"/>
        </w:rPr>
      </w:pPr>
      <w:r>
        <w:rPr>
          <w:rFonts w:hint="eastAsia" w:ascii="宋体" w:hAnsi="宋体"/>
          <w:color w:val="auto"/>
          <w:sz w:val="24"/>
        </w:rPr>
        <w:t>9</w:t>
      </w:r>
      <w:r>
        <w:rPr>
          <w:rFonts w:ascii="宋体" w:hAnsi="宋体"/>
          <w:color w:val="auto"/>
          <w:sz w:val="24"/>
        </w:rPr>
        <w:t>.3</w:t>
      </w:r>
      <w:r>
        <w:rPr>
          <w:rFonts w:hint="eastAsia" w:ascii="宋体" w:hAnsi="宋体"/>
          <w:color w:val="auto"/>
          <w:sz w:val="24"/>
        </w:rPr>
        <w:t xml:space="preserve"> 供应商将在采购项目实施过程中采用自有或者第三方知识成果的，应当在响应文件中载明，并提供相关知识产权证明文件。使用该知识成果后，供应商需提供开发接口和开发手册等技术资料，并承诺提供无限期技术支持，采购人享有使用权（含采购人委托第三方在该项目后续开发的使用权）。</w:t>
      </w:r>
    </w:p>
    <w:p>
      <w:pPr>
        <w:spacing w:line="360" w:lineRule="auto"/>
        <w:ind w:firstLine="480" w:firstLineChars="200"/>
        <w:rPr>
          <w:rFonts w:ascii="宋体" w:hAnsi="宋体"/>
          <w:color w:val="auto"/>
          <w:sz w:val="24"/>
        </w:rPr>
      </w:pPr>
      <w:r>
        <w:rPr>
          <w:rFonts w:hint="eastAsia" w:ascii="宋体" w:hAnsi="宋体"/>
          <w:color w:val="auto"/>
          <w:sz w:val="24"/>
        </w:rPr>
        <w:t>9</w:t>
      </w:r>
      <w:r>
        <w:rPr>
          <w:rFonts w:ascii="宋体" w:hAnsi="宋体"/>
          <w:color w:val="auto"/>
          <w:sz w:val="24"/>
        </w:rPr>
        <w:t>.4</w:t>
      </w:r>
      <w:r>
        <w:rPr>
          <w:rFonts w:hint="eastAsia" w:ascii="宋体" w:hAnsi="宋体"/>
          <w:color w:val="auto"/>
          <w:sz w:val="24"/>
        </w:rPr>
        <w:t xml:space="preserve"> 如采用供应商所不拥有的知识产权，则在报价中必须包括合法获取该知识产权的相关费用。 </w:t>
      </w:r>
    </w:p>
    <w:p>
      <w:pPr>
        <w:spacing w:line="360" w:lineRule="auto"/>
        <w:ind w:firstLine="481" w:firstLineChars="200"/>
        <w:rPr>
          <w:rFonts w:ascii="宋体" w:hAnsi="宋体"/>
          <w:color w:val="auto"/>
          <w:kern w:val="0"/>
          <w:sz w:val="24"/>
        </w:rPr>
      </w:pPr>
      <w:r>
        <w:rPr>
          <w:rFonts w:hint="eastAsia" w:ascii="宋体" w:hAnsi="宋体"/>
          <w:b/>
          <w:color w:val="auto"/>
          <w:sz w:val="24"/>
        </w:rPr>
        <w:t>10. （实质性要求）</w:t>
      </w:r>
      <w:r>
        <w:rPr>
          <w:rFonts w:ascii="宋体" w:hAnsi="宋体"/>
          <w:color w:val="auto"/>
          <w:sz w:val="24"/>
        </w:rPr>
        <w:t>国家</w:t>
      </w:r>
      <w:r>
        <w:rPr>
          <w:rFonts w:hint="eastAsia" w:ascii="宋体" w:hAnsi="宋体"/>
          <w:color w:val="auto"/>
          <w:sz w:val="24"/>
        </w:rPr>
        <w:t>或行业主管部门</w:t>
      </w:r>
      <w:r>
        <w:rPr>
          <w:rFonts w:ascii="宋体" w:hAnsi="宋体"/>
          <w:color w:val="auto"/>
          <w:sz w:val="24"/>
        </w:rPr>
        <w:t>对</w:t>
      </w:r>
      <w:r>
        <w:rPr>
          <w:rFonts w:hint="eastAsia" w:ascii="宋体" w:hAnsi="宋体"/>
          <w:color w:val="auto"/>
          <w:sz w:val="24"/>
        </w:rPr>
        <w:t>供应商和采购产品的</w:t>
      </w:r>
      <w:r>
        <w:rPr>
          <w:rFonts w:ascii="宋体" w:hAnsi="宋体"/>
          <w:color w:val="auto"/>
          <w:sz w:val="24"/>
        </w:rPr>
        <w:t>技术</w:t>
      </w:r>
      <w:r>
        <w:rPr>
          <w:rFonts w:hint="eastAsia" w:ascii="宋体" w:hAnsi="宋体"/>
          <w:color w:val="auto"/>
          <w:sz w:val="24"/>
        </w:rPr>
        <w:t>标准、</w:t>
      </w:r>
      <w:r>
        <w:rPr>
          <w:rFonts w:ascii="宋体" w:hAnsi="宋体"/>
          <w:color w:val="auto"/>
          <w:sz w:val="24"/>
        </w:rPr>
        <w:t>质量</w:t>
      </w:r>
      <w:r>
        <w:rPr>
          <w:rFonts w:hint="eastAsia" w:ascii="宋体" w:hAnsi="宋体"/>
          <w:color w:val="auto"/>
          <w:sz w:val="24"/>
        </w:rPr>
        <w:t>标准和资格资质条件</w:t>
      </w:r>
      <w:r>
        <w:rPr>
          <w:rFonts w:ascii="宋体" w:hAnsi="宋体"/>
          <w:color w:val="auto"/>
          <w:sz w:val="24"/>
        </w:rPr>
        <w:t>等有</w:t>
      </w:r>
      <w:r>
        <w:rPr>
          <w:rFonts w:hint="eastAsia" w:ascii="宋体" w:hAnsi="宋体"/>
          <w:color w:val="auto"/>
          <w:sz w:val="24"/>
        </w:rPr>
        <w:t>强制性规定</w:t>
      </w:r>
      <w:r>
        <w:rPr>
          <w:rFonts w:ascii="宋体" w:hAnsi="宋体"/>
          <w:color w:val="auto"/>
          <w:sz w:val="24"/>
        </w:rPr>
        <w:t>的</w:t>
      </w:r>
      <w:r>
        <w:rPr>
          <w:rFonts w:hint="eastAsia" w:ascii="宋体" w:hAnsi="宋体"/>
          <w:color w:val="auto"/>
          <w:sz w:val="24"/>
        </w:rPr>
        <w:t>，必须符合其要求。</w:t>
      </w:r>
    </w:p>
    <w:p>
      <w:pPr>
        <w:pStyle w:val="4"/>
        <w:keepNext w:val="0"/>
        <w:keepLines w:val="0"/>
        <w:spacing w:beforeLines="100" w:afterLines="100" w:line="360" w:lineRule="auto"/>
        <w:jc w:val="center"/>
        <w:rPr>
          <w:rFonts w:ascii="宋体" w:hAnsi="宋体" w:eastAsia="宋体"/>
          <w:color w:val="auto"/>
        </w:rPr>
      </w:pPr>
      <w:bookmarkStart w:id="41" w:name="_Toc534623358"/>
      <w:bookmarkStart w:id="42" w:name="_Toc89075875"/>
      <w:bookmarkStart w:id="43" w:name="_Toc183582209"/>
      <w:bookmarkStart w:id="44" w:name="_Toc77400779"/>
      <w:bookmarkStart w:id="45" w:name="_Toc536633423"/>
      <w:bookmarkStart w:id="46" w:name="_Toc217446038"/>
      <w:bookmarkStart w:id="47" w:name="_Toc534620642"/>
      <w:bookmarkStart w:id="48" w:name="_Toc534620552"/>
      <w:bookmarkStart w:id="49" w:name="_Toc148963311"/>
      <w:bookmarkStart w:id="50" w:name="_Toc534622134"/>
      <w:bookmarkStart w:id="51" w:name="_Toc183682346"/>
      <w:r>
        <w:rPr>
          <w:rFonts w:hint="eastAsia" w:ascii="宋体" w:hAnsi="宋体" w:eastAsia="宋体"/>
          <w:color w:val="auto"/>
        </w:rPr>
        <w:t>三、谈判文件</w:t>
      </w:r>
      <w:bookmarkEnd w:id="41"/>
      <w:bookmarkEnd w:id="42"/>
      <w:bookmarkEnd w:id="43"/>
      <w:bookmarkEnd w:id="44"/>
      <w:bookmarkEnd w:id="45"/>
      <w:bookmarkEnd w:id="46"/>
      <w:bookmarkEnd w:id="47"/>
      <w:bookmarkEnd w:id="48"/>
      <w:bookmarkEnd w:id="49"/>
      <w:bookmarkEnd w:id="50"/>
      <w:bookmarkEnd w:id="51"/>
      <w:bookmarkStart w:id="52" w:name="_Toc183682347"/>
      <w:bookmarkStart w:id="53" w:name="_Toc183582210"/>
      <w:bookmarkStart w:id="54" w:name="_Toc217446039"/>
    </w:p>
    <w:p>
      <w:pPr>
        <w:spacing w:line="360" w:lineRule="auto"/>
        <w:ind w:firstLine="481" w:firstLineChars="200"/>
        <w:rPr>
          <w:rFonts w:ascii="宋体" w:hAnsi="宋体"/>
          <w:color w:val="auto"/>
          <w:sz w:val="24"/>
        </w:rPr>
      </w:pPr>
      <w:r>
        <w:rPr>
          <w:rFonts w:hint="eastAsia" w:ascii="宋体" w:hAnsi="宋体"/>
          <w:b/>
          <w:color w:val="auto"/>
          <w:sz w:val="24"/>
        </w:rPr>
        <w:t>11．谈判文件的构成</w:t>
      </w:r>
      <w:bookmarkEnd w:id="52"/>
      <w:bookmarkEnd w:id="53"/>
      <w:bookmarkEnd w:id="54"/>
      <w:r>
        <w:rPr>
          <w:rFonts w:hint="eastAsia" w:ascii="宋体" w:hAnsi="宋体"/>
          <w:b/>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11</w:t>
      </w:r>
      <w:r>
        <w:rPr>
          <w:rFonts w:ascii="宋体" w:hAnsi="宋体"/>
          <w:b/>
          <w:bCs/>
          <w:color w:val="auto"/>
          <w:sz w:val="24"/>
        </w:rPr>
        <w:t>.</w:t>
      </w:r>
      <w:r>
        <w:rPr>
          <w:rFonts w:hint="eastAsia" w:ascii="宋体" w:hAnsi="宋体"/>
          <w:color w:val="auto"/>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spacing w:line="360" w:lineRule="auto"/>
        <w:ind w:firstLine="480" w:firstLineChars="200"/>
        <w:rPr>
          <w:rFonts w:ascii="宋体" w:hAnsi="宋体"/>
          <w:color w:val="auto"/>
          <w:sz w:val="24"/>
        </w:rPr>
      </w:pPr>
      <w:r>
        <w:rPr>
          <w:rFonts w:hint="eastAsia" w:ascii="宋体" w:hAnsi="宋体"/>
          <w:color w:val="auto"/>
          <w:sz w:val="24"/>
        </w:rPr>
        <w:t>11</w:t>
      </w:r>
      <w:r>
        <w:rPr>
          <w:rFonts w:hint="eastAsia" w:ascii="宋体" w:hAnsi="宋体"/>
          <w:b/>
          <w:bCs/>
          <w:color w:val="auto"/>
          <w:sz w:val="24"/>
        </w:rPr>
        <w:t>.</w:t>
      </w:r>
      <w:r>
        <w:rPr>
          <w:rFonts w:hint="eastAsia" w:ascii="宋体" w:hAnsi="宋体"/>
          <w:color w:val="auto"/>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55" w:name="_Toc183682348"/>
      <w:bookmarkStart w:id="56" w:name="_Toc183582211"/>
      <w:bookmarkStart w:id="57" w:name="_Toc217446040"/>
    </w:p>
    <w:p>
      <w:pPr>
        <w:spacing w:line="360" w:lineRule="auto"/>
        <w:ind w:firstLine="481" w:firstLineChars="200"/>
        <w:rPr>
          <w:rFonts w:ascii="宋体" w:hAnsi="宋体"/>
          <w:b/>
          <w:color w:val="auto"/>
          <w:sz w:val="24"/>
        </w:rPr>
      </w:pPr>
      <w:r>
        <w:rPr>
          <w:rFonts w:hint="eastAsia" w:ascii="宋体" w:hAnsi="宋体"/>
          <w:b/>
          <w:color w:val="auto"/>
          <w:sz w:val="24"/>
        </w:rPr>
        <w:t>12. 谈判文件的澄清</w:t>
      </w:r>
      <w:bookmarkEnd w:id="55"/>
      <w:bookmarkEnd w:id="56"/>
      <w:r>
        <w:rPr>
          <w:rFonts w:hint="eastAsia" w:ascii="宋体" w:hAnsi="宋体"/>
          <w:b/>
          <w:color w:val="auto"/>
          <w:sz w:val="24"/>
        </w:rPr>
        <w:t>和修改</w:t>
      </w:r>
      <w:bookmarkEnd w:id="57"/>
    </w:p>
    <w:p>
      <w:pPr>
        <w:spacing w:line="360" w:lineRule="auto"/>
        <w:ind w:firstLine="480" w:firstLineChars="200"/>
        <w:rPr>
          <w:rFonts w:ascii="宋体" w:hAnsi="宋体"/>
          <w:color w:val="auto"/>
          <w:sz w:val="24"/>
        </w:rPr>
      </w:pPr>
      <w:r>
        <w:rPr>
          <w:rFonts w:hint="eastAsia" w:ascii="宋体" w:hAnsi="宋体"/>
          <w:color w:val="auto"/>
          <w:sz w:val="24"/>
        </w:rPr>
        <w:t>12.1 在递交响应文件截止时间前，采购人、采购代理机构可以对谈判文件进行澄清或者修改。</w:t>
      </w:r>
    </w:p>
    <w:p>
      <w:pPr>
        <w:spacing w:line="360" w:lineRule="auto"/>
        <w:ind w:firstLine="480" w:firstLineChars="200"/>
        <w:rPr>
          <w:rFonts w:ascii="宋体" w:hAnsi="宋体"/>
          <w:color w:val="auto"/>
          <w:sz w:val="24"/>
        </w:rPr>
      </w:pPr>
      <w:r>
        <w:rPr>
          <w:rFonts w:hint="eastAsia" w:ascii="宋体" w:hAnsi="宋体"/>
          <w:color w:val="auto"/>
          <w:sz w:val="24"/>
        </w:rPr>
        <w:t>12.2 采购人或者采购代理机构对已发出的谈判文件进行澄清或者修改，应当将澄清或者修改的内容通知所有获取了谈判文件的供应商</w:t>
      </w:r>
      <w:r>
        <w:rPr>
          <w:rFonts w:ascii="宋体" w:hAnsi="宋体"/>
          <w:color w:val="auto"/>
          <w:sz w:val="24"/>
        </w:rPr>
        <w:t>。</w:t>
      </w:r>
      <w:r>
        <w:rPr>
          <w:rFonts w:hint="eastAsia" w:ascii="宋体" w:hAnsi="宋体"/>
          <w:color w:val="auto"/>
          <w:sz w:val="24"/>
        </w:rPr>
        <w:t>该澄清或者修改的内容为谈判文件的组成部分，澄清或者修改的内容可能影响响应文件编制的，采购人或者采购代理机构发布公告并通知供应商的时间，应当在</w:t>
      </w:r>
      <w:r>
        <w:rPr>
          <w:rFonts w:hint="eastAsia" w:ascii="宋体" w:hAnsi="宋体" w:cs="宋体"/>
          <w:color w:val="auto"/>
          <w:sz w:val="24"/>
        </w:rPr>
        <w:t>提交</w:t>
      </w:r>
      <w:r>
        <w:rPr>
          <w:rFonts w:hint="eastAsia" w:ascii="宋体" w:hAnsi="宋体"/>
          <w:color w:val="auto"/>
          <w:sz w:val="24"/>
        </w:rPr>
        <w:t>首次响应文件截</w:t>
      </w:r>
      <w:r>
        <w:rPr>
          <w:rFonts w:hint="eastAsia" w:ascii="宋体" w:hAnsi="宋体" w:cs="宋体"/>
          <w:color w:val="auto"/>
          <w:sz w:val="24"/>
        </w:rPr>
        <w:t>止之日3个工作日前</w:t>
      </w:r>
      <w:r>
        <w:rPr>
          <w:rFonts w:hint="eastAsia" w:ascii="宋体" w:hAnsi="宋体"/>
          <w:color w:val="auto"/>
          <w:sz w:val="24"/>
        </w:rPr>
        <w:t>；不足</w:t>
      </w:r>
      <w:r>
        <w:rPr>
          <w:rFonts w:hint="eastAsia" w:ascii="宋体" w:hAnsi="宋体" w:cs="宋体"/>
          <w:color w:val="auto"/>
          <w:sz w:val="24"/>
        </w:rPr>
        <w:t>3个工作日</w:t>
      </w:r>
      <w:r>
        <w:rPr>
          <w:rFonts w:hint="eastAsia" w:ascii="宋体" w:hAnsi="宋体"/>
          <w:color w:val="auto"/>
          <w:sz w:val="24"/>
        </w:rPr>
        <w:t>的，应当顺延递交响应文件的截止时间。</w:t>
      </w:r>
    </w:p>
    <w:p>
      <w:pPr>
        <w:pStyle w:val="4"/>
        <w:keepNext w:val="0"/>
        <w:keepLines w:val="0"/>
        <w:spacing w:beforeLines="100" w:afterLines="100" w:line="360" w:lineRule="auto"/>
        <w:jc w:val="center"/>
        <w:rPr>
          <w:rFonts w:ascii="宋体" w:hAnsi="宋体" w:eastAsia="宋体"/>
          <w:color w:val="auto"/>
        </w:rPr>
      </w:pPr>
      <w:bookmarkStart w:id="58" w:name="_Toc534622135"/>
      <w:bookmarkStart w:id="59" w:name="_Toc77400780"/>
      <w:bookmarkStart w:id="60" w:name="_Toc534620553"/>
      <w:bookmarkStart w:id="61" w:name="_Toc536633424"/>
      <w:bookmarkStart w:id="62" w:name="_Toc183582214"/>
      <w:bookmarkStart w:id="63" w:name="_Toc217446042"/>
      <w:bookmarkStart w:id="64" w:name="_Toc534623359"/>
      <w:bookmarkStart w:id="65" w:name="_Toc471665584"/>
      <w:bookmarkStart w:id="66" w:name="_Toc89075876"/>
      <w:bookmarkStart w:id="67" w:name="_Toc183682351"/>
      <w:bookmarkStart w:id="68" w:name="_Toc534620643"/>
      <w:r>
        <w:rPr>
          <w:rFonts w:hint="eastAsia" w:ascii="宋体" w:hAnsi="宋体" w:eastAsia="宋体"/>
          <w:color w:val="auto"/>
        </w:rPr>
        <w:t>四、响应文件</w:t>
      </w:r>
      <w:bookmarkEnd w:id="58"/>
      <w:bookmarkEnd w:id="59"/>
      <w:bookmarkEnd w:id="60"/>
      <w:bookmarkEnd w:id="61"/>
      <w:bookmarkEnd w:id="62"/>
      <w:bookmarkEnd w:id="63"/>
      <w:bookmarkEnd w:id="64"/>
      <w:bookmarkEnd w:id="65"/>
      <w:bookmarkEnd w:id="66"/>
      <w:bookmarkEnd w:id="67"/>
      <w:bookmarkEnd w:id="68"/>
    </w:p>
    <w:p>
      <w:pPr>
        <w:spacing w:line="360" w:lineRule="auto"/>
        <w:ind w:firstLine="481" w:firstLineChars="200"/>
        <w:rPr>
          <w:rFonts w:ascii="宋体" w:hAnsi="宋体"/>
          <w:b/>
          <w:color w:val="auto"/>
          <w:sz w:val="24"/>
        </w:rPr>
      </w:pPr>
      <w:bookmarkStart w:id="69" w:name="_Toc183682352"/>
      <w:bookmarkStart w:id="70" w:name="_Toc217446043"/>
      <w:bookmarkStart w:id="71" w:name="_Toc183582215"/>
      <w:r>
        <w:rPr>
          <w:rFonts w:hint="eastAsia" w:ascii="宋体" w:hAnsi="宋体"/>
          <w:b/>
          <w:color w:val="auto"/>
          <w:sz w:val="24"/>
        </w:rPr>
        <w:t>1</w:t>
      </w:r>
      <w:r>
        <w:rPr>
          <w:rFonts w:hint="eastAsia" w:ascii="宋体" w:hAnsi="宋体"/>
          <w:b/>
          <w:color w:val="auto"/>
          <w:sz w:val="24"/>
          <w:lang w:val="en-US" w:eastAsia="zh-CN"/>
        </w:rPr>
        <w:t>3</w:t>
      </w:r>
      <w:r>
        <w:rPr>
          <w:rFonts w:hint="eastAsia" w:ascii="宋体" w:hAnsi="宋体"/>
          <w:b/>
          <w:color w:val="auto"/>
          <w:sz w:val="24"/>
        </w:rPr>
        <w:t>. 响应文件的组成（实质性要求）</w:t>
      </w:r>
    </w:p>
    <w:p>
      <w:pPr>
        <w:spacing w:line="360" w:lineRule="auto"/>
        <w:ind w:firstLine="480" w:firstLineChars="200"/>
        <w:rPr>
          <w:rFonts w:ascii="宋体" w:hAnsi="宋体"/>
          <w:color w:val="auto"/>
          <w:sz w:val="24"/>
        </w:rPr>
      </w:pPr>
      <w:r>
        <w:rPr>
          <w:rFonts w:hint="eastAsia" w:ascii="宋体" w:hAnsi="宋体"/>
          <w:color w:val="auto"/>
          <w:sz w:val="24"/>
        </w:rPr>
        <w:t>供应商应按照谈判文件的规定和要求编制响应文件。供应商在成交后将成交项目的非主体、非关键性工作分包他人完成的，应当在响应文件中载明或谈判过程中澄清。供应商编写的响应文件应包括</w:t>
      </w:r>
      <w:r>
        <w:rPr>
          <w:rFonts w:hint="eastAsia" w:ascii="宋体" w:hAnsi="宋体"/>
          <w:b/>
          <w:color w:val="auto"/>
          <w:sz w:val="24"/>
        </w:rPr>
        <w:t>资格性响应文件</w:t>
      </w:r>
      <w:r>
        <w:rPr>
          <w:rFonts w:hint="eastAsia" w:ascii="宋体" w:hAnsi="宋体"/>
          <w:color w:val="auto"/>
          <w:sz w:val="24"/>
        </w:rPr>
        <w:t>和</w:t>
      </w:r>
      <w:r>
        <w:rPr>
          <w:rFonts w:hint="eastAsia" w:ascii="宋体" w:hAnsi="宋体"/>
          <w:b/>
          <w:color w:val="auto"/>
          <w:sz w:val="24"/>
        </w:rPr>
        <w:t>其他响应文件</w:t>
      </w:r>
      <w:r>
        <w:rPr>
          <w:rFonts w:hint="eastAsia" w:ascii="宋体" w:hAnsi="宋体"/>
          <w:color w:val="auto"/>
          <w:sz w:val="24"/>
        </w:rPr>
        <w:t>两部分，</w:t>
      </w:r>
      <w:r>
        <w:rPr>
          <w:rFonts w:hint="eastAsia" w:ascii="宋体" w:hAnsi="宋体"/>
          <w:b/>
          <w:color w:val="auto"/>
          <w:sz w:val="24"/>
        </w:rPr>
        <w:t>分册装订</w:t>
      </w:r>
      <w:r>
        <w:rPr>
          <w:rFonts w:hint="eastAsia" w:asciiTheme="minorEastAsia" w:hAnsiTheme="minorEastAsia" w:eastAsiaTheme="minorEastAsia"/>
          <w:color w:val="auto"/>
          <w:sz w:val="24"/>
        </w:rPr>
        <w:t>。</w:t>
      </w:r>
    </w:p>
    <w:p>
      <w:pPr>
        <w:spacing w:line="360" w:lineRule="auto"/>
        <w:ind w:firstLine="481" w:firstLineChars="200"/>
        <w:rPr>
          <w:rFonts w:ascii="宋体" w:hAnsi="宋体"/>
          <w:color w:val="auto"/>
          <w:sz w:val="24"/>
        </w:rPr>
      </w:pPr>
      <w:r>
        <w:rPr>
          <w:rFonts w:hint="eastAsia" w:ascii="宋体" w:hAnsi="宋体"/>
          <w:b/>
          <w:color w:val="auto"/>
          <w:sz w:val="24"/>
        </w:rPr>
        <w:t>资格性响应文件</w:t>
      </w:r>
      <w:r>
        <w:rPr>
          <w:rFonts w:hint="eastAsia" w:ascii="宋体" w:hAnsi="宋体"/>
          <w:color w:val="auto"/>
          <w:sz w:val="24"/>
        </w:rPr>
        <w:t>用于资格审查，应包括谈判文件第四章要求的所有证明材料。</w:t>
      </w:r>
    </w:p>
    <w:p>
      <w:pPr>
        <w:spacing w:line="360" w:lineRule="auto"/>
        <w:ind w:firstLine="481" w:firstLineChars="200"/>
        <w:rPr>
          <w:rFonts w:ascii="宋体" w:hAnsi="宋体"/>
          <w:color w:val="auto"/>
          <w:sz w:val="24"/>
        </w:rPr>
      </w:pPr>
      <w:r>
        <w:rPr>
          <w:rFonts w:hint="eastAsia" w:ascii="宋体" w:hAnsi="宋体"/>
          <w:b/>
          <w:color w:val="auto"/>
          <w:sz w:val="24"/>
        </w:rPr>
        <w:t>其他响应文件</w:t>
      </w:r>
      <w:r>
        <w:rPr>
          <w:rFonts w:hint="eastAsia" w:ascii="宋体" w:hAnsi="宋体"/>
          <w:color w:val="auto"/>
          <w:sz w:val="24"/>
        </w:rPr>
        <w:t>用于谈判，应包括谈判文件要求的资格条件以外的所有材料。至少应包括以下内容：</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报价函；</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报价一览表；</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供应商基本情况表；</w:t>
      </w:r>
      <w:r>
        <w:rPr>
          <w:rFonts w:ascii="宋体" w:hAnsi="宋体"/>
          <w:color w:val="auto"/>
          <w:sz w:val="24"/>
        </w:rPr>
        <w:t xml:space="preserve"> </w:t>
      </w:r>
    </w:p>
    <w:p>
      <w:pPr>
        <w:pStyle w:val="63"/>
        <w:numPr>
          <w:ilvl w:val="0"/>
          <w:numId w:val="1"/>
        </w:numPr>
        <w:spacing w:line="360" w:lineRule="auto"/>
        <w:ind w:firstLineChars="0"/>
        <w:rPr>
          <w:rFonts w:ascii="宋体" w:hAnsi="宋体"/>
          <w:color w:val="auto"/>
          <w:sz w:val="24"/>
        </w:rPr>
      </w:pPr>
      <w:r>
        <w:rPr>
          <w:rFonts w:hint="eastAsia" w:ascii="宋体" w:hAnsi="宋体"/>
          <w:color w:val="auto"/>
          <w:sz w:val="24"/>
        </w:rPr>
        <w:t>承诺函；</w:t>
      </w:r>
    </w:p>
    <w:p>
      <w:pPr>
        <w:spacing w:line="360" w:lineRule="auto"/>
        <w:ind w:left="480"/>
        <w:rPr>
          <w:rFonts w:ascii="宋体" w:hAnsi="宋体"/>
          <w:color w:val="auto"/>
          <w:sz w:val="24"/>
        </w:rPr>
      </w:pPr>
      <w:r>
        <w:rPr>
          <w:rFonts w:hint="eastAsia" w:ascii="宋体" w:hAnsi="宋体"/>
          <w:color w:val="auto"/>
          <w:sz w:val="24"/>
        </w:rPr>
        <w:t>5、</w:t>
      </w:r>
      <w:r>
        <w:rPr>
          <w:rFonts w:hint="eastAsia" w:asciiTheme="minorEastAsia" w:hAnsiTheme="minorEastAsia" w:eastAsiaTheme="minorEastAsia"/>
          <w:color w:val="auto"/>
          <w:sz w:val="24"/>
        </w:rPr>
        <w:t>技术、服务、商务应答表</w:t>
      </w:r>
      <w:r>
        <w:rPr>
          <w:rFonts w:hint="eastAsia" w:ascii="宋体" w:hAnsi="宋体"/>
          <w:color w:val="auto"/>
          <w:sz w:val="24"/>
        </w:rPr>
        <w:t>；</w:t>
      </w:r>
    </w:p>
    <w:p>
      <w:pPr>
        <w:pStyle w:val="63"/>
        <w:spacing w:line="360" w:lineRule="auto"/>
        <w:ind w:left="480" w:firstLine="0" w:firstLineChars="0"/>
        <w:rPr>
          <w:rFonts w:ascii="宋体" w:hAnsi="宋体"/>
          <w:color w:val="auto"/>
          <w:sz w:val="24"/>
        </w:rPr>
      </w:pPr>
      <w:r>
        <w:rPr>
          <w:rFonts w:hint="eastAsia" w:ascii="宋体" w:hAnsi="宋体"/>
          <w:color w:val="auto"/>
          <w:sz w:val="24"/>
        </w:rPr>
        <w:t>6、供应商本项目管理、技术、其他人员情况表；</w:t>
      </w:r>
    </w:p>
    <w:p>
      <w:pPr>
        <w:spacing w:line="360" w:lineRule="auto"/>
        <w:ind w:firstLine="480" w:firstLineChars="200"/>
        <w:rPr>
          <w:rFonts w:ascii="宋体" w:hAnsi="宋体"/>
          <w:color w:val="auto"/>
          <w:sz w:val="24"/>
        </w:rPr>
      </w:pPr>
      <w:r>
        <w:rPr>
          <w:rFonts w:hint="eastAsia" w:ascii="宋体" w:hAnsi="宋体"/>
          <w:color w:val="auto"/>
          <w:sz w:val="24"/>
        </w:rPr>
        <w:t>7、供应商类似项目业绩一览表（没有业绩可不提供）；</w:t>
      </w:r>
    </w:p>
    <w:p>
      <w:pPr>
        <w:spacing w:line="360" w:lineRule="auto"/>
        <w:ind w:firstLine="480" w:firstLineChars="200"/>
        <w:rPr>
          <w:rFonts w:ascii="宋体" w:hAnsi="宋体"/>
          <w:color w:val="auto"/>
          <w:sz w:val="24"/>
        </w:rPr>
      </w:pPr>
      <w:r>
        <w:rPr>
          <w:rFonts w:ascii="宋体" w:hAnsi="宋体"/>
          <w:color w:val="auto"/>
          <w:sz w:val="24"/>
        </w:rPr>
        <w:t>8</w:t>
      </w:r>
      <w:r>
        <w:rPr>
          <w:rFonts w:hint="eastAsia" w:ascii="宋体" w:hAnsi="宋体"/>
          <w:color w:val="auto"/>
          <w:sz w:val="24"/>
        </w:rPr>
        <w:t>、项目实施方案；</w:t>
      </w:r>
    </w:p>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4</w:t>
      </w:r>
      <w:r>
        <w:rPr>
          <w:rFonts w:hint="eastAsia" w:ascii="宋体" w:hAnsi="宋体"/>
          <w:b/>
          <w:bCs/>
          <w:color w:val="auto"/>
          <w:sz w:val="24"/>
        </w:rPr>
        <w:t>. 响应文件的语言</w:t>
      </w:r>
      <w:bookmarkEnd w:id="69"/>
      <w:bookmarkEnd w:id="70"/>
      <w:bookmarkEnd w:id="71"/>
      <w:r>
        <w:rPr>
          <w:rFonts w:hint="eastAsia" w:ascii="宋体" w:hAnsi="宋体"/>
          <w:b/>
          <w:bCs/>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.2 翻译的中文资料与外文资料如果出现差异和矛盾，以中文为准。但不能故意错误翻译，否则，供应商的响应文件将作为无效处理。</w:t>
      </w:r>
      <w:bookmarkStart w:id="72" w:name="_Toc183682353"/>
      <w:bookmarkStart w:id="73" w:name="_Toc183582216"/>
      <w:bookmarkStart w:id="74" w:name="_Toc217446044"/>
    </w:p>
    <w:p>
      <w:pPr>
        <w:spacing w:line="360" w:lineRule="auto"/>
        <w:ind w:firstLine="481" w:firstLineChars="200"/>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5</w:t>
      </w:r>
      <w:r>
        <w:rPr>
          <w:rFonts w:hint="eastAsia" w:ascii="宋体" w:hAnsi="宋体"/>
          <w:b/>
          <w:color w:val="auto"/>
          <w:sz w:val="24"/>
        </w:rPr>
        <w:t>．计量单位</w:t>
      </w:r>
      <w:bookmarkEnd w:id="72"/>
      <w:bookmarkEnd w:id="73"/>
      <w:bookmarkEnd w:id="74"/>
      <w:r>
        <w:rPr>
          <w:rFonts w:hint="eastAsia" w:ascii="宋体" w:hAnsi="宋体"/>
          <w:b/>
          <w:color w:val="auto"/>
          <w:sz w:val="24"/>
        </w:rPr>
        <w:t>（实质性要求）</w:t>
      </w:r>
    </w:p>
    <w:p>
      <w:pPr>
        <w:spacing w:line="360" w:lineRule="auto"/>
        <w:ind w:firstLine="480" w:firstLineChars="200"/>
        <w:rPr>
          <w:rFonts w:ascii="宋体" w:hAnsi="宋体"/>
          <w:color w:val="auto"/>
          <w:sz w:val="24"/>
        </w:rPr>
      </w:pPr>
      <w:r>
        <w:rPr>
          <w:rFonts w:hint="eastAsia" w:ascii="宋体" w:hAnsi="宋体"/>
          <w:color w:val="auto"/>
          <w:sz w:val="24"/>
        </w:rPr>
        <w:t>除谈判文件中另有规定外，本次采购项目所有合同项下的报价均采用国家法定的计量单位。</w:t>
      </w:r>
      <w:bookmarkStart w:id="75" w:name="_Toc217446045"/>
    </w:p>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color w:val="auto"/>
          <w:sz w:val="24"/>
        </w:rPr>
        <w:t>报价</w:t>
      </w:r>
      <w:r>
        <w:rPr>
          <w:rFonts w:hint="eastAsia" w:ascii="宋体" w:hAnsi="宋体"/>
          <w:b/>
          <w:bCs/>
          <w:color w:val="auto"/>
          <w:sz w:val="24"/>
        </w:rPr>
        <w:t>货币（实质性要求）</w:t>
      </w:r>
    </w:p>
    <w:p>
      <w:pPr>
        <w:spacing w:line="360" w:lineRule="auto"/>
        <w:ind w:firstLine="480" w:firstLineChars="200"/>
        <w:rPr>
          <w:rFonts w:ascii="宋体" w:hAnsi="宋体"/>
          <w:bCs/>
          <w:color w:val="auto"/>
          <w:sz w:val="24"/>
        </w:rPr>
      </w:pPr>
      <w:r>
        <w:rPr>
          <w:rFonts w:hint="eastAsia" w:ascii="宋体" w:hAnsi="宋体"/>
          <w:bCs/>
          <w:color w:val="auto"/>
          <w:sz w:val="24"/>
        </w:rPr>
        <w:t>本次谈判项目的</w:t>
      </w:r>
      <w:r>
        <w:rPr>
          <w:rFonts w:hint="eastAsia" w:ascii="宋体" w:hAnsi="宋体"/>
          <w:color w:val="auto"/>
          <w:sz w:val="24"/>
        </w:rPr>
        <w:t>报价货币为</w:t>
      </w:r>
      <w:r>
        <w:rPr>
          <w:rFonts w:hint="eastAsia" w:ascii="宋体" w:hAnsi="宋体"/>
          <w:bCs/>
          <w:color w:val="auto"/>
          <w:sz w:val="24"/>
        </w:rPr>
        <w:t>人民币，报价以谈判文件规定为准。</w:t>
      </w:r>
    </w:p>
    <w:bookmarkEnd w:id="75"/>
    <w:p>
      <w:pPr>
        <w:spacing w:line="360" w:lineRule="auto"/>
        <w:ind w:firstLine="481" w:firstLineChars="200"/>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7</w:t>
      </w:r>
      <w:r>
        <w:rPr>
          <w:rFonts w:hint="eastAsia" w:ascii="宋体" w:hAnsi="宋体"/>
          <w:b/>
          <w:bCs/>
          <w:color w:val="auto"/>
          <w:sz w:val="24"/>
        </w:rPr>
        <w:t>. 响应文件格式</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7</w:t>
      </w:r>
      <w:r>
        <w:rPr>
          <w:rFonts w:hint="eastAsia" w:ascii="宋体" w:hAnsi="宋体"/>
          <w:bCs/>
          <w:color w:val="auto"/>
          <w:sz w:val="24"/>
        </w:rPr>
        <w:t>.1 供应商应执行谈判文件第</w:t>
      </w:r>
      <w:r>
        <w:rPr>
          <w:rFonts w:hint="eastAsia" w:ascii="宋体" w:hAnsi="宋体"/>
          <w:bCs/>
          <w:color w:val="auto"/>
          <w:sz w:val="24"/>
          <w:lang w:eastAsia="zh-CN"/>
        </w:rPr>
        <w:t>六</w:t>
      </w:r>
      <w:r>
        <w:rPr>
          <w:rFonts w:hint="eastAsia" w:ascii="宋体" w:hAnsi="宋体"/>
          <w:bCs/>
          <w:color w:val="auto"/>
          <w:sz w:val="24"/>
        </w:rPr>
        <w:t>章的规定要求。</w:t>
      </w:r>
    </w:p>
    <w:p>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.2 对于没有格式要求的谈判文件由供应商自行编写。</w:t>
      </w:r>
      <w:bookmarkStart w:id="76" w:name="_Toc183682361"/>
      <w:bookmarkStart w:id="77" w:name="_Toc217446051"/>
      <w:bookmarkStart w:id="78" w:name="_Toc183582224"/>
    </w:p>
    <w:p>
      <w:pPr>
        <w:spacing w:line="360" w:lineRule="auto"/>
        <w:ind w:firstLine="481" w:firstLineChars="200"/>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8</w:t>
      </w:r>
      <w:r>
        <w:rPr>
          <w:rFonts w:hint="eastAsia" w:ascii="宋体" w:hAnsi="宋体"/>
          <w:b/>
          <w:color w:val="auto"/>
          <w:sz w:val="24"/>
        </w:rPr>
        <w:t>. 响应文件的编制和签署（实质性要求）</w:t>
      </w:r>
    </w:p>
    <w:p>
      <w:pPr>
        <w:spacing w:line="360" w:lineRule="auto"/>
        <w:ind w:firstLine="480" w:firstLineChars="200"/>
        <w:rPr>
          <w:rFonts w:ascii="宋体" w:hAnsi="宋体"/>
          <w:bCs/>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 资格性响应文件正本一份副本两份</w:t>
      </w:r>
      <w:r>
        <w:rPr>
          <w:rFonts w:hint="eastAsia" w:ascii="宋体" w:hAnsi="宋体"/>
          <w:bCs/>
          <w:color w:val="auto"/>
          <w:sz w:val="24"/>
        </w:rPr>
        <w:t>，并在其封面上清楚地标明资格性响应文件、项目名称、供应商名称以及“正本”或“副本”字样。若正本和副本有不一致的内容，以正本书面响应文件为准。</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.2 其他响应文件正本一份副本两份，并在其封面上清楚地标明其他响应文件、项目名称、供应商名称以及“正本”或“副本”字样。若正本和副本有不一致的内容，以正本书面响应文件为准。</w:t>
      </w:r>
    </w:p>
    <w:bookmarkEnd w:id="76"/>
    <w:bookmarkEnd w:id="77"/>
    <w:bookmarkEnd w:id="78"/>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.3 </w:t>
      </w:r>
      <w:r>
        <w:rPr>
          <w:rFonts w:hint="eastAsia" w:asciiTheme="minorEastAsia" w:hAnsiTheme="minorEastAsia" w:eastAsiaTheme="minorEastAsia"/>
          <w:bCs/>
          <w:color w:val="auto"/>
          <w:sz w:val="24"/>
        </w:rPr>
        <w:t>响应文件正本和副本均需打印或用不褪色、不变质的墨水书写，</w:t>
      </w:r>
      <w:r>
        <w:rPr>
          <w:rFonts w:hint="eastAsia" w:ascii="宋体" w:hAnsi="宋体"/>
          <w:bCs/>
          <w:color w:val="auto"/>
          <w:sz w:val="24"/>
        </w:rPr>
        <w:t>响应文件正本和副本均需在规定签章处签字和盖章。响应文件副本可采用正本的复印件。</w:t>
      </w:r>
    </w:p>
    <w:p>
      <w:pPr>
        <w:spacing w:line="360" w:lineRule="auto"/>
        <w:ind w:firstLine="480" w:firstLineChars="200"/>
        <w:rPr>
          <w:rFonts w:ascii="宋体" w:hAnsi="宋体"/>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.4 响应文件的打印和书写应清楚工整，任何行间插字、涂改或增删，必须由供应商的法定代表人或其授权代表签字并盖供应商公章。</w:t>
      </w:r>
      <w:r>
        <w:rPr>
          <w:rFonts w:hint="eastAsia" w:ascii="宋体" w:hAnsi="宋体"/>
          <w:color w:val="auto"/>
          <w:sz w:val="24"/>
        </w:rPr>
        <w:t>字迹潦草、表达不清或可能导致非唯一理解的响应文件可能视为无效响应。</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.5 </w:t>
      </w:r>
      <w:r>
        <w:rPr>
          <w:rFonts w:hint="eastAsia" w:ascii="宋体" w:hAnsi="宋体"/>
          <w:b/>
          <w:bCs/>
          <w:color w:val="auto"/>
          <w:sz w:val="24"/>
        </w:rPr>
        <w:t>（实质性要求）</w:t>
      </w:r>
      <w:r>
        <w:rPr>
          <w:rFonts w:hint="eastAsia" w:ascii="宋体" w:hAnsi="宋体"/>
          <w:bCs/>
          <w:color w:val="auto"/>
          <w:sz w:val="24"/>
        </w:rPr>
        <w:t>响应文件应由供应商法定代表人或其授权代表在响应文件要求的地方签字（或加盖私人印章），要求加盖公章的地方加盖单位公章，不得使用专用章（如经济合同章、谈判专用章等）或下属单位印章代替。</w:t>
      </w:r>
    </w:p>
    <w:p>
      <w:pPr>
        <w:spacing w:line="360" w:lineRule="auto"/>
        <w:ind w:firstLine="480" w:firstLineChars="200"/>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.6 响应文件正本和副本需要逐页编目编码。</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.7 响应文件正本和副本应当采用胶装方式装订成册，不得散装或者合页装订。</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 xml:space="preserve">.8 </w:t>
      </w:r>
      <w:r>
        <w:rPr>
          <w:rFonts w:hint="eastAsia" w:ascii="宋体" w:hAnsi="宋体"/>
          <w:b/>
          <w:color w:val="auto"/>
          <w:sz w:val="24"/>
        </w:rPr>
        <w:t>（实质性要求）</w:t>
      </w:r>
      <w:r>
        <w:rPr>
          <w:rFonts w:hint="eastAsia" w:ascii="宋体" w:hAnsi="宋体"/>
          <w:color w:val="auto"/>
          <w:sz w:val="24"/>
        </w:rPr>
        <w:t>响应文件应根据谈判文件的要求制作，签署、盖章。</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.9 响应文件统一用</w:t>
      </w:r>
      <w:r>
        <w:rPr>
          <w:rFonts w:ascii="宋体" w:hAnsi="宋体"/>
          <w:color w:val="auto"/>
          <w:sz w:val="24"/>
        </w:rPr>
        <w:t>A4</w:t>
      </w:r>
      <w:r>
        <w:rPr>
          <w:rFonts w:hint="eastAsia" w:ascii="宋体" w:hAnsi="宋体"/>
          <w:color w:val="auto"/>
          <w:sz w:val="24"/>
        </w:rPr>
        <w:t>幅面纸印制，除另有规定外。</w:t>
      </w:r>
      <w:bookmarkStart w:id="79" w:name="_Toc183582226"/>
      <w:bookmarkStart w:id="80" w:name="_Toc77400781"/>
      <w:bookmarkStart w:id="81" w:name="_Toc89075877"/>
      <w:bookmarkStart w:id="82" w:name="_Toc183682363"/>
      <w:bookmarkStart w:id="83" w:name="_Toc217446053"/>
    </w:p>
    <w:p>
      <w:pPr>
        <w:tabs>
          <w:tab w:val="left" w:pos="1080"/>
        </w:tabs>
        <w:spacing w:line="360" w:lineRule="auto"/>
        <w:ind w:firstLine="481" w:firstLineChars="200"/>
        <w:rPr>
          <w:rFonts w:ascii="宋体" w:hAnsi="宋体"/>
          <w:b/>
          <w:color w:val="auto"/>
          <w:sz w:val="24"/>
        </w:rPr>
      </w:pPr>
      <w:r>
        <w:rPr>
          <w:rFonts w:hint="eastAsia" w:ascii="宋体" w:hAnsi="宋体"/>
          <w:b/>
          <w:color w:val="auto"/>
          <w:sz w:val="24"/>
          <w:lang w:val="en-US" w:eastAsia="zh-CN"/>
        </w:rPr>
        <w:t>19.</w:t>
      </w:r>
      <w:r>
        <w:rPr>
          <w:rFonts w:hint="eastAsia" w:ascii="宋体" w:hAnsi="宋体"/>
          <w:b/>
          <w:color w:val="auto"/>
          <w:sz w:val="24"/>
        </w:rPr>
        <w:t xml:space="preserve"> 响应文件的密封和标注（不属于本项目谈判小组评审范畴，由采购人、采购代理机构在接收响应文件时及时处理）</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资格性响应文件、其他响应文件应分别包装和密封。</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.2 资格性响应文件密封袋的最外层应清楚地标明项目名称、资格性响应文件、供应商名称、递交日期。</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.3 其他响应文件密封袋的最外层应清楚地标明项目名称、其他响应文件、供应商名称、递交日期。</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.4 所有外层密封袋的封口处应粘贴牢固</w:t>
      </w:r>
      <w:r>
        <w:rPr>
          <w:rFonts w:hint="eastAsia" w:asciiTheme="minorEastAsia" w:hAnsiTheme="minorEastAsia"/>
          <w:color w:val="auto"/>
          <w:sz w:val="24"/>
        </w:rPr>
        <w:t>。</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.5 未按以上要求进行密封和标注的响应文件，采购人、采购代理机构将拒收或者在时间允许的范围内，要求修改完善后接收。</w:t>
      </w:r>
    </w:p>
    <w:p>
      <w:pPr>
        <w:tabs>
          <w:tab w:val="left" w:pos="1080"/>
        </w:tabs>
        <w:spacing w:line="360" w:lineRule="auto"/>
        <w:ind w:firstLine="481" w:firstLineChars="200"/>
        <w:rPr>
          <w:rFonts w:ascii="宋体" w:hAnsi="宋体"/>
          <w:b/>
          <w:color w:val="auto"/>
          <w:sz w:val="24"/>
        </w:rPr>
      </w:pPr>
      <w:r>
        <w:rPr>
          <w:rFonts w:hint="eastAsia" w:ascii="宋体" w:hAnsi="宋体"/>
          <w:b/>
          <w:color w:val="auto"/>
          <w:sz w:val="24"/>
          <w:lang w:val="en-US" w:eastAsia="zh-CN"/>
        </w:rPr>
        <w:t>20</w:t>
      </w:r>
      <w:r>
        <w:rPr>
          <w:rFonts w:hint="eastAsia" w:ascii="宋体" w:hAnsi="宋体"/>
          <w:b/>
          <w:color w:val="auto"/>
          <w:sz w:val="24"/>
        </w:rPr>
        <w:t>. 响应文件的递交</w:t>
      </w:r>
    </w:p>
    <w:p>
      <w:pPr>
        <w:tabs>
          <w:tab w:val="left" w:pos="1080"/>
        </w:tabs>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 xml:space="preserve">.1 </w:t>
      </w:r>
      <w:r>
        <w:rPr>
          <w:rFonts w:hint="eastAsia" w:ascii="宋体" w:hAnsi="宋体"/>
          <w:b/>
          <w:color w:val="auto"/>
          <w:sz w:val="24"/>
        </w:rPr>
        <w:t>（实质性要求）</w:t>
      </w:r>
      <w:r>
        <w:rPr>
          <w:rFonts w:hint="eastAsia" w:ascii="宋体" w:hAnsi="宋体"/>
          <w:color w:val="auto"/>
          <w:sz w:val="24"/>
        </w:rPr>
        <w:t>资格性响应文件和其他响应文件应于递交响应文件截止时间前送达指定地点，采购机构拒绝接收截止时间后送达的响应文件。</w:t>
      </w:r>
      <w:r>
        <w:rPr>
          <w:rFonts w:hint="eastAsia" w:asciiTheme="minorEastAsia" w:hAnsiTheme="minorEastAsia" w:eastAsiaTheme="minorEastAsia"/>
          <w:color w:val="auto"/>
          <w:sz w:val="24"/>
        </w:rPr>
        <w:t>递交响应文件时供应商还应出示身份证原件。</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.2 采购机构将向通过资格审查的供应商发出谈判邀请；告知未通过资格审查的供应商未通过的原因。</w:t>
      </w:r>
    </w:p>
    <w:p>
      <w:pPr>
        <w:tabs>
          <w:tab w:val="left" w:pos="1080"/>
        </w:tabs>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.3 本次采购不接收邮寄的响应文件。</w:t>
      </w:r>
    </w:p>
    <w:bookmarkEnd w:id="79"/>
    <w:bookmarkEnd w:id="80"/>
    <w:bookmarkEnd w:id="81"/>
    <w:bookmarkEnd w:id="82"/>
    <w:bookmarkEnd w:id="83"/>
    <w:p>
      <w:pPr>
        <w:tabs>
          <w:tab w:val="left" w:pos="1080"/>
        </w:tabs>
        <w:spacing w:line="360" w:lineRule="auto"/>
        <w:ind w:firstLine="481" w:firstLineChars="200"/>
        <w:rPr>
          <w:rFonts w:ascii="宋体" w:hAnsi="宋体"/>
          <w:b/>
          <w:color w:val="auto"/>
          <w:sz w:val="24"/>
        </w:rPr>
      </w:pPr>
      <w:bookmarkStart w:id="84" w:name="_Toc183682365"/>
      <w:bookmarkStart w:id="85" w:name="_Toc183582228"/>
      <w:bookmarkStart w:id="86" w:name="_Toc217446055"/>
      <w:r>
        <w:rPr>
          <w:rFonts w:hint="eastAsia" w:ascii="宋体" w:hAnsi="宋体"/>
          <w:b/>
          <w:color w:val="auto"/>
          <w:sz w:val="24"/>
        </w:rPr>
        <w:t>2</w:t>
      </w:r>
      <w:r>
        <w:rPr>
          <w:rFonts w:hint="eastAsia" w:ascii="宋体" w:hAnsi="宋体"/>
          <w:b/>
          <w:color w:val="auto"/>
          <w:sz w:val="24"/>
          <w:lang w:val="en-US" w:eastAsia="zh-CN"/>
        </w:rPr>
        <w:t>1</w:t>
      </w:r>
      <w:r>
        <w:rPr>
          <w:rFonts w:hint="eastAsia" w:ascii="宋体" w:hAnsi="宋体"/>
          <w:b/>
          <w:color w:val="auto"/>
          <w:sz w:val="24"/>
        </w:rPr>
        <w:t>. 响应文件的修改和撤回（补充、修改响应文件的密封和标注按照本章“20.响应文件的密封和标注”规定处理）</w:t>
      </w:r>
    </w:p>
    <w:p>
      <w:pPr>
        <w:pStyle w:val="13"/>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1 供应商在提交响应文件后可对其响应文件进行修改或撤回，但该修改或撤回的书面通知须在递交截止时间之前送达采购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2 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3 供应商不得在递交截止时间起至响应文件有效期期满前撤销其响应文件。</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.4 响应文件中报价如果出现下列不一致的，可按以下原则进行修改：</w:t>
      </w:r>
    </w:p>
    <w:p>
      <w:pPr>
        <w:spacing w:line="360" w:lineRule="auto"/>
        <w:ind w:firstLine="480" w:firstLineChars="200"/>
        <w:rPr>
          <w:rFonts w:ascii="宋体" w:hAnsi="宋体"/>
          <w:color w:val="auto"/>
          <w:sz w:val="24"/>
        </w:rPr>
      </w:pPr>
      <w:r>
        <w:rPr>
          <w:rFonts w:hint="eastAsia" w:ascii="宋体" w:hAnsi="宋体"/>
          <w:color w:val="auto"/>
          <w:sz w:val="24"/>
        </w:rPr>
        <w:t>（一）</w:t>
      </w:r>
      <w:r>
        <w:rPr>
          <w:rFonts w:hint="eastAsia" w:ascii="宋体" w:hAnsi="宋体" w:cs="宋体"/>
          <w:color w:val="auto"/>
          <w:kern w:val="0"/>
          <w:sz w:val="24"/>
        </w:rPr>
        <w:t>大写金额和小写金额不一致的，以大写金额为准</w:t>
      </w:r>
      <w:r>
        <w:rPr>
          <w:rFonts w:hint="eastAsia" w:ascii="宋体" w:hAnsi="宋体"/>
          <w:color w:val="auto"/>
          <w:sz w:val="24"/>
        </w:rPr>
        <w:t>，但大写金额文字存在错误的，应当先对大写金额的文字错误进行澄清、说明或者更正，再行修正。</w:t>
      </w:r>
    </w:p>
    <w:p>
      <w:pPr>
        <w:spacing w:line="360" w:lineRule="auto"/>
        <w:ind w:firstLine="480" w:firstLineChars="200"/>
        <w:rPr>
          <w:rFonts w:ascii="宋体" w:hAnsi="宋体"/>
          <w:color w:val="auto"/>
          <w:sz w:val="24"/>
        </w:rPr>
      </w:pPr>
      <w:r>
        <w:rPr>
          <w:rFonts w:hint="eastAsia" w:ascii="宋体" w:hAnsi="宋体"/>
          <w:color w:val="auto"/>
          <w:sz w:val="24"/>
        </w:rPr>
        <w:t>（二）</w:t>
      </w:r>
      <w:r>
        <w:rPr>
          <w:rFonts w:hint="eastAsia" w:ascii="宋体" w:hAnsi="宋体" w:cs="宋体"/>
          <w:color w:val="auto"/>
          <w:kern w:val="0"/>
          <w:sz w:val="24"/>
        </w:rPr>
        <w:t>总价金额与按单价汇总金额不一致的，以单价金额计算结果为准，</w:t>
      </w:r>
      <w:r>
        <w:rPr>
          <w:rFonts w:hint="eastAsia" w:ascii="宋体" w:hAnsi="宋体"/>
          <w:color w:val="auto"/>
          <w:sz w:val="24"/>
        </w:rPr>
        <w:t>但</w:t>
      </w:r>
      <w:r>
        <w:rPr>
          <w:rFonts w:hint="eastAsia" w:ascii="宋体" w:hAnsi="宋体" w:cs="宋体"/>
          <w:color w:val="auto"/>
          <w:kern w:val="0"/>
          <w:sz w:val="24"/>
        </w:rPr>
        <w:t>单价或者单价汇总金额存在数字或者</w:t>
      </w:r>
      <w:r>
        <w:rPr>
          <w:rFonts w:hint="eastAsia" w:ascii="宋体" w:hAnsi="宋体"/>
          <w:color w:val="auto"/>
          <w:sz w:val="24"/>
        </w:rPr>
        <w:t>文字错误的，应当先对</w:t>
      </w:r>
      <w:r>
        <w:rPr>
          <w:rFonts w:hint="eastAsia" w:ascii="宋体" w:hAnsi="宋体" w:cs="宋体"/>
          <w:color w:val="auto"/>
          <w:kern w:val="0"/>
          <w:sz w:val="24"/>
        </w:rPr>
        <w:t>数字或者</w:t>
      </w:r>
      <w:r>
        <w:rPr>
          <w:rFonts w:hint="eastAsia" w:ascii="宋体" w:hAnsi="宋体"/>
          <w:color w:val="auto"/>
          <w:sz w:val="24"/>
        </w:rPr>
        <w:t>文字错误进行澄清、说明或者更正，再行修正。</w:t>
      </w:r>
    </w:p>
    <w:p>
      <w:pPr>
        <w:spacing w:line="360" w:lineRule="auto"/>
        <w:ind w:firstLine="480" w:firstLineChars="200"/>
        <w:rPr>
          <w:rFonts w:ascii="宋体" w:hAnsi="宋体"/>
          <w:color w:val="auto"/>
          <w:sz w:val="24"/>
        </w:rPr>
      </w:pPr>
      <w:r>
        <w:rPr>
          <w:rFonts w:hint="eastAsia" w:ascii="宋体" w:hAnsi="宋体"/>
          <w:color w:val="auto"/>
          <w:sz w:val="24"/>
        </w:rPr>
        <w:t>（三）单价金额小数点</w:t>
      </w:r>
      <w:r>
        <w:rPr>
          <w:rFonts w:hint="eastAsia" w:ascii="宋体" w:hAnsi="宋体" w:cs="宋体"/>
          <w:color w:val="auto"/>
          <w:kern w:val="0"/>
          <w:sz w:val="24"/>
        </w:rPr>
        <w:t>或者百分比有明显错位的</w:t>
      </w:r>
      <w:r>
        <w:rPr>
          <w:rFonts w:hint="eastAsia" w:ascii="宋体" w:hAnsi="宋体"/>
          <w:color w:val="auto"/>
          <w:sz w:val="24"/>
        </w:rPr>
        <w:t>，以总价为准，修正单价。</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ascii="宋体" w:hAnsi="宋体"/>
          <w:color w:val="auto"/>
          <w:sz w:val="24"/>
        </w:rPr>
      </w:pPr>
      <w:r>
        <w:rPr>
          <w:rFonts w:hint="eastAsia" w:ascii="宋体" w:hAnsi="宋体"/>
          <w:color w:val="auto"/>
          <w:sz w:val="24"/>
        </w:rPr>
        <w:t>22.5 供应商对其提交的响应文件的真实性、合法性承担法律责任。</w:t>
      </w:r>
      <w:bookmarkEnd w:id="84"/>
      <w:bookmarkEnd w:id="85"/>
      <w:bookmarkEnd w:id="86"/>
    </w:p>
    <w:p>
      <w:pPr>
        <w:pStyle w:val="4"/>
        <w:keepNext w:val="0"/>
        <w:keepLines w:val="0"/>
        <w:spacing w:beforeLines="100" w:afterLines="100" w:line="360" w:lineRule="auto"/>
        <w:jc w:val="center"/>
        <w:rPr>
          <w:rFonts w:ascii="宋体" w:hAnsi="宋体" w:eastAsia="宋体"/>
          <w:color w:val="auto"/>
        </w:rPr>
      </w:pPr>
      <w:bookmarkStart w:id="87" w:name="_Toc534620644"/>
      <w:bookmarkStart w:id="88" w:name="_Toc534620554"/>
      <w:bookmarkStart w:id="89" w:name="_Toc534622136"/>
      <w:bookmarkStart w:id="90" w:name="_Toc1183239183"/>
      <w:bookmarkStart w:id="91" w:name="_Toc534623360"/>
      <w:bookmarkStart w:id="92" w:name="_Toc536633425"/>
      <w:bookmarkStart w:id="93" w:name="_Toc89075878"/>
      <w:bookmarkStart w:id="94" w:name="_Toc217446056"/>
      <w:bookmarkStart w:id="95" w:name="_Toc183682368"/>
      <w:bookmarkStart w:id="96" w:name="_Toc77400782"/>
      <w:bookmarkStart w:id="97" w:name="_Toc183582231"/>
      <w:r>
        <w:rPr>
          <w:rFonts w:hint="eastAsia" w:ascii="宋体" w:hAnsi="宋体" w:eastAsia="宋体"/>
          <w:color w:val="auto"/>
        </w:rPr>
        <w:t>五、评审</w:t>
      </w:r>
      <w:bookmarkEnd w:id="87"/>
      <w:bookmarkEnd w:id="88"/>
      <w:bookmarkEnd w:id="89"/>
      <w:bookmarkEnd w:id="90"/>
      <w:bookmarkEnd w:id="91"/>
      <w:bookmarkEnd w:id="92"/>
    </w:p>
    <w:p>
      <w:pPr>
        <w:spacing w:line="360" w:lineRule="auto"/>
        <w:ind w:firstLine="481" w:firstLineChars="200"/>
        <w:rPr>
          <w:rFonts w:ascii="宋体" w:hAnsi="宋体"/>
          <w:color w:val="auto"/>
          <w:sz w:val="24"/>
        </w:rPr>
      </w:pPr>
      <w:r>
        <w:rPr>
          <w:rFonts w:hint="eastAsia" w:ascii="宋体" w:hAnsi="宋体"/>
          <w:b/>
          <w:color w:val="auto"/>
          <w:sz w:val="24"/>
        </w:rPr>
        <w:t>2</w:t>
      </w:r>
      <w:r>
        <w:rPr>
          <w:rFonts w:hint="eastAsia" w:ascii="宋体" w:hAnsi="宋体"/>
          <w:b/>
          <w:color w:val="auto"/>
          <w:sz w:val="24"/>
          <w:lang w:val="en-US" w:eastAsia="zh-CN"/>
        </w:rPr>
        <w:t>2</w:t>
      </w:r>
      <w:r>
        <w:rPr>
          <w:rFonts w:hint="eastAsia" w:ascii="宋体" w:hAnsi="宋体"/>
          <w:b/>
          <w:color w:val="auto"/>
          <w:sz w:val="24"/>
        </w:rPr>
        <w:t xml:space="preserve">. </w:t>
      </w:r>
      <w:r>
        <w:rPr>
          <w:rFonts w:hint="eastAsia" w:ascii="宋体" w:hAnsi="宋体"/>
          <w:color w:val="auto"/>
          <w:sz w:val="24"/>
        </w:rPr>
        <w:t>谈判小组的组建及其评审工作按照有关法律制度和本文件第</w:t>
      </w:r>
      <w:r>
        <w:rPr>
          <w:rFonts w:hint="eastAsia" w:ascii="宋体" w:hAnsi="宋体"/>
          <w:color w:val="auto"/>
          <w:sz w:val="24"/>
          <w:lang w:eastAsia="zh-CN"/>
        </w:rPr>
        <w:t>七</w:t>
      </w:r>
      <w:r>
        <w:rPr>
          <w:rFonts w:hint="eastAsia" w:ascii="宋体" w:hAnsi="宋体"/>
          <w:color w:val="auto"/>
          <w:sz w:val="24"/>
        </w:rPr>
        <w:t>章的规定进行。</w:t>
      </w:r>
    </w:p>
    <w:p>
      <w:pPr>
        <w:pStyle w:val="4"/>
        <w:keepNext w:val="0"/>
        <w:keepLines w:val="0"/>
        <w:spacing w:beforeLines="100" w:afterLines="100" w:line="360" w:lineRule="auto"/>
        <w:jc w:val="center"/>
        <w:rPr>
          <w:rFonts w:ascii="宋体" w:hAnsi="宋体" w:eastAsia="宋体"/>
          <w:color w:val="auto"/>
        </w:rPr>
      </w:pPr>
      <w:bookmarkStart w:id="98" w:name="_Toc980004719"/>
      <w:bookmarkStart w:id="99" w:name="_Toc536633426"/>
      <w:bookmarkStart w:id="100" w:name="_Toc534623361"/>
      <w:bookmarkStart w:id="101" w:name="_Toc534622137"/>
      <w:bookmarkStart w:id="102" w:name="_Toc534620645"/>
      <w:bookmarkStart w:id="103" w:name="_Toc534620555"/>
      <w:r>
        <w:rPr>
          <w:rFonts w:hint="eastAsia" w:ascii="宋体" w:hAnsi="宋体" w:eastAsia="宋体"/>
          <w:color w:val="auto"/>
        </w:rPr>
        <w:t>六、成交事项</w:t>
      </w:r>
      <w:bookmarkEnd w:id="98"/>
      <w:bookmarkEnd w:id="99"/>
      <w:bookmarkEnd w:id="100"/>
      <w:bookmarkEnd w:id="101"/>
      <w:bookmarkEnd w:id="102"/>
      <w:bookmarkEnd w:id="103"/>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3</w:t>
      </w:r>
      <w:r>
        <w:rPr>
          <w:rFonts w:hint="eastAsia" w:ascii="宋体" w:hAnsi="宋体"/>
          <w:b/>
          <w:color w:val="auto"/>
          <w:sz w:val="24"/>
        </w:rPr>
        <w:t>. 确定成交供应商</w:t>
      </w:r>
    </w:p>
    <w:p>
      <w:pPr>
        <w:spacing w:line="360" w:lineRule="auto"/>
        <w:ind w:firstLine="480" w:firstLineChars="200"/>
        <w:rPr>
          <w:rFonts w:ascii="宋体" w:hAnsi="宋体"/>
          <w:color w:val="auto"/>
          <w:sz w:val="24"/>
        </w:rPr>
      </w:pPr>
      <w:r>
        <w:rPr>
          <w:rFonts w:hint="eastAsia" w:ascii="宋体" w:hAnsi="宋体"/>
          <w:color w:val="auto"/>
          <w:sz w:val="24"/>
        </w:rPr>
        <w:t>采购人将按谈判小组推荐的成交候选供应商按顺序确定</w:t>
      </w:r>
      <w:r>
        <w:rPr>
          <w:rFonts w:hint="eastAsia" w:ascii="宋体" w:hAnsi="宋体" w:eastAsia="宋体"/>
          <w:color w:val="auto"/>
          <w:sz w:val="24"/>
        </w:rPr>
        <w:t>成交供应商</w:t>
      </w:r>
      <w:r>
        <w:rPr>
          <w:rFonts w:hint="eastAsia" w:ascii="宋体" w:hAnsi="宋体" w:eastAsia="宋体"/>
          <w:color w:val="auto"/>
          <w:sz w:val="24"/>
          <w:lang w:eastAsia="zh-CN"/>
        </w:rPr>
        <w:t>，若供应商报价相同，成交候选供应商并列，由采购人随机抽取一家中选</w:t>
      </w:r>
      <w:r>
        <w:rPr>
          <w:rFonts w:hint="eastAsia" w:ascii="宋体" w:hAnsi="宋体" w:eastAsia="宋体"/>
          <w:color w:val="auto"/>
          <w:sz w:val="24"/>
        </w:rPr>
        <w:t>。</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.1 采购机构自评审结束后2个工作日内将谈判报告及有关资料</w:t>
      </w:r>
      <w:r>
        <w:rPr>
          <w:rFonts w:hint="eastAsia" w:asciiTheme="minorEastAsia" w:hAnsiTheme="minorEastAsia" w:eastAsiaTheme="minorEastAsia"/>
          <w:color w:val="auto"/>
          <w:sz w:val="24"/>
          <w:lang w:eastAsia="zh-CN"/>
        </w:rPr>
        <w:t>进行</w:t>
      </w:r>
      <w:r>
        <w:rPr>
          <w:rFonts w:hint="eastAsia" w:asciiTheme="minorEastAsia" w:hAnsiTheme="minorEastAsia" w:eastAsiaTheme="minorEastAsia"/>
          <w:color w:val="auto"/>
          <w:sz w:val="24"/>
        </w:rPr>
        <w:t>确认。</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.2 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.3 采购人确定成交供应商过程中，发现成交候选供应商有下列情形之一的，应当不予确定其为成交供应商：</w:t>
      </w:r>
    </w:p>
    <w:p>
      <w:pPr>
        <w:spacing w:line="360" w:lineRule="auto"/>
        <w:ind w:firstLine="480" w:firstLineChars="200"/>
        <w:rPr>
          <w:rFonts w:ascii="宋体" w:hAnsi="宋体"/>
          <w:color w:val="auto"/>
          <w:sz w:val="24"/>
        </w:rPr>
      </w:pPr>
      <w:r>
        <w:rPr>
          <w:rFonts w:hint="eastAsia" w:ascii="宋体" w:hAnsi="宋体"/>
          <w:color w:val="auto"/>
          <w:sz w:val="24"/>
        </w:rPr>
        <w:t>（1）发现成交候选供应商存在禁止参加本项目采购活动的违法行为的；</w:t>
      </w:r>
    </w:p>
    <w:p>
      <w:pPr>
        <w:spacing w:line="360" w:lineRule="auto"/>
        <w:ind w:firstLine="480" w:firstLineChars="200"/>
        <w:rPr>
          <w:rFonts w:ascii="宋体" w:hAnsi="宋体"/>
          <w:color w:val="auto"/>
          <w:sz w:val="24"/>
        </w:rPr>
      </w:pPr>
      <w:r>
        <w:rPr>
          <w:rFonts w:hint="eastAsia" w:ascii="宋体" w:hAnsi="宋体"/>
          <w:color w:val="auto"/>
          <w:sz w:val="24"/>
        </w:rPr>
        <w:t>（2）成交候选供应商因不可抗力，不能继续参加政府采购活动；</w:t>
      </w:r>
    </w:p>
    <w:p>
      <w:pPr>
        <w:spacing w:line="360" w:lineRule="auto"/>
        <w:ind w:firstLine="480" w:firstLineChars="200"/>
        <w:rPr>
          <w:rFonts w:ascii="宋体" w:hAnsi="宋体"/>
          <w:color w:val="auto"/>
          <w:sz w:val="24"/>
        </w:rPr>
      </w:pPr>
      <w:r>
        <w:rPr>
          <w:rFonts w:hint="eastAsia" w:ascii="宋体" w:hAnsi="宋体"/>
          <w:color w:val="auto"/>
          <w:sz w:val="24"/>
        </w:rPr>
        <w:t>（3）成交候选供应商无偿赠与或者低于成本价竞争；</w:t>
      </w:r>
    </w:p>
    <w:p>
      <w:pPr>
        <w:spacing w:line="360" w:lineRule="auto"/>
        <w:ind w:firstLine="480" w:firstLineChars="200"/>
        <w:rPr>
          <w:rFonts w:ascii="宋体" w:hAnsi="宋体"/>
          <w:color w:val="auto"/>
          <w:sz w:val="24"/>
        </w:rPr>
      </w:pPr>
      <w:r>
        <w:rPr>
          <w:rFonts w:hint="eastAsia" w:ascii="宋体" w:hAnsi="宋体"/>
          <w:color w:val="auto"/>
          <w:sz w:val="24"/>
        </w:rPr>
        <w:t>（4）成交候选供应商提供虚假材料；</w:t>
      </w:r>
    </w:p>
    <w:p>
      <w:pPr>
        <w:spacing w:line="360" w:lineRule="auto"/>
        <w:ind w:firstLine="480" w:firstLineChars="200"/>
        <w:rPr>
          <w:rFonts w:ascii="宋体" w:hAnsi="宋体"/>
          <w:color w:val="auto"/>
          <w:sz w:val="24"/>
        </w:rPr>
      </w:pPr>
      <w:r>
        <w:rPr>
          <w:rFonts w:hint="eastAsia" w:ascii="宋体" w:hAnsi="宋体"/>
          <w:color w:val="auto"/>
          <w:sz w:val="24"/>
        </w:rPr>
        <w:t>（5）成交候选供应商恶意串通。</w:t>
      </w:r>
    </w:p>
    <w:p>
      <w:pPr>
        <w:spacing w:line="360" w:lineRule="auto"/>
        <w:ind w:firstLine="480" w:firstLineChars="200"/>
        <w:rPr>
          <w:rFonts w:ascii="宋体" w:hAnsi="宋体"/>
          <w:color w:val="auto"/>
          <w:sz w:val="24"/>
        </w:rPr>
      </w:pPr>
      <w:r>
        <w:rPr>
          <w:rFonts w:hint="eastAsia" w:ascii="宋体" w:hAnsi="宋体"/>
          <w:color w:val="auto"/>
          <w:sz w:val="24"/>
        </w:rPr>
        <w:t>成交候选供应商有本条情形之一的，采购人可以确定后一位成交候选供应商为成交供应商，依次类推。无法确定成交供应商的，应当重新组织采购。</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24</w:t>
      </w:r>
      <w:r>
        <w:rPr>
          <w:rFonts w:hint="eastAsia" w:ascii="宋体" w:hAnsi="宋体"/>
          <w:b/>
          <w:color w:val="auto"/>
          <w:sz w:val="24"/>
        </w:rPr>
        <w:t>. 行贿犯罪档案查询</w:t>
      </w:r>
    </w:p>
    <w:p>
      <w:pPr>
        <w:spacing w:line="360" w:lineRule="auto"/>
        <w:ind w:firstLine="480" w:firstLineChars="200"/>
        <w:rPr>
          <w:rFonts w:ascii="宋体" w:hAnsi="宋体"/>
          <w:color w:val="auto"/>
        </w:rPr>
      </w:pPr>
      <w:r>
        <w:rPr>
          <w:rFonts w:hint="eastAsia" w:ascii="宋体" w:hAnsi="宋体"/>
          <w:color w:val="auto"/>
          <w:sz w:val="24"/>
        </w:rPr>
        <w:t>由供应商提供承诺函进行承诺</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lang w:eastAsia="zh-CN"/>
        </w:rPr>
        <w:t>六</w:t>
      </w:r>
      <w:r>
        <w:rPr>
          <w:rFonts w:hint="eastAsia" w:asciiTheme="minorEastAsia" w:hAnsiTheme="minorEastAsia" w:eastAsiaTheme="minorEastAsia"/>
          <w:color w:val="auto"/>
          <w:sz w:val="24"/>
        </w:rPr>
        <w:t>章格式）</w:t>
      </w:r>
      <w:r>
        <w:rPr>
          <w:rFonts w:hint="eastAsia" w:ascii="宋体" w:hAnsi="宋体"/>
          <w:color w:val="auto"/>
          <w:sz w:val="24"/>
        </w:rPr>
        <w:t>。如未属实，由其自行承担相应的法律责任。</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5</w:t>
      </w:r>
      <w:r>
        <w:rPr>
          <w:rFonts w:hint="eastAsia" w:ascii="宋体" w:hAnsi="宋体"/>
          <w:b/>
          <w:color w:val="auto"/>
          <w:sz w:val="24"/>
        </w:rPr>
        <w:t>. 成交结果</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.1 采购人确定成交供应商后，将发布成交结果公告。</w:t>
      </w:r>
    </w:p>
    <w:p>
      <w:pPr>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w:t>
      </w:r>
      <w:r>
        <w:rPr>
          <w:rFonts w:hint="eastAsia" w:asciiTheme="minorEastAsia" w:hAnsiTheme="minorEastAsia" w:eastAsiaTheme="minorEastAsia"/>
          <w:bCs/>
          <w:color w:val="auto"/>
          <w:sz w:val="24"/>
          <w:lang w:val="en-US" w:eastAsia="zh-CN"/>
        </w:rPr>
        <w:t>5</w:t>
      </w:r>
      <w:r>
        <w:rPr>
          <w:rFonts w:hint="eastAsia" w:asciiTheme="minorEastAsia" w:hAnsiTheme="minorEastAsia" w:eastAsiaTheme="minorEastAsia"/>
          <w:bCs/>
          <w:color w:val="auto"/>
          <w:sz w:val="24"/>
        </w:rPr>
        <w:t>.2 成交供应商应当及时领取成交通知书。</w:t>
      </w:r>
    </w:p>
    <w:p>
      <w:pPr>
        <w:spacing w:line="360" w:lineRule="auto"/>
        <w:ind w:firstLine="480" w:firstLineChars="200"/>
        <w:rPr>
          <w:rFonts w:asciiTheme="minorEastAsia" w:hAnsiTheme="minorEastAsia" w:eastAsiaTheme="minorEastAsia"/>
          <w:bCs/>
          <w:color w:val="auto"/>
          <w:sz w:val="24"/>
        </w:rPr>
      </w:pPr>
      <w:r>
        <w:rPr>
          <w:rFonts w:hint="eastAsia" w:ascii="宋体" w:hAnsi="宋体"/>
          <w:bCs/>
          <w:color w:val="auto"/>
          <w:sz w:val="24"/>
        </w:rPr>
        <w:t>2</w:t>
      </w:r>
      <w:r>
        <w:rPr>
          <w:rFonts w:hint="eastAsia" w:ascii="宋体" w:hAnsi="宋体"/>
          <w:bCs/>
          <w:color w:val="auto"/>
          <w:sz w:val="24"/>
          <w:lang w:val="en-US" w:eastAsia="zh-CN"/>
        </w:rPr>
        <w:t>5</w:t>
      </w:r>
      <w:r>
        <w:rPr>
          <w:rFonts w:hint="eastAsia" w:ascii="宋体" w:hAnsi="宋体"/>
          <w:bCs/>
          <w:color w:val="auto"/>
          <w:sz w:val="24"/>
        </w:rPr>
        <w:t>.3 成交供应商不能及时领取成交通知书，采购机构应当通过邮寄、快递等方式将项目成交通知书送达成交供应商。</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6</w:t>
      </w:r>
      <w:r>
        <w:rPr>
          <w:rFonts w:hint="eastAsia" w:ascii="宋体" w:hAnsi="宋体"/>
          <w:b/>
          <w:color w:val="auto"/>
          <w:sz w:val="24"/>
        </w:rPr>
        <w:t>. 成交通知书</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.1 成交通知书为签订政府采购合同的依据之一，是合同的有效组成部分。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.2 成交通知书对采购人和成交供应商均具有法律效力。成交通知书发出后，采购人无正当理由改变成交结果，或者成交供应商无正当理由放弃成交的，将承担相应的法律责任。</w:t>
      </w:r>
    </w:p>
    <w:p>
      <w:pPr>
        <w:pStyle w:val="4"/>
        <w:keepLines w:val="0"/>
        <w:spacing w:beforeLines="100" w:afterLines="100" w:line="360" w:lineRule="auto"/>
        <w:jc w:val="center"/>
        <w:rPr>
          <w:rFonts w:ascii="宋体" w:hAnsi="宋体" w:eastAsia="宋体"/>
          <w:color w:val="auto"/>
        </w:rPr>
      </w:pPr>
      <w:bookmarkStart w:id="104" w:name="_Toc536633427"/>
      <w:bookmarkStart w:id="105" w:name="_Toc534622138"/>
      <w:bookmarkStart w:id="106" w:name="_Toc1831779967"/>
      <w:bookmarkStart w:id="107" w:name="_Toc534620646"/>
      <w:bookmarkStart w:id="108" w:name="_Toc534623362"/>
      <w:bookmarkStart w:id="109" w:name="_Toc534620556"/>
      <w:r>
        <w:rPr>
          <w:rFonts w:hint="eastAsia" w:ascii="宋体" w:hAnsi="宋体" w:eastAsia="宋体"/>
          <w:color w:val="auto"/>
        </w:rPr>
        <w:t>七、合同事项</w:t>
      </w:r>
      <w:bookmarkEnd w:id="104"/>
      <w:bookmarkEnd w:id="105"/>
      <w:bookmarkEnd w:id="106"/>
      <w:bookmarkEnd w:id="107"/>
      <w:bookmarkEnd w:id="108"/>
      <w:bookmarkEnd w:id="109"/>
    </w:p>
    <w:p>
      <w:pPr>
        <w:spacing w:line="360" w:lineRule="auto"/>
        <w:ind w:firstLine="481" w:firstLineChars="200"/>
        <w:rPr>
          <w:rFonts w:ascii="宋体" w:hAnsi="宋体"/>
          <w:b/>
          <w:color w:val="auto"/>
          <w:sz w:val="24"/>
        </w:rPr>
      </w:pPr>
      <w:bookmarkStart w:id="110" w:name="_Toc101174151"/>
      <w:bookmarkStart w:id="111" w:name="_Toc430773927"/>
      <w:bookmarkStart w:id="112" w:name="_Toc101250646"/>
      <w:bookmarkStart w:id="113" w:name="_Toc209847069"/>
      <w:bookmarkStart w:id="114" w:name="_Toc101338364"/>
      <w:r>
        <w:rPr>
          <w:rFonts w:hint="eastAsia" w:ascii="宋体" w:hAnsi="宋体"/>
          <w:b/>
          <w:color w:val="auto"/>
          <w:sz w:val="24"/>
        </w:rPr>
        <w:t>2</w:t>
      </w:r>
      <w:r>
        <w:rPr>
          <w:rFonts w:hint="eastAsia" w:ascii="宋体" w:hAnsi="宋体"/>
          <w:b/>
          <w:color w:val="auto"/>
          <w:sz w:val="24"/>
          <w:lang w:val="en-US" w:eastAsia="zh-CN"/>
        </w:rPr>
        <w:t>7</w:t>
      </w:r>
      <w:r>
        <w:rPr>
          <w:rFonts w:hint="eastAsia" w:ascii="宋体" w:hAnsi="宋体"/>
          <w:b/>
          <w:color w:val="auto"/>
          <w:sz w:val="24"/>
        </w:rPr>
        <w:t>. 签订合同</w:t>
      </w:r>
      <w:bookmarkEnd w:id="110"/>
      <w:bookmarkEnd w:id="111"/>
      <w:bookmarkEnd w:id="112"/>
      <w:bookmarkEnd w:id="113"/>
      <w:bookmarkEnd w:id="114"/>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.2 谈判文件、成交供应商的响应文件及双方确认的澄清文件等，均为有法律约束力的经济合同组成部分。</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.5 竞争性谈判文件、成交供应商提交的响应文件、成交供应商承诺书、成交通知书等均称为有法律约束力的合同组成内容。</w:t>
      </w:r>
    </w:p>
    <w:p>
      <w:pPr>
        <w:spacing w:line="360" w:lineRule="auto"/>
        <w:ind w:firstLine="481" w:firstLineChars="200"/>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8</w:t>
      </w:r>
      <w:r>
        <w:rPr>
          <w:rFonts w:hint="eastAsia" w:ascii="宋体" w:hAnsi="宋体"/>
          <w:b/>
          <w:color w:val="auto"/>
          <w:sz w:val="24"/>
        </w:rPr>
        <w:t>. 合同分包（实质性要求）</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ascii="宋体" w:hAnsi="宋体"/>
          <w:color w:val="auto"/>
          <w:sz w:val="24"/>
        </w:rPr>
      </w:pPr>
      <w:r>
        <w:rPr>
          <w:rFonts w:hint="eastAsia" w:ascii="宋体" w:hAnsi="宋体"/>
          <w:color w:val="auto"/>
          <w:sz w:val="24"/>
        </w:rPr>
        <w:t>分包履行合同的部分应当为采购项目的非主体、非关键性工作，不属于成交供应商的主要合同义务。</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 采购合同实行分包履行的，成交供应商就采购项目和分包项目向采购人负责，分包供应商就分包项目承担责任。</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29</w:t>
      </w:r>
      <w:r>
        <w:rPr>
          <w:rFonts w:hint="eastAsia" w:ascii="宋体" w:hAnsi="宋体"/>
          <w:b/>
          <w:color w:val="auto"/>
          <w:sz w:val="24"/>
        </w:rPr>
        <w:t>. 合同转包（实质性要求）</w:t>
      </w:r>
    </w:p>
    <w:p>
      <w:pPr>
        <w:spacing w:line="360" w:lineRule="auto"/>
        <w:ind w:firstLine="480" w:firstLineChars="200"/>
        <w:rPr>
          <w:rFonts w:ascii="宋体" w:hAnsi="宋体"/>
          <w:color w:val="auto"/>
          <w:sz w:val="24"/>
        </w:rPr>
      </w:pPr>
      <w:r>
        <w:rPr>
          <w:rFonts w:hint="eastAsia" w:ascii="宋体" w:hAnsi="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olor w:val="auto"/>
          <w:sz w:val="24"/>
        </w:rPr>
      </w:pPr>
      <w:r>
        <w:rPr>
          <w:rFonts w:hint="eastAsia" w:ascii="宋体" w:hAnsi="宋体"/>
          <w:color w:val="auto"/>
          <w:sz w:val="24"/>
        </w:rPr>
        <w:t>成交供应商转包的，视同拒绝履行政府采购合同义务，将依法追究法律责任。</w:t>
      </w:r>
    </w:p>
    <w:p>
      <w:pPr>
        <w:spacing w:line="360" w:lineRule="auto"/>
        <w:ind w:firstLine="481" w:firstLineChars="200"/>
        <w:rPr>
          <w:rFonts w:ascii="宋体" w:hAnsi="宋体"/>
          <w:b/>
          <w:color w:val="auto"/>
          <w:sz w:val="24"/>
        </w:rPr>
      </w:pPr>
      <w:r>
        <w:rPr>
          <w:rFonts w:hint="eastAsia" w:ascii="宋体" w:hAnsi="宋体"/>
          <w:b/>
          <w:color w:val="auto"/>
          <w:sz w:val="24"/>
          <w:lang w:val="en-US" w:eastAsia="zh-CN"/>
        </w:rPr>
        <w:t>30</w:t>
      </w:r>
      <w:r>
        <w:rPr>
          <w:rFonts w:hint="eastAsia" w:ascii="宋体" w:hAnsi="宋体"/>
          <w:b/>
          <w:color w:val="auto"/>
          <w:sz w:val="24"/>
        </w:rPr>
        <w:t>. 补充合同</w:t>
      </w:r>
    </w:p>
    <w:p>
      <w:pPr>
        <w:spacing w:line="360" w:lineRule="auto"/>
        <w:ind w:firstLine="480" w:firstLineChars="200"/>
        <w:rPr>
          <w:rFonts w:ascii="宋体" w:hAnsi="宋体"/>
          <w:color w:val="auto"/>
          <w:sz w:val="24"/>
        </w:rPr>
      </w:pPr>
      <w:r>
        <w:rPr>
          <w:rFonts w:hint="eastAsia" w:ascii="宋体" w:hAnsi="宋体"/>
          <w:color w:val="auto"/>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400" w:lineRule="exact"/>
        <w:ind w:firstLine="481"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1</w:t>
      </w:r>
      <w:r>
        <w:rPr>
          <w:rFonts w:hint="eastAsia" w:ascii="宋体" w:hAnsi="宋体"/>
          <w:b/>
          <w:color w:val="auto"/>
          <w:sz w:val="24"/>
        </w:rPr>
        <w:t>.履约保证金</w:t>
      </w:r>
      <w:r>
        <w:rPr>
          <w:rFonts w:hint="eastAsia" w:ascii="宋体" w:hAnsi="宋体"/>
          <w:color w:val="auto"/>
          <w:sz w:val="24"/>
        </w:rPr>
        <w:t>（本项目不适用）</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.1 成交供应商应在合同签订之前交纳采购文件规定数额的履约保证金。</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.2 如果成交供应商在规定的合同签订时间内，没有按照采购文件的规定交纳履约保证金，且又无正当理由的，将视为放弃成交。</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2</w:t>
      </w:r>
      <w:r>
        <w:rPr>
          <w:rFonts w:hint="eastAsia" w:ascii="宋体" w:hAnsi="宋体"/>
          <w:b/>
          <w:color w:val="auto"/>
          <w:sz w:val="24"/>
        </w:rPr>
        <w:t>. 履行合同</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.1 成交供应商与采购人签订合同后，合同双方应严格执行合同条款，履行合同规定的义务，保证合同的顺利完成。</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 在合同履行过程中，如发生合同纠纷，合同双方应按照《合同法》的有关规定进行处理。</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3</w:t>
      </w:r>
      <w:r>
        <w:rPr>
          <w:rFonts w:hint="eastAsia" w:ascii="宋体" w:hAnsi="宋体"/>
          <w:b/>
          <w:color w:val="auto"/>
          <w:sz w:val="24"/>
        </w:rPr>
        <w:t>.验收</w:t>
      </w:r>
    </w:p>
    <w:p>
      <w:pPr>
        <w:spacing w:line="360" w:lineRule="auto"/>
        <w:ind w:firstLine="480" w:firstLineChars="200"/>
        <w:rPr>
          <w:rFonts w:ascii="宋体" w:hAnsi="宋体"/>
          <w:color w:val="auto"/>
          <w:sz w:val="24"/>
        </w:rPr>
      </w:pPr>
      <w:r>
        <w:rPr>
          <w:rFonts w:hint="eastAsia" w:ascii="宋体" w:hAnsi="宋体"/>
          <w:color w:val="auto"/>
          <w:sz w:val="24"/>
        </w:rPr>
        <w:t>采购人将按照合同规定进行验收。</w:t>
      </w:r>
    </w:p>
    <w:p>
      <w:pPr>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4</w:t>
      </w:r>
      <w:r>
        <w:rPr>
          <w:rFonts w:hint="eastAsia" w:ascii="宋体" w:hAnsi="宋体"/>
          <w:b/>
          <w:color w:val="auto"/>
          <w:sz w:val="24"/>
        </w:rPr>
        <w:t>. 资金支付</w:t>
      </w:r>
    </w:p>
    <w:p>
      <w:pPr>
        <w:spacing w:line="360" w:lineRule="auto"/>
        <w:ind w:firstLine="480" w:firstLineChars="200"/>
        <w:rPr>
          <w:rFonts w:ascii="宋体" w:hAnsi="宋体"/>
          <w:color w:val="auto"/>
          <w:sz w:val="24"/>
        </w:rPr>
      </w:pPr>
      <w:r>
        <w:rPr>
          <w:rFonts w:hint="eastAsia" w:ascii="宋体" w:hAnsi="宋体"/>
          <w:color w:val="auto"/>
          <w:sz w:val="24"/>
        </w:rPr>
        <w:t>采购人将按照政府采购合同规定，及时向成交供应商支付采购资金。</w:t>
      </w:r>
    </w:p>
    <w:p>
      <w:pPr>
        <w:pStyle w:val="4"/>
        <w:keepNext w:val="0"/>
        <w:keepLines w:val="0"/>
        <w:spacing w:beforeLines="100" w:afterLines="100" w:line="360" w:lineRule="auto"/>
        <w:jc w:val="center"/>
        <w:rPr>
          <w:rFonts w:ascii="宋体" w:hAnsi="宋体" w:eastAsia="宋体"/>
          <w:color w:val="auto"/>
        </w:rPr>
      </w:pPr>
      <w:bookmarkStart w:id="115" w:name="_Toc1915776777"/>
      <w:bookmarkStart w:id="116" w:name="_Toc534623363"/>
      <w:bookmarkStart w:id="117" w:name="_Toc534622139"/>
      <w:bookmarkStart w:id="118" w:name="_Toc534620557"/>
      <w:bookmarkStart w:id="119" w:name="_Toc536633428"/>
      <w:bookmarkStart w:id="120" w:name="_Toc534620647"/>
      <w:r>
        <w:rPr>
          <w:rFonts w:hint="eastAsia" w:ascii="宋体" w:hAnsi="宋体" w:eastAsia="宋体"/>
          <w:color w:val="auto"/>
        </w:rPr>
        <w:t>八、谈判纪律要求</w:t>
      </w:r>
      <w:bookmarkEnd w:id="115"/>
      <w:bookmarkEnd w:id="116"/>
      <w:bookmarkEnd w:id="117"/>
      <w:bookmarkEnd w:id="118"/>
      <w:bookmarkEnd w:id="119"/>
      <w:bookmarkEnd w:id="120"/>
    </w:p>
    <w:p>
      <w:pPr>
        <w:tabs>
          <w:tab w:val="left" w:pos="851"/>
        </w:tabs>
        <w:spacing w:line="360" w:lineRule="auto"/>
        <w:ind w:firstLine="481" w:firstLineChars="200"/>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5</w:t>
      </w:r>
      <w:r>
        <w:rPr>
          <w:rFonts w:hint="eastAsia" w:ascii="宋体" w:hAnsi="宋体"/>
          <w:b/>
          <w:color w:val="auto"/>
          <w:sz w:val="24"/>
        </w:rPr>
        <w:t>. 供应商不得具有的情形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供应商参加本项目谈判不得有下列情形：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（1）提供虚假材料谋取成交；</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（2）采取不正当手段诋毁、排挤其他供应商；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（3）与采购人、采购代理机构、或其他供应商恶意串通；</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（4）向采购人、采购代理机构、谈判小组成员行贿或者提供其他不正当利益；</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（5）在谈判过程中与采购人、采购代理机构进行协商；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（6）成交后无正当理由拒不与采购人签订政府采购合同；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（7）未按照谈判文件确定的事项签订政府采购合同；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（8）将采购合同转包或者违规分包；</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（9）提供假冒伪劣产品；</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（10）擅自变更、中止或者终止政府采购合同；</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（11）拒绝有关部门的监督检查或者向监督检查部门提供虚假情况；</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（12）法律法规规定的其他情形。</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rPr>
        <w:t>供应商有上述情形的，按照规定追究法律责任，具备（1）-（12）条情形之一的，同时将取消被确认为成交供应商的资格或者认定成交无效。</w:t>
      </w:r>
    </w:p>
    <w:p>
      <w:pPr>
        <w:pStyle w:val="4"/>
        <w:keepNext w:val="0"/>
        <w:keepLines w:val="0"/>
        <w:spacing w:beforeLines="100" w:afterLines="100" w:line="360" w:lineRule="auto"/>
        <w:jc w:val="center"/>
        <w:rPr>
          <w:rFonts w:ascii="宋体" w:hAnsi="宋体" w:eastAsia="宋体"/>
          <w:color w:val="auto"/>
        </w:rPr>
      </w:pPr>
      <w:bookmarkStart w:id="121" w:name="_Toc534623364"/>
      <w:bookmarkStart w:id="122" w:name="_Toc534620558"/>
      <w:bookmarkStart w:id="123" w:name="_Toc539244197"/>
      <w:bookmarkStart w:id="124" w:name="_Toc534906114"/>
      <w:bookmarkStart w:id="125" w:name="_Toc534620648"/>
      <w:bookmarkStart w:id="126" w:name="_Toc534622140"/>
      <w:r>
        <w:rPr>
          <w:rFonts w:hint="eastAsia" w:ascii="宋体" w:hAnsi="宋体" w:eastAsia="宋体"/>
          <w:color w:val="auto"/>
        </w:rPr>
        <w:t>九、询问、质疑和投诉</w:t>
      </w:r>
      <w:bookmarkEnd w:id="121"/>
      <w:bookmarkEnd w:id="122"/>
      <w:bookmarkEnd w:id="123"/>
      <w:bookmarkEnd w:id="124"/>
      <w:bookmarkEnd w:id="125"/>
      <w:bookmarkEnd w:id="126"/>
    </w:p>
    <w:p>
      <w:pPr>
        <w:tabs>
          <w:tab w:val="left" w:pos="851"/>
        </w:tabs>
        <w:spacing w:line="360" w:lineRule="auto"/>
        <w:ind w:firstLine="481" w:firstLineChars="200"/>
        <w:rPr>
          <w:rFonts w:ascii="宋体" w:hAnsi="宋体"/>
          <w:color w:val="auto"/>
          <w:sz w:val="24"/>
        </w:rPr>
      </w:pPr>
      <w:r>
        <w:rPr>
          <w:rFonts w:hint="eastAsia" w:ascii="宋体" w:hAnsi="宋体"/>
          <w:b/>
          <w:color w:val="auto"/>
          <w:sz w:val="24"/>
        </w:rPr>
        <w:t>3</w:t>
      </w:r>
      <w:r>
        <w:rPr>
          <w:rFonts w:hint="eastAsia" w:ascii="宋体" w:hAnsi="宋体"/>
          <w:b/>
          <w:color w:val="auto"/>
          <w:sz w:val="24"/>
          <w:lang w:val="en-US" w:eastAsia="zh-CN"/>
        </w:rPr>
        <w:t>6</w:t>
      </w:r>
      <w:r>
        <w:rPr>
          <w:rFonts w:hint="eastAsia" w:ascii="宋体" w:hAnsi="宋体"/>
          <w:b/>
          <w:color w:val="auto"/>
          <w:sz w:val="24"/>
        </w:rPr>
        <w:t xml:space="preserve">. </w:t>
      </w:r>
      <w:r>
        <w:rPr>
          <w:rFonts w:hint="eastAsia" w:ascii="宋体" w:hAnsi="宋体"/>
          <w:color w:val="auto"/>
          <w:sz w:val="24"/>
        </w:rPr>
        <w:t>询问、质疑、投诉的接收和处理严格按照《中华人民共和国政府采购法》、《中华人民共和国政府采购法实施条例》、《政府采购质疑和投诉办法》、《财政部关于加强政府采购供应商投诉受理审查工作的通知》和四川省的有关规定办理（详细规定请在四川政府采购网政策法规模块查询）。</w:t>
      </w:r>
    </w:p>
    <w:p>
      <w:pPr>
        <w:pStyle w:val="4"/>
        <w:keepNext w:val="0"/>
        <w:keepLines w:val="0"/>
        <w:spacing w:beforeLines="100" w:afterLines="100" w:line="360" w:lineRule="auto"/>
        <w:jc w:val="center"/>
        <w:rPr>
          <w:rFonts w:ascii="宋体" w:hAnsi="宋体" w:eastAsia="宋体"/>
          <w:color w:val="auto"/>
          <w:sz w:val="36"/>
          <w:szCs w:val="36"/>
        </w:rPr>
      </w:pPr>
      <w:r>
        <w:rPr>
          <w:rFonts w:ascii="宋体" w:hAnsi="宋体" w:eastAsia="宋体"/>
          <w:b w:val="0"/>
          <w:color w:val="auto"/>
        </w:rPr>
        <w:br w:type="page"/>
      </w:r>
      <w:bookmarkStart w:id="127" w:name="_Toc534620650"/>
      <w:bookmarkStart w:id="128" w:name="_Toc534620560"/>
      <w:bookmarkStart w:id="129" w:name="_Toc534623366"/>
      <w:bookmarkStart w:id="130" w:name="_Toc534622142"/>
      <w:bookmarkStart w:id="131" w:name="_Toc274829515"/>
      <w:r>
        <w:rPr>
          <w:rFonts w:hint="eastAsia" w:ascii="宋体" w:hAnsi="宋体" w:eastAsia="宋体"/>
          <w:color w:val="auto"/>
          <w:sz w:val="36"/>
          <w:szCs w:val="36"/>
        </w:rPr>
        <w:t xml:space="preserve">第三章  </w:t>
      </w:r>
      <w:bookmarkEnd w:id="127"/>
      <w:bookmarkEnd w:id="128"/>
      <w:bookmarkEnd w:id="129"/>
      <w:bookmarkEnd w:id="130"/>
      <w:r>
        <w:rPr>
          <w:rFonts w:hint="eastAsia" w:ascii="宋体" w:hAnsi="宋体" w:eastAsia="宋体"/>
          <w:color w:val="auto"/>
          <w:sz w:val="36"/>
          <w:szCs w:val="36"/>
        </w:rPr>
        <w:t>供应商的资格、资质性及其他类似效力要求</w:t>
      </w:r>
      <w:bookmarkEnd w:id="131"/>
    </w:p>
    <w:p>
      <w:pPr>
        <w:spacing w:beforeLines="100" w:afterLines="100" w:line="360" w:lineRule="auto"/>
        <w:ind w:firstLine="602" w:firstLineChars="200"/>
        <w:rPr>
          <w:rFonts w:ascii="宋体" w:hAnsi="宋体"/>
          <w:b/>
          <w:color w:val="auto"/>
          <w:sz w:val="30"/>
          <w:szCs w:val="30"/>
        </w:rPr>
      </w:pPr>
      <w:r>
        <w:rPr>
          <w:rFonts w:hint="eastAsia" w:ascii="宋体" w:hAnsi="宋体"/>
          <w:b/>
          <w:color w:val="auto"/>
          <w:sz w:val="30"/>
          <w:szCs w:val="30"/>
        </w:rPr>
        <w:t>一、参加谈判的供应商应具备下列资格条件：</w:t>
      </w:r>
    </w:p>
    <w:p>
      <w:pPr>
        <w:spacing w:line="360" w:lineRule="auto"/>
        <w:ind w:firstLine="480" w:firstLineChars="200"/>
        <w:rPr>
          <w:rFonts w:ascii="宋体" w:hAnsi="宋体"/>
          <w:color w:val="auto"/>
          <w:sz w:val="24"/>
        </w:rPr>
      </w:pPr>
      <w:r>
        <w:rPr>
          <w:rFonts w:hint="eastAsia" w:ascii="宋体" w:hAnsi="宋体"/>
          <w:color w:val="auto"/>
          <w:sz w:val="24"/>
        </w:rPr>
        <w:t>（一）基本条件：</w:t>
      </w:r>
    </w:p>
    <w:p>
      <w:pPr>
        <w:pStyle w:val="48"/>
        <w:ind w:firstLine="480"/>
        <w:rPr>
          <w:rFonts w:ascii="宋体" w:hAnsi="宋体"/>
          <w:color w:val="auto"/>
          <w:sz w:val="24"/>
        </w:rPr>
      </w:pPr>
      <w:r>
        <w:rPr>
          <w:rFonts w:hint="eastAsia" w:ascii="宋体" w:hAnsi="宋体"/>
          <w:color w:val="auto"/>
          <w:sz w:val="24"/>
        </w:rPr>
        <w:t>1、 《中华人民共和国政府采购法》第二十二条规定的条件：</w:t>
      </w:r>
    </w:p>
    <w:p>
      <w:pPr>
        <w:pStyle w:val="48"/>
        <w:ind w:firstLine="48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（5）参加本次政府采购活动前三年内，在经营活动中没有重大违法记录；</w:t>
      </w:r>
    </w:p>
    <w:p>
      <w:pPr>
        <w:pStyle w:val="48"/>
        <w:ind w:firstLine="480"/>
        <w:rPr>
          <w:rFonts w:ascii="宋体" w:hAnsi="宋体"/>
          <w:color w:val="auto"/>
          <w:sz w:val="24"/>
        </w:rPr>
      </w:pPr>
      <w:r>
        <w:rPr>
          <w:rFonts w:hint="eastAsia" w:ascii="宋体" w:hAnsi="宋体"/>
          <w:color w:val="auto"/>
          <w:sz w:val="24"/>
        </w:rPr>
        <w:t>（6）法律、行政法规规定的其他条件。</w:t>
      </w:r>
    </w:p>
    <w:p>
      <w:pPr>
        <w:pStyle w:val="48"/>
        <w:ind w:firstLine="480"/>
        <w:rPr>
          <w:rFonts w:ascii="宋体" w:hAnsi="宋体"/>
          <w:color w:val="auto"/>
          <w:sz w:val="24"/>
        </w:rPr>
      </w:pPr>
      <w:r>
        <w:rPr>
          <w:rFonts w:hint="eastAsia" w:ascii="宋体" w:hAnsi="宋体"/>
          <w:color w:val="auto"/>
          <w:sz w:val="24"/>
        </w:rPr>
        <w:t>（二） 采购人根据本次采购项目提出的特定条件：</w:t>
      </w:r>
    </w:p>
    <w:p>
      <w:pPr>
        <w:spacing w:line="360" w:lineRule="auto"/>
        <w:ind w:firstLine="480" w:firstLineChars="200"/>
        <w:rPr>
          <w:rFonts w:hint="eastAsia" w:ascii="宋体" w:eastAsia="宋体" w:cs="宋体"/>
          <w:color w:val="auto"/>
          <w:kern w:val="0"/>
          <w:sz w:val="24"/>
        </w:rPr>
      </w:pPr>
      <w:r>
        <w:rPr>
          <w:rFonts w:hint="eastAsia" w:ascii="宋体" w:eastAsia="宋体" w:cs="宋体"/>
          <w:color w:val="auto"/>
          <w:kern w:val="0"/>
          <w:sz w:val="24"/>
          <w:lang w:eastAsia="zh-CN"/>
        </w:rPr>
        <w:t>具有相应水利行政主管部门颁发的水利工程质量检测单位资质证书，其中</w:t>
      </w:r>
      <w:r>
        <w:rPr>
          <w:rFonts w:hint="eastAsia" w:ascii="宋体" w:eastAsia="宋体" w:cs="宋体"/>
          <w:color w:val="auto"/>
          <w:kern w:val="0"/>
          <w:sz w:val="24"/>
        </w:rPr>
        <w:t>岩土工程、混凝土工程、量测</w:t>
      </w:r>
      <w:r>
        <w:rPr>
          <w:rFonts w:hint="eastAsia" w:ascii="宋体" w:eastAsia="宋体" w:cs="宋体"/>
          <w:color w:val="auto"/>
          <w:kern w:val="0"/>
          <w:sz w:val="24"/>
          <w:lang w:val="en-US" w:eastAsia="zh-CN"/>
        </w:rPr>
        <w:t>3</w:t>
      </w:r>
      <w:r>
        <w:rPr>
          <w:rFonts w:hint="eastAsia" w:ascii="宋体" w:eastAsia="宋体" w:cs="宋体"/>
          <w:color w:val="auto"/>
          <w:kern w:val="0"/>
          <w:sz w:val="24"/>
        </w:rPr>
        <w:t>个类别均为</w:t>
      </w:r>
      <w:r>
        <w:rPr>
          <w:rFonts w:hint="eastAsia" w:ascii="宋体" w:eastAsia="宋体" w:cs="宋体"/>
          <w:color w:val="auto"/>
          <w:kern w:val="0"/>
          <w:sz w:val="24"/>
          <w:lang w:eastAsia="zh-CN"/>
        </w:rPr>
        <w:t>乙级或以上资质；具有相应主管部门颁发的检验检测机构计量认证CMA资质认定证书；供应商拟派的项目负责人具有水利类专业工程师及以上资格证书、水利工程质量检测员具有相应水利类专业工程师及以上资格证书等。</w:t>
      </w:r>
    </w:p>
    <w:p>
      <w:pPr>
        <w:spacing w:line="360" w:lineRule="auto"/>
        <w:ind w:firstLine="480" w:firstLineChars="200"/>
        <w:rPr>
          <w:rFonts w:ascii="宋体" w:hAnsi="宋体"/>
          <w:color w:val="auto"/>
          <w:sz w:val="24"/>
          <w:szCs w:val="22"/>
        </w:rPr>
      </w:pPr>
      <w:r>
        <w:rPr>
          <w:rFonts w:hint="eastAsia" w:ascii="宋体" w:hAnsi="宋体"/>
          <w:color w:val="auto"/>
          <w:sz w:val="24"/>
          <w:szCs w:val="20"/>
        </w:rPr>
        <w:t xml:space="preserve">（三） </w:t>
      </w:r>
      <w:r>
        <w:rPr>
          <w:rFonts w:ascii="宋体" w:hAnsi="宋体" w:cs="宋体"/>
          <w:color w:val="auto"/>
          <w:sz w:val="24"/>
          <w:szCs w:val="20"/>
        </w:rPr>
        <w:t>落实政府采购政策需满足的资格要求</w:t>
      </w:r>
      <w:r>
        <w:rPr>
          <w:rFonts w:hint="eastAsia" w:ascii="宋体" w:hAnsi="宋体" w:cs="宋体"/>
          <w:color w:val="auto"/>
          <w:sz w:val="24"/>
          <w:szCs w:val="20"/>
        </w:rPr>
        <w:t>:</w:t>
      </w:r>
      <w:r>
        <w:rPr>
          <w:rFonts w:hint="eastAsia" w:ascii="宋体" w:hAnsi="宋体"/>
          <w:color w:val="auto"/>
          <w:sz w:val="24"/>
          <w:szCs w:val="22"/>
        </w:rPr>
        <w:t>本项目不</w:t>
      </w:r>
      <w:r>
        <w:rPr>
          <w:rFonts w:hint="eastAsia" w:ascii="宋体" w:hAnsi="宋体"/>
          <w:color w:val="auto"/>
          <w:sz w:val="24"/>
          <w:szCs w:val="22"/>
          <w:lang w:val="zh-CN"/>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szCs w:val="22"/>
          <w:lang w:val="zh-CN"/>
        </w:rPr>
        <w:t>采购。</w:t>
      </w:r>
    </w:p>
    <w:p>
      <w:pPr>
        <w:spacing w:line="360" w:lineRule="auto"/>
        <w:ind w:firstLine="480" w:firstLineChars="200"/>
        <w:rPr>
          <w:rFonts w:ascii="宋体" w:hAnsi="宋体"/>
          <w:color w:val="auto"/>
          <w:sz w:val="24"/>
          <w:szCs w:val="20"/>
        </w:rPr>
      </w:pPr>
      <w:r>
        <w:rPr>
          <w:rFonts w:hint="eastAsia" w:ascii="宋体" w:hAnsi="宋体"/>
          <w:color w:val="auto"/>
          <w:sz w:val="24"/>
          <w:szCs w:val="20"/>
        </w:rPr>
        <w:t>（四）本项目不允许联合体谈判。</w:t>
      </w:r>
    </w:p>
    <w:p>
      <w:pPr>
        <w:spacing w:line="360" w:lineRule="auto"/>
        <w:ind w:firstLine="481" w:firstLineChars="200"/>
        <w:rPr>
          <w:rFonts w:ascii="宋体" w:hAnsi="宋体"/>
          <w:b/>
          <w:color w:val="auto"/>
          <w:sz w:val="24"/>
          <w:szCs w:val="22"/>
        </w:rPr>
      </w:pPr>
      <w:r>
        <w:rPr>
          <w:rFonts w:hint="eastAsia" w:ascii="宋体" w:hAnsi="宋体"/>
          <w:b/>
          <w:color w:val="auto"/>
          <w:sz w:val="24"/>
          <w:szCs w:val="22"/>
        </w:rPr>
        <w:t>二、其他类似效力要求</w:t>
      </w:r>
    </w:p>
    <w:p>
      <w:pPr>
        <w:pStyle w:val="48"/>
        <w:ind w:firstLine="480"/>
        <w:rPr>
          <w:rFonts w:ascii="宋体" w:hAnsi="宋体"/>
          <w:color w:val="auto"/>
          <w:sz w:val="24"/>
        </w:rPr>
      </w:pPr>
      <w:r>
        <w:rPr>
          <w:rFonts w:hint="eastAsia" w:ascii="宋体" w:hAnsi="宋体"/>
          <w:color w:val="auto"/>
          <w:sz w:val="24"/>
        </w:rPr>
        <w:t>1、 参加本次谈判活动代表人的证明材料。</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参加本次政府采购活动前三年内，供应商单位及其现任法定代表人、主要负责人不得具有行贿犯罪记录。</w:t>
      </w:r>
    </w:p>
    <w:p>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 xml:space="preserve"> </w:t>
      </w:r>
      <w:r>
        <w:rPr>
          <w:rFonts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pPr>
        <w:spacing w:line="360" w:lineRule="auto"/>
        <w:ind w:firstLine="481" w:firstLineChars="200"/>
        <w:rPr>
          <w:rFonts w:ascii="宋体" w:hAnsi="宋体"/>
          <w:b/>
          <w:color w:val="auto"/>
          <w:sz w:val="24"/>
          <w:szCs w:val="20"/>
        </w:rPr>
      </w:pPr>
      <w:r>
        <w:rPr>
          <w:rFonts w:hint="eastAsia" w:ascii="宋体" w:hAnsi="宋体"/>
          <w:b/>
          <w:color w:val="auto"/>
          <w:sz w:val="24"/>
          <w:szCs w:val="20"/>
        </w:rPr>
        <w:t>注：1、“参加本次政府采购活动前三年内，在经营活动中没有重大违法记录”中的重大违法记录，是指供应商因违法经营受到刑事处罚或者责令停产停业、吊销许可证或者执照、较大数额罚款等行政处罚，</w:t>
      </w:r>
      <w:r>
        <w:rPr>
          <w:rFonts w:ascii="宋体" w:hAnsi="宋体"/>
          <w:b/>
          <w:color w:val="auto"/>
          <w:sz w:val="24"/>
          <w:szCs w:val="20"/>
        </w:rPr>
        <w:t>其中“较大数额罚款”认定为200万元以上的罚款，法律、行政法规以及国务院有关部门明确规定相关领域“较大数额罚款”标准高于 200万元的，从其规定。</w:t>
      </w:r>
    </w:p>
    <w:p>
      <w:pPr>
        <w:spacing w:line="360" w:lineRule="auto"/>
        <w:ind w:firstLine="481" w:firstLineChars="200"/>
        <w:rPr>
          <w:rFonts w:ascii="宋体" w:hAnsi="宋体"/>
          <w:color w:val="auto"/>
          <w:sz w:val="24"/>
        </w:rPr>
      </w:pPr>
      <w:r>
        <w:rPr>
          <w:rFonts w:hint="eastAsia" w:ascii="宋体" w:hAnsi="宋体"/>
          <w:b/>
          <w:color w:val="auto"/>
          <w:sz w:val="24"/>
          <w:szCs w:val="20"/>
        </w:rPr>
        <w:t>2、为了贯彻落实《财政部关于促进政府采购公平竞争优化营商环境的通知》（财库[2019]38 号）优化采购活动办事程序的要求，法律、行政法规、强制性标准、政府采购政策、主管部门规范性文件对供应商或采购品目有强制性要求但采购文件没有要求供应商在响应文件中提供具体证明材料的，其合法性根据响应文件承诺函（格式见第</w:t>
      </w:r>
      <w:r>
        <w:rPr>
          <w:rFonts w:hint="eastAsia" w:ascii="宋体" w:hAnsi="宋体"/>
          <w:b/>
          <w:color w:val="auto"/>
          <w:sz w:val="24"/>
          <w:szCs w:val="20"/>
          <w:lang w:eastAsia="zh-CN"/>
        </w:rPr>
        <w:t>六</w:t>
      </w:r>
      <w:r>
        <w:rPr>
          <w:rFonts w:hint="eastAsia" w:ascii="宋体" w:hAnsi="宋体"/>
          <w:b/>
          <w:color w:val="auto"/>
          <w:sz w:val="24"/>
          <w:szCs w:val="20"/>
        </w:rPr>
        <w:t>章）保证,相关证明材料由采购人在签订合同或验收时进行查验。</w:t>
      </w:r>
    </w:p>
    <w:p>
      <w:pPr>
        <w:pStyle w:val="4"/>
        <w:keepNext w:val="0"/>
        <w:keepLines w:val="0"/>
        <w:spacing w:beforeLines="100" w:afterLines="100" w:line="360" w:lineRule="auto"/>
        <w:jc w:val="center"/>
        <w:rPr>
          <w:rFonts w:ascii="宋体" w:hAnsi="宋体" w:eastAsia="宋体"/>
          <w:color w:val="auto"/>
          <w:sz w:val="36"/>
          <w:szCs w:val="36"/>
        </w:rPr>
      </w:pPr>
      <w:bookmarkStart w:id="132" w:name="_Toc534622143"/>
      <w:bookmarkStart w:id="133" w:name="_Toc534620561"/>
      <w:bookmarkStart w:id="134" w:name="_Toc534623367"/>
      <w:bookmarkStart w:id="135" w:name="_Toc534620651"/>
      <w:r>
        <w:rPr>
          <w:rFonts w:ascii="宋体" w:hAnsi="宋体" w:eastAsia="宋体"/>
          <w:b w:val="0"/>
          <w:bCs w:val="0"/>
          <w:color w:val="auto"/>
          <w:sz w:val="36"/>
        </w:rPr>
        <w:br w:type="page"/>
      </w:r>
      <w:bookmarkStart w:id="136" w:name="_Toc1182394454"/>
      <w:r>
        <w:rPr>
          <w:rFonts w:hint="eastAsia" w:ascii="宋体" w:hAnsi="宋体" w:eastAsia="宋体"/>
          <w:color w:val="auto"/>
          <w:sz w:val="36"/>
          <w:szCs w:val="36"/>
        </w:rPr>
        <w:t xml:space="preserve">第四章  </w:t>
      </w:r>
      <w:bookmarkEnd w:id="132"/>
      <w:bookmarkEnd w:id="133"/>
      <w:bookmarkEnd w:id="134"/>
      <w:bookmarkEnd w:id="135"/>
      <w:r>
        <w:rPr>
          <w:rFonts w:hint="eastAsia" w:ascii="宋体" w:hAnsi="宋体" w:eastAsia="宋体"/>
          <w:color w:val="auto"/>
          <w:sz w:val="36"/>
          <w:szCs w:val="36"/>
        </w:rPr>
        <w:t>供应商的资格、资质性及其他类似效力要求的相关证明材料</w:t>
      </w:r>
      <w:bookmarkEnd w:id="136"/>
    </w:p>
    <w:p>
      <w:pPr>
        <w:pStyle w:val="4"/>
        <w:keepNext w:val="0"/>
        <w:keepLines w:val="0"/>
        <w:spacing w:beforeLines="100" w:afterLines="100" w:line="360" w:lineRule="auto"/>
        <w:ind w:firstLine="602" w:firstLineChars="200"/>
        <w:rPr>
          <w:rFonts w:ascii="宋体" w:hAnsi="宋体" w:eastAsia="宋体"/>
          <w:b w:val="0"/>
          <w:bCs w:val="0"/>
          <w:color w:val="auto"/>
          <w:sz w:val="36"/>
          <w:szCs w:val="24"/>
        </w:rPr>
      </w:pPr>
      <w:bookmarkStart w:id="137" w:name="_Toc536633353"/>
      <w:bookmarkStart w:id="138" w:name="_Toc1801299811"/>
      <w:bookmarkStart w:id="139" w:name="_Toc536633433"/>
      <w:r>
        <w:rPr>
          <w:rFonts w:hint="eastAsia" w:ascii="宋体" w:hAnsi="宋体" w:eastAsia="宋体"/>
          <w:color w:val="auto"/>
          <w:sz w:val="30"/>
          <w:szCs w:val="30"/>
        </w:rPr>
        <w:t>一、供应商应提交的资格证明材料</w:t>
      </w:r>
      <w:bookmarkEnd w:id="137"/>
      <w:bookmarkEnd w:id="138"/>
      <w:bookmarkEnd w:id="139"/>
    </w:p>
    <w:p>
      <w:pPr>
        <w:pStyle w:val="48"/>
        <w:ind w:firstLine="480"/>
        <w:rPr>
          <w:rFonts w:ascii="宋体" w:hAnsi="宋体"/>
          <w:color w:val="auto"/>
          <w:sz w:val="24"/>
        </w:rPr>
      </w:pPr>
      <w:r>
        <w:rPr>
          <w:rFonts w:hint="eastAsia" w:ascii="宋体" w:hAnsi="宋体"/>
          <w:color w:val="auto"/>
          <w:sz w:val="24"/>
        </w:rPr>
        <w:t>（一）《中华人民共和国政府采购法》第二十二条第一款第（一）至（六）规定的条件：</w:t>
      </w:r>
    </w:p>
    <w:p>
      <w:pPr>
        <w:pStyle w:val="48"/>
        <w:ind w:firstLine="482"/>
        <w:rPr>
          <w:rFonts w:ascii="宋体" w:hAnsi="宋体"/>
          <w:b/>
          <w:color w:val="auto"/>
          <w:sz w:val="24"/>
        </w:rPr>
      </w:pPr>
      <w:r>
        <w:rPr>
          <w:rFonts w:hint="eastAsia" w:ascii="宋体" w:hAnsi="宋体"/>
          <w:b/>
          <w:color w:val="auto"/>
          <w:sz w:val="24"/>
        </w:rPr>
        <w:t>（1）具有独立承担民事责任的能力。</w:t>
      </w:r>
    </w:p>
    <w:p>
      <w:pPr>
        <w:pStyle w:val="48"/>
        <w:ind w:firstLine="480"/>
        <w:rPr>
          <w:rFonts w:ascii="宋体" w:hAnsi="宋体"/>
          <w:color w:val="auto"/>
          <w:sz w:val="24"/>
        </w:rPr>
      </w:pPr>
      <w:r>
        <w:rPr>
          <w:rFonts w:hint="eastAsia" w:ascii="宋体" w:hAnsi="宋体"/>
          <w:color w:val="auto"/>
          <w:sz w:val="24"/>
        </w:rPr>
        <w:t>证明材料：</w:t>
      </w:r>
    </w:p>
    <w:p>
      <w:pPr>
        <w:pStyle w:val="48"/>
        <w:ind w:firstLine="480"/>
        <w:rPr>
          <w:rFonts w:ascii="宋体" w:hAnsi="宋体"/>
          <w:color w:val="auto"/>
          <w:sz w:val="24"/>
        </w:rPr>
      </w:pPr>
      <w:r>
        <w:rPr>
          <w:rFonts w:hint="eastAsia" w:ascii="宋体" w:hAnsi="宋体"/>
          <w:color w:val="auto"/>
          <w:sz w:val="24"/>
        </w:rPr>
        <w:t>①供应商若为企业法人：提供“统一社会信用代码营业执照”；未换证的提供“营业执照、税务登记证、组织机构代码证”；</w:t>
      </w:r>
    </w:p>
    <w:p>
      <w:pPr>
        <w:pStyle w:val="48"/>
        <w:ind w:firstLine="480"/>
        <w:rPr>
          <w:rFonts w:ascii="宋体" w:hAnsi="宋体"/>
          <w:color w:val="auto"/>
          <w:sz w:val="24"/>
        </w:rPr>
      </w:pPr>
      <w:r>
        <w:rPr>
          <w:rFonts w:hint="eastAsia" w:ascii="宋体" w:hAnsi="宋体"/>
          <w:color w:val="auto"/>
          <w:sz w:val="24"/>
        </w:rPr>
        <w:t>②若为事业法人：提供“统一社会信用代码法人登记证书”；未换证的提交“事业法人登记证书、组织机构代码证”；</w:t>
      </w:r>
    </w:p>
    <w:p>
      <w:pPr>
        <w:pStyle w:val="48"/>
        <w:ind w:firstLine="480"/>
        <w:rPr>
          <w:rFonts w:ascii="宋体" w:hAnsi="宋体"/>
          <w:color w:val="auto"/>
          <w:sz w:val="24"/>
        </w:rPr>
      </w:pPr>
      <w:r>
        <w:rPr>
          <w:rFonts w:hint="eastAsia" w:ascii="宋体" w:hAnsi="宋体"/>
          <w:color w:val="auto"/>
          <w:sz w:val="24"/>
        </w:rPr>
        <w:t>③若为其他组织：提供“对应主管部门颁发的准许执业证明文件或营业执照”；</w:t>
      </w:r>
    </w:p>
    <w:p>
      <w:pPr>
        <w:pStyle w:val="48"/>
        <w:ind w:firstLine="480"/>
        <w:rPr>
          <w:rFonts w:ascii="宋体" w:hAnsi="宋体"/>
          <w:color w:val="auto"/>
          <w:sz w:val="24"/>
        </w:rPr>
      </w:pPr>
      <w:r>
        <w:rPr>
          <w:rFonts w:hint="eastAsia" w:ascii="宋体" w:hAnsi="宋体"/>
          <w:color w:val="auto"/>
          <w:sz w:val="24"/>
        </w:rPr>
        <w:t>④若为自然人：提供“身份证明文件”。</w:t>
      </w:r>
    </w:p>
    <w:p>
      <w:pPr>
        <w:pStyle w:val="48"/>
        <w:ind w:firstLine="480"/>
        <w:rPr>
          <w:rFonts w:ascii="宋体" w:hAnsi="宋体"/>
          <w:color w:val="auto"/>
          <w:sz w:val="24"/>
        </w:rPr>
      </w:pPr>
      <w:r>
        <w:rPr>
          <w:rFonts w:hint="eastAsia" w:ascii="宋体" w:hAnsi="宋体"/>
          <w:color w:val="auto"/>
          <w:sz w:val="24"/>
        </w:rPr>
        <w:t>注：①、②、③均提供加盖公章的复印件或扫描打印件（正本或副本均可）；④提供复印件或扫描打印件并本人签字。</w:t>
      </w:r>
    </w:p>
    <w:p>
      <w:pPr>
        <w:pStyle w:val="48"/>
        <w:ind w:firstLine="482"/>
        <w:rPr>
          <w:rFonts w:ascii="宋体" w:hAnsi="宋体"/>
          <w:b/>
          <w:color w:val="auto"/>
          <w:sz w:val="24"/>
        </w:rPr>
      </w:pPr>
      <w:r>
        <w:rPr>
          <w:rFonts w:hint="eastAsia" w:ascii="宋体" w:hAnsi="宋体"/>
          <w:b/>
          <w:color w:val="auto"/>
          <w:sz w:val="24"/>
        </w:rPr>
        <w:t>（2）具有良好的商业信誉和健全的财务会计制度。</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（3）具有履行合同所必需的设备和专业技术能力。</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（4）有依法缴纳税收和社会保障资金的良好记录。</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（5）参加政府采购活动前三年内，在经营活动中没有重大违法记录。</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2"/>
        <w:rPr>
          <w:rFonts w:ascii="宋体" w:hAnsi="宋体"/>
          <w:b/>
          <w:color w:val="auto"/>
          <w:sz w:val="24"/>
        </w:rPr>
      </w:pPr>
      <w:r>
        <w:rPr>
          <w:rFonts w:hint="eastAsia" w:ascii="宋体" w:hAnsi="宋体"/>
          <w:b/>
          <w:color w:val="auto"/>
          <w:sz w:val="24"/>
        </w:rPr>
        <w:t>（6）具备法律、行政法规规定的其他条件。</w:t>
      </w:r>
    </w:p>
    <w:p>
      <w:pPr>
        <w:pStyle w:val="48"/>
        <w:ind w:firstLine="480"/>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pPr>
        <w:pStyle w:val="48"/>
        <w:ind w:firstLine="480"/>
        <w:rPr>
          <w:rFonts w:ascii="宋体" w:hAnsi="宋体"/>
          <w:color w:val="auto"/>
          <w:sz w:val="24"/>
        </w:rPr>
      </w:pPr>
      <w:r>
        <w:rPr>
          <w:rFonts w:hint="eastAsia" w:ascii="宋体" w:hAnsi="宋体"/>
          <w:color w:val="auto"/>
          <w:sz w:val="24"/>
        </w:rPr>
        <w:t>（二）采购人根据本次采购项目提出的特定条件证明材料：</w:t>
      </w:r>
    </w:p>
    <w:p>
      <w:pPr>
        <w:adjustRightInd w:val="0"/>
        <w:spacing w:line="360" w:lineRule="auto"/>
        <w:ind w:left="1" w:firstLine="480" w:firstLineChars="200"/>
        <w:textAlignment w:val="baseline"/>
        <w:rPr>
          <w:rFonts w:hint="eastAsia" w:ascii="宋体" w:hAnsi="宋体" w:eastAsia="宋体"/>
          <w:color w:val="auto"/>
          <w:sz w:val="24"/>
          <w:szCs w:val="22"/>
        </w:rPr>
      </w:pPr>
      <w:r>
        <w:rPr>
          <w:rFonts w:hint="eastAsia" w:ascii="宋体" w:hAnsi="宋体" w:eastAsia="宋体"/>
          <w:color w:val="auto"/>
          <w:sz w:val="24"/>
          <w:szCs w:val="22"/>
        </w:rPr>
        <w:t>（1）水利工程质量检测单位资质证明材料</w:t>
      </w:r>
    </w:p>
    <w:p>
      <w:pPr>
        <w:adjustRightInd w:val="0"/>
        <w:spacing w:line="360" w:lineRule="auto"/>
        <w:ind w:left="1" w:firstLine="480" w:firstLineChars="200"/>
        <w:textAlignment w:val="baseline"/>
        <w:rPr>
          <w:rFonts w:hint="eastAsia" w:ascii="宋体" w:hAnsi="宋体" w:eastAsia="宋体"/>
          <w:color w:val="auto"/>
          <w:sz w:val="24"/>
          <w:szCs w:val="22"/>
        </w:rPr>
      </w:pPr>
      <w:r>
        <w:rPr>
          <w:rFonts w:hint="eastAsia" w:ascii="宋体" w:hAnsi="宋体" w:eastAsia="宋体"/>
          <w:color w:val="auto"/>
          <w:sz w:val="24"/>
          <w:szCs w:val="22"/>
          <w:lang w:eastAsia="zh-CN"/>
        </w:rPr>
        <w:t>具有相应水利行政主管部门颁发的水利工程质量检测单位资质证书，其中</w:t>
      </w:r>
      <w:r>
        <w:rPr>
          <w:rFonts w:hint="eastAsia" w:ascii="宋体" w:hAnsi="宋体" w:eastAsia="宋体"/>
          <w:color w:val="auto"/>
          <w:sz w:val="24"/>
          <w:szCs w:val="22"/>
        </w:rPr>
        <w:t>岩土工程、混凝土工程、量测</w:t>
      </w:r>
      <w:r>
        <w:rPr>
          <w:rFonts w:hint="eastAsia" w:ascii="宋体" w:hAnsi="宋体" w:eastAsia="宋体"/>
          <w:color w:val="auto"/>
          <w:sz w:val="24"/>
          <w:szCs w:val="22"/>
          <w:lang w:val="en-US" w:eastAsia="zh-CN"/>
        </w:rPr>
        <w:t>3</w:t>
      </w:r>
      <w:r>
        <w:rPr>
          <w:rFonts w:hint="eastAsia" w:ascii="宋体" w:hAnsi="宋体" w:eastAsia="宋体"/>
          <w:color w:val="auto"/>
          <w:sz w:val="24"/>
          <w:szCs w:val="22"/>
        </w:rPr>
        <w:t>个类别均为</w:t>
      </w:r>
      <w:r>
        <w:rPr>
          <w:rFonts w:hint="eastAsia" w:ascii="宋体" w:hAnsi="宋体" w:eastAsia="宋体"/>
          <w:color w:val="auto"/>
          <w:sz w:val="24"/>
          <w:szCs w:val="22"/>
          <w:lang w:eastAsia="zh-CN"/>
        </w:rPr>
        <w:t>乙级或以上资质；具有相应主管部门颁发的检验检测机构计量认证CMA资质认定证书；供应商拟派的项目负责人具有水利类专业工程师及以上资格证书、水利工程质量检测员具有相应水利类专业工程师及以上资格证书等。</w:t>
      </w:r>
    </w:p>
    <w:p>
      <w:pPr>
        <w:spacing w:afterLines="50" w:line="274" w:lineRule="exact"/>
        <w:ind w:firstLine="480" w:firstLineChars="200"/>
        <w:rPr>
          <w:rFonts w:ascii="宋体" w:hAnsi="宋体" w:cs="宋体"/>
          <w:color w:val="auto"/>
          <w:sz w:val="24"/>
          <w:szCs w:val="20"/>
        </w:rPr>
      </w:pPr>
      <w:r>
        <w:rPr>
          <w:rFonts w:hint="eastAsia" w:ascii="宋体" w:hAnsi="宋体"/>
          <w:color w:val="auto"/>
          <w:sz w:val="24"/>
        </w:rPr>
        <w:t>（三）</w:t>
      </w:r>
      <w:r>
        <w:rPr>
          <w:rFonts w:ascii="宋体" w:hAnsi="宋体" w:cs="宋体"/>
          <w:color w:val="auto"/>
          <w:sz w:val="24"/>
          <w:szCs w:val="20"/>
        </w:rPr>
        <w:t>落实政府采购政策需满足资格要求的证明材料</w:t>
      </w:r>
      <w:r>
        <w:rPr>
          <w:rFonts w:hint="eastAsia" w:ascii="宋体" w:hAnsi="宋体"/>
          <w:color w:val="auto"/>
          <w:sz w:val="24"/>
        </w:rPr>
        <w:t>（非实质性要求）</w:t>
      </w:r>
      <w:r>
        <w:rPr>
          <w:rFonts w:ascii="宋体" w:hAnsi="宋体" w:cs="宋体"/>
          <w:color w:val="auto"/>
          <w:sz w:val="24"/>
          <w:szCs w:val="20"/>
        </w:rPr>
        <w:t>：</w:t>
      </w:r>
    </w:p>
    <w:p>
      <w:pPr>
        <w:spacing w:afterLines="50" w:line="354" w:lineRule="exact"/>
        <w:ind w:right="366" w:firstLine="480" w:firstLineChars="200"/>
        <w:rPr>
          <w:rFonts w:ascii="宋体" w:hAnsi="宋体" w:cs="宋体"/>
          <w:color w:val="auto"/>
          <w:sz w:val="24"/>
          <w:szCs w:val="20"/>
        </w:rPr>
      </w:pPr>
      <w:r>
        <w:rPr>
          <w:rFonts w:ascii="宋体" w:hAnsi="宋体" w:cs="宋体"/>
          <w:color w:val="auto"/>
          <w:sz w:val="24"/>
          <w:szCs w:val="20"/>
        </w:rPr>
        <w:t>本项目不专门面向中小企业（残疾人福利性单位、监狱企业视同小微企业）采购。</w:t>
      </w:r>
    </w:p>
    <w:p>
      <w:pPr>
        <w:pStyle w:val="48"/>
        <w:ind w:firstLine="480"/>
        <w:rPr>
          <w:rFonts w:ascii="宋体" w:hAnsi="宋体"/>
          <w:color w:val="auto"/>
          <w:sz w:val="24"/>
        </w:rPr>
      </w:pPr>
      <w:r>
        <w:rPr>
          <w:rFonts w:hint="eastAsia" w:ascii="宋体" w:hAnsi="宋体"/>
          <w:color w:val="auto"/>
          <w:sz w:val="24"/>
          <w:szCs w:val="22"/>
        </w:rPr>
        <w:t>二、</w:t>
      </w:r>
      <w:r>
        <w:rPr>
          <w:rFonts w:hint="eastAsia" w:ascii="宋体" w:hAnsi="宋体"/>
          <w:color w:val="auto"/>
          <w:sz w:val="24"/>
        </w:rPr>
        <w:t>其他类似效力要求证明材料：</w:t>
      </w:r>
    </w:p>
    <w:p>
      <w:pPr>
        <w:adjustRightInd w:val="0"/>
        <w:spacing w:line="360" w:lineRule="auto"/>
        <w:ind w:left="1" w:firstLine="480" w:firstLineChars="200"/>
        <w:textAlignment w:val="baseline"/>
        <w:rPr>
          <w:rFonts w:ascii="宋体" w:hAnsi="宋体"/>
          <w:color w:val="auto"/>
          <w:sz w:val="24"/>
          <w:szCs w:val="22"/>
        </w:rPr>
      </w:pPr>
      <w:r>
        <w:rPr>
          <w:rFonts w:hint="eastAsia" w:ascii="宋体" w:hAnsi="宋体"/>
          <w:color w:val="auto"/>
          <w:sz w:val="24"/>
          <w:szCs w:val="22"/>
        </w:rPr>
        <w:t>1. 法定代表人/单位负责人身份证明书原件（格式见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w:t>
      </w:r>
      <w:r>
        <w:rPr>
          <w:rFonts w:hint="eastAsia" w:ascii="宋体" w:hAnsi="宋体"/>
          <w:color w:val="auto"/>
          <w:kern w:val="0"/>
          <w:sz w:val="24"/>
        </w:rPr>
        <w:t>加盖公章的</w:t>
      </w:r>
      <w:r>
        <w:rPr>
          <w:rFonts w:hint="eastAsia" w:ascii="宋体" w:hAnsi="宋体"/>
          <w:bCs/>
          <w:color w:val="auto"/>
          <w:sz w:val="24"/>
        </w:rPr>
        <w:t>法定代表人/单位负责人身份证复印件；</w:t>
      </w:r>
    </w:p>
    <w:p>
      <w:pPr>
        <w:adjustRightInd w:val="0"/>
        <w:spacing w:line="360" w:lineRule="auto"/>
        <w:ind w:left="1" w:firstLine="480" w:firstLineChars="200"/>
        <w:textAlignment w:val="baseline"/>
        <w:rPr>
          <w:rFonts w:ascii="宋体" w:hAnsi="宋体"/>
          <w:color w:val="auto"/>
          <w:kern w:val="0"/>
          <w:sz w:val="24"/>
        </w:rPr>
      </w:pPr>
      <w:r>
        <w:rPr>
          <w:rFonts w:hint="eastAsia" w:ascii="宋体" w:hAnsi="宋体"/>
          <w:color w:val="auto"/>
          <w:sz w:val="24"/>
          <w:szCs w:val="22"/>
        </w:rPr>
        <w:t>2. 法定代表人/单位负责人授权书原件（格式见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）及</w:t>
      </w:r>
      <w:r>
        <w:rPr>
          <w:rFonts w:hint="eastAsia" w:ascii="宋体" w:hAnsi="宋体"/>
          <w:color w:val="auto"/>
          <w:kern w:val="0"/>
          <w:sz w:val="24"/>
        </w:rPr>
        <w:t>加盖公章的授权代表</w:t>
      </w:r>
      <w:r>
        <w:rPr>
          <w:rFonts w:hint="eastAsia" w:ascii="宋体" w:hAnsi="宋体"/>
          <w:color w:val="auto"/>
          <w:sz w:val="24"/>
          <w:szCs w:val="22"/>
        </w:rPr>
        <w:t>身份证明材料复印件（注：①法定代表人/单位负责人授权书原件需加盖公章；②如响应文件均由供应商法定代表人/单位负责人签字或加盖私人印章的且法定代表人/单位负责人本人参与</w:t>
      </w:r>
      <w:r>
        <w:rPr>
          <w:rFonts w:hint="eastAsia" w:ascii="宋体" w:hAnsi="宋体" w:cs="宋体"/>
          <w:color w:val="auto"/>
          <w:kern w:val="0"/>
          <w:sz w:val="24"/>
        </w:rPr>
        <w:t>谈判</w:t>
      </w:r>
      <w:r>
        <w:rPr>
          <w:rFonts w:hint="eastAsia" w:ascii="宋体" w:hAnsi="宋体"/>
          <w:color w:val="auto"/>
          <w:sz w:val="24"/>
          <w:szCs w:val="22"/>
        </w:rPr>
        <w:t>的，则可不提供）；</w:t>
      </w:r>
    </w:p>
    <w:p>
      <w:pPr>
        <w:adjustRightInd w:val="0"/>
        <w:spacing w:line="360" w:lineRule="auto"/>
        <w:ind w:left="1" w:firstLine="480" w:firstLineChars="200"/>
        <w:textAlignment w:val="baseline"/>
        <w:rPr>
          <w:rFonts w:ascii="宋体" w:hAnsi="宋体"/>
          <w:color w:val="auto"/>
          <w:sz w:val="24"/>
          <w:szCs w:val="22"/>
        </w:rPr>
      </w:pPr>
      <w:r>
        <w:rPr>
          <w:rFonts w:ascii="宋体" w:hAnsi="宋体"/>
          <w:color w:val="auto"/>
          <w:sz w:val="24"/>
          <w:szCs w:val="22"/>
        </w:rPr>
        <w:t>3. 参加本次政府采购活动前三年内，供应商单位及其现任法定代表人、主要负责人不得具有行贿犯罪记录（提供承诺函</w:t>
      </w:r>
      <w:r>
        <w:rPr>
          <w:rFonts w:hint="eastAsia" w:ascii="宋体" w:hAnsi="宋体"/>
          <w:color w:val="auto"/>
          <w:sz w:val="24"/>
        </w:rPr>
        <w:t>原件并加盖公章</w:t>
      </w:r>
      <w:r>
        <w:rPr>
          <w:rFonts w:ascii="宋体" w:hAnsi="宋体"/>
          <w:color w:val="auto"/>
          <w:sz w:val="24"/>
          <w:szCs w:val="22"/>
        </w:rPr>
        <w:t>，格式见第</w:t>
      </w:r>
      <w:r>
        <w:rPr>
          <w:rFonts w:hint="eastAsia" w:ascii="宋体" w:hAnsi="宋体"/>
          <w:color w:val="auto"/>
          <w:sz w:val="24"/>
          <w:lang w:eastAsia="zh-CN"/>
        </w:rPr>
        <w:t>六</w:t>
      </w:r>
      <w:r>
        <w:rPr>
          <w:rFonts w:ascii="宋体" w:hAnsi="宋体"/>
          <w:color w:val="auto"/>
          <w:sz w:val="24"/>
          <w:szCs w:val="22"/>
        </w:rPr>
        <w:t>章）；</w:t>
      </w:r>
    </w:p>
    <w:p>
      <w:pPr>
        <w:adjustRightInd w:val="0"/>
        <w:spacing w:line="360" w:lineRule="auto"/>
        <w:ind w:left="1" w:firstLine="480" w:firstLineChars="200"/>
        <w:textAlignment w:val="baseline"/>
        <w:rPr>
          <w:rFonts w:ascii="宋体" w:hAnsi="宋体"/>
          <w:color w:val="auto"/>
          <w:sz w:val="24"/>
          <w:szCs w:val="22"/>
        </w:rPr>
      </w:pPr>
      <w:r>
        <w:rPr>
          <w:rFonts w:ascii="宋体" w:hAnsi="宋体"/>
          <w:color w:val="auto"/>
          <w:sz w:val="24"/>
          <w:szCs w:val="22"/>
        </w:rPr>
        <w:t>4.</w:t>
      </w:r>
      <w:r>
        <w:rPr>
          <w:rFonts w:hint="eastAsia"/>
          <w:color w:val="auto"/>
        </w:rPr>
        <w:t xml:space="preserve"> </w:t>
      </w:r>
      <w:r>
        <w:rPr>
          <w:rFonts w:hint="eastAsia" w:ascii="宋体" w:hAnsi="宋体"/>
          <w:color w:val="auto"/>
          <w:sz w:val="24"/>
          <w:szCs w:val="22"/>
        </w:rPr>
        <w:t>列入失信被执行人、重大税收违法案件当事人名单、政府采购严重违法失信行为记录名单且禁止进入政府市场的处罚还在有效期内的供应商不得参与本次政府采购活动。相关主体信用记录以“ 信用中国” 网站（www.creditchina.gov.cn）、中国政府采购网（www.ccgp.gov.cn）、四川政府采购网（www.ccgp</w:t>
      </w:r>
      <w:r>
        <w:rPr>
          <w:rFonts w:ascii="宋体" w:hAnsi="宋体"/>
          <w:color w:val="auto"/>
          <w:sz w:val="24"/>
          <w:szCs w:val="22"/>
        </w:rPr>
        <w:t>-sichuan</w:t>
      </w:r>
      <w:r>
        <w:rPr>
          <w:rFonts w:hint="eastAsia" w:ascii="宋体" w:hAnsi="宋体"/>
          <w:color w:val="auto"/>
          <w:sz w:val="24"/>
          <w:szCs w:val="22"/>
        </w:rPr>
        <w:t>.gov.cn）等网站查询结果为准（供应商可以不在响应文件中提供信用记录查询结果，评审当天，代理机构工作人员将在有关网站查询供应商在首次响应文件递交截止时间前的信用信息记录，并将查询记录和证据存档；在“信用中国”网站未查询到公司基本信息的，查询时视为未被列入“信用中国”失信记录名单）。</w:t>
      </w:r>
    </w:p>
    <w:p>
      <w:pPr>
        <w:spacing w:line="360" w:lineRule="auto"/>
        <w:ind w:firstLine="481" w:firstLineChars="200"/>
        <w:rPr>
          <w:rFonts w:ascii="宋体" w:hAnsi="宋体"/>
          <w:b/>
          <w:color w:val="auto"/>
          <w:sz w:val="24"/>
        </w:rPr>
      </w:pPr>
      <w:r>
        <w:rPr>
          <w:rFonts w:hint="eastAsia" w:ascii="宋体" w:hAnsi="宋体"/>
          <w:b/>
          <w:color w:val="auto"/>
          <w:sz w:val="24"/>
        </w:rPr>
        <w:t>注：1、以上内容装订成资格性响应文件。2、以上要求提供的资格证明文件请加盖公章。3、证明材料的影印件、打印件与复印件具有同等效力。4、响应文件中根据采购文件要求提供的供应商的资格、资质性及其他类似效力要求的证明材料，均应在有效期内。如有效期已经届满，但根据国家或行业主管部门规定可以延期使用的，应在响应文件中另附可以延期使用的证明材料。5、相同的证明材料只需提供壹份。</w:t>
      </w:r>
    </w:p>
    <w:p>
      <w:pPr>
        <w:pStyle w:val="3"/>
        <w:pageBreakBefore/>
        <w:spacing w:beforeLines="100" w:afterLines="100" w:line="360" w:lineRule="auto"/>
        <w:jc w:val="center"/>
        <w:rPr>
          <w:rFonts w:asciiTheme="minorEastAsia" w:hAnsiTheme="minorEastAsia" w:eastAsiaTheme="minorEastAsia"/>
          <w:color w:val="auto"/>
          <w:sz w:val="36"/>
          <w:szCs w:val="36"/>
        </w:rPr>
      </w:pPr>
      <w:bookmarkStart w:id="140" w:name="_Toc534620562"/>
      <w:bookmarkStart w:id="141" w:name="_Toc534620652"/>
      <w:bookmarkStart w:id="142" w:name="_Toc534623368"/>
      <w:bookmarkStart w:id="143" w:name="_Toc534622144"/>
      <w:bookmarkStart w:id="144" w:name="_Toc981074626"/>
      <w:r>
        <w:rPr>
          <w:rFonts w:hint="eastAsia" w:ascii="宋体" w:hAnsi="宋体"/>
          <w:color w:val="auto"/>
          <w:sz w:val="36"/>
          <w:szCs w:val="36"/>
        </w:rPr>
        <w:t>第五章  采购项目</w:t>
      </w:r>
      <w:bookmarkEnd w:id="140"/>
      <w:bookmarkEnd w:id="141"/>
      <w:bookmarkEnd w:id="142"/>
      <w:bookmarkEnd w:id="143"/>
      <w:bookmarkStart w:id="145" w:name="_Toc534623369"/>
      <w:bookmarkStart w:id="146" w:name="_Toc534622145"/>
      <w:bookmarkStart w:id="147" w:name="_Toc534620653"/>
      <w:bookmarkStart w:id="148" w:name="_Toc534620563"/>
      <w:r>
        <w:rPr>
          <w:rFonts w:hint="eastAsia" w:ascii="宋体" w:hAnsi="宋体"/>
          <w:color w:val="auto"/>
          <w:sz w:val="36"/>
          <w:szCs w:val="36"/>
        </w:rPr>
        <w:t>技术、服务及其他商务</w:t>
      </w:r>
      <w:r>
        <w:rPr>
          <w:rFonts w:hint="eastAsia" w:asciiTheme="minorEastAsia" w:hAnsiTheme="minorEastAsia" w:eastAsiaTheme="minorEastAsia"/>
          <w:color w:val="auto"/>
          <w:sz w:val="36"/>
          <w:szCs w:val="36"/>
        </w:rPr>
        <w:t>要求</w:t>
      </w:r>
      <w:bookmarkEnd w:id="144"/>
      <w:bookmarkEnd w:id="145"/>
      <w:bookmarkEnd w:id="146"/>
      <w:bookmarkEnd w:id="147"/>
      <w:bookmarkEnd w:id="148"/>
    </w:p>
    <w:p>
      <w:pPr>
        <w:widowControl/>
        <w:spacing w:line="360" w:lineRule="auto"/>
        <w:ind w:firstLine="602" w:firstLineChars="200"/>
        <w:jc w:val="left"/>
        <w:rPr>
          <w:rFonts w:asciiTheme="minorEastAsia" w:hAnsiTheme="minorEastAsia"/>
          <w:b/>
          <w:color w:val="auto"/>
          <w:sz w:val="30"/>
          <w:szCs w:val="30"/>
        </w:rPr>
      </w:pPr>
      <w:r>
        <w:rPr>
          <w:rFonts w:hint="eastAsia" w:asciiTheme="minorEastAsia" w:hAnsiTheme="minorEastAsia"/>
          <w:b/>
          <w:color w:val="auto"/>
          <w:sz w:val="30"/>
          <w:szCs w:val="30"/>
        </w:rPr>
        <w:t>一、项目背景</w:t>
      </w:r>
    </w:p>
    <w:p>
      <w:pPr>
        <w:spacing w:line="360" w:lineRule="auto"/>
        <w:ind w:firstLine="480" w:firstLineChars="200"/>
        <w:rPr>
          <w:rFonts w:cstheme="minorBidi"/>
          <w:color w:val="auto"/>
          <w:sz w:val="24"/>
        </w:rPr>
      </w:pPr>
      <w:r>
        <w:rPr>
          <w:rFonts w:hint="eastAsia" w:cstheme="minorBidi"/>
          <w:color w:val="auto"/>
          <w:sz w:val="24"/>
        </w:rPr>
        <w:t>根据《水利工程质量管理规定》（水利部令第</w:t>
      </w:r>
      <w:r>
        <w:rPr>
          <w:rFonts w:hint="eastAsia" w:cstheme="minorBidi"/>
          <w:color w:val="auto"/>
          <w:sz w:val="24"/>
          <w:lang w:val="en-US" w:eastAsia="zh-CN"/>
        </w:rPr>
        <w:t>52</w:t>
      </w:r>
      <w:r>
        <w:rPr>
          <w:rFonts w:hint="eastAsia" w:cstheme="minorBidi"/>
          <w:color w:val="auto"/>
          <w:sz w:val="24"/>
        </w:rPr>
        <w:t>号）第</w:t>
      </w:r>
      <w:r>
        <w:rPr>
          <w:rFonts w:hint="eastAsia" w:cstheme="minorBidi"/>
          <w:color w:val="auto"/>
          <w:sz w:val="24"/>
          <w:lang w:eastAsia="zh-CN"/>
        </w:rPr>
        <w:t>五十五</w:t>
      </w:r>
      <w:r>
        <w:rPr>
          <w:rFonts w:hint="eastAsia" w:cstheme="minorBidi"/>
          <w:color w:val="auto"/>
          <w:sz w:val="24"/>
        </w:rPr>
        <w:t>条规定：县级以上人民政府水行政主管部门、流域管理机构、受委托的水利工程质量监督机构履行监督检查职责时，依法采取下列措施： 进入被监督检查工程现场和其他相关场所进行检查、抽样检测等。针对我</w:t>
      </w:r>
      <w:r>
        <w:rPr>
          <w:rFonts w:hint="eastAsia" w:cstheme="minorBidi"/>
          <w:color w:val="auto"/>
          <w:sz w:val="24"/>
          <w:lang w:eastAsia="zh-CN"/>
        </w:rPr>
        <w:t>市</w:t>
      </w:r>
      <w:r>
        <w:rPr>
          <w:rFonts w:hint="eastAsia" w:cstheme="minorBidi"/>
          <w:color w:val="auto"/>
          <w:sz w:val="24"/>
        </w:rPr>
        <w:t>水利建设工程点多面广，型式多种多样，条件错综复杂，为加强我</w:t>
      </w:r>
      <w:r>
        <w:rPr>
          <w:rFonts w:hint="eastAsia" w:cstheme="minorBidi"/>
          <w:color w:val="auto"/>
          <w:sz w:val="24"/>
          <w:lang w:eastAsia="zh-CN"/>
        </w:rPr>
        <w:t>市</w:t>
      </w:r>
      <w:r>
        <w:rPr>
          <w:rFonts w:hint="eastAsia" w:cstheme="minorBidi"/>
          <w:color w:val="auto"/>
          <w:sz w:val="24"/>
        </w:rPr>
        <w:t>水利工程建设质量监督工作，非常有必要开展水利工程建设质量监督检测工作。</w:t>
      </w:r>
    </w:p>
    <w:p>
      <w:pPr>
        <w:spacing w:line="360" w:lineRule="auto"/>
        <w:ind w:firstLine="481"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二、服务内容及要求</w:t>
      </w:r>
    </w:p>
    <w:p>
      <w:pPr>
        <w:spacing w:line="360" w:lineRule="auto"/>
        <w:ind w:firstLine="480" w:firstLineChars="200"/>
        <w:rPr>
          <w:rFonts w:cstheme="minorBidi"/>
          <w:color w:val="auto"/>
          <w:sz w:val="24"/>
        </w:rPr>
      </w:pPr>
      <w:r>
        <w:rPr>
          <w:rFonts w:hint="eastAsia" w:cstheme="minorBidi"/>
          <w:color w:val="auto"/>
          <w:sz w:val="24"/>
        </w:rPr>
        <w:t>（一）、服务内容</w:t>
      </w:r>
    </w:p>
    <w:p>
      <w:pPr>
        <w:spacing w:line="360" w:lineRule="auto"/>
        <w:ind w:firstLine="480" w:firstLineChars="200"/>
        <w:rPr>
          <w:rFonts w:cstheme="minorBidi"/>
          <w:color w:val="auto"/>
          <w:sz w:val="24"/>
        </w:rPr>
      </w:pPr>
      <w:r>
        <w:rPr>
          <w:rFonts w:hint="eastAsia" w:cstheme="minorBidi"/>
          <w:color w:val="auto"/>
          <w:sz w:val="24"/>
        </w:rPr>
        <w:t>202</w:t>
      </w:r>
      <w:r>
        <w:rPr>
          <w:rFonts w:hint="eastAsia" w:cstheme="minorBidi"/>
          <w:color w:val="auto"/>
          <w:sz w:val="24"/>
          <w:lang w:val="en-US" w:eastAsia="zh-CN"/>
        </w:rPr>
        <w:t>4</w:t>
      </w:r>
      <w:r>
        <w:rPr>
          <w:rFonts w:hint="eastAsia" w:cstheme="minorBidi"/>
          <w:color w:val="auto"/>
          <w:sz w:val="24"/>
        </w:rPr>
        <w:t>年水利工程建设质量监督检测服务。</w:t>
      </w:r>
    </w:p>
    <w:p>
      <w:pPr>
        <w:spacing w:line="360" w:lineRule="auto"/>
        <w:ind w:firstLine="480" w:firstLineChars="200"/>
        <w:rPr>
          <w:rFonts w:cstheme="minorBidi"/>
          <w:color w:val="auto"/>
          <w:sz w:val="24"/>
        </w:rPr>
      </w:pPr>
      <w:r>
        <w:rPr>
          <w:rFonts w:hint="eastAsia" w:cstheme="minorBidi"/>
          <w:color w:val="auto"/>
          <w:sz w:val="24"/>
        </w:rPr>
        <w:t>（二）、服务要求</w:t>
      </w:r>
    </w:p>
    <w:p>
      <w:pPr>
        <w:spacing w:line="360" w:lineRule="auto"/>
        <w:ind w:firstLine="199" w:firstLineChars="83"/>
        <w:rPr>
          <w:rFonts w:cstheme="minorBidi"/>
          <w:color w:val="auto"/>
          <w:sz w:val="24"/>
        </w:rPr>
      </w:pPr>
      <w:r>
        <w:rPr>
          <w:rFonts w:hint="eastAsia" w:cstheme="minorBidi"/>
          <w:color w:val="auto"/>
          <w:sz w:val="24"/>
        </w:rPr>
        <w:t>1、监督检查技术要求</w:t>
      </w:r>
    </w:p>
    <w:p>
      <w:pPr>
        <w:numPr>
          <w:ilvl w:val="0"/>
          <w:numId w:val="2"/>
        </w:numPr>
        <w:spacing w:line="360" w:lineRule="auto"/>
        <w:ind w:firstLine="480" w:firstLineChars="200"/>
        <w:rPr>
          <w:rFonts w:ascii="Calibri" w:hAnsi="Calibri"/>
          <w:color w:val="auto"/>
          <w:sz w:val="24"/>
        </w:rPr>
      </w:pPr>
      <w:r>
        <w:rPr>
          <w:rFonts w:hint="eastAsia" w:ascii="Calibri" w:hAnsi="Calibri"/>
          <w:color w:val="auto"/>
          <w:sz w:val="24"/>
        </w:rPr>
        <w:t>《水利工程质量管理规定》（水利部令第</w:t>
      </w:r>
      <w:r>
        <w:rPr>
          <w:rFonts w:hint="eastAsia" w:ascii="Calibri" w:hAnsi="Calibri"/>
          <w:color w:val="auto"/>
          <w:sz w:val="24"/>
          <w:lang w:val="en-US" w:eastAsia="zh-CN"/>
        </w:rPr>
        <w:t>52</w:t>
      </w:r>
      <w:r>
        <w:rPr>
          <w:rFonts w:hint="eastAsia" w:ascii="Calibri" w:hAnsi="Calibri"/>
          <w:color w:val="auto"/>
          <w:sz w:val="24"/>
        </w:rPr>
        <w:t>号）；</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《水利工程质量检测管理规定》（水利部令第36号）</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《水利工程质量检测技术规程》（SL 734-2016）</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《水利水电工程施工质量检验与评定规程》（SL 176-2007）</w:t>
      </w:r>
      <w:r>
        <w:rPr>
          <w:rFonts w:hint="eastAsia" w:ascii="Calibri" w:hAnsi="Calibri"/>
          <w:color w:val="auto"/>
          <w:sz w:val="24"/>
        </w:rPr>
        <w:t>；</w:t>
      </w:r>
    </w:p>
    <w:p>
      <w:pPr>
        <w:numPr>
          <w:ilvl w:val="0"/>
          <w:numId w:val="2"/>
        </w:numPr>
        <w:spacing w:line="360" w:lineRule="auto"/>
        <w:ind w:firstLine="480" w:firstLineChars="200"/>
        <w:rPr>
          <w:rFonts w:ascii="Calibri" w:hAnsi="Calibri"/>
          <w:color w:val="auto"/>
          <w:sz w:val="24"/>
        </w:rPr>
      </w:pPr>
      <w:r>
        <w:rPr>
          <w:rFonts w:ascii="Calibri" w:hAnsi="Calibri"/>
          <w:color w:val="auto"/>
          <w:sz w:val="24"/>
        </w:rPr>
        <w:t>《四川省土石坝施工质量第三方检测规范》（DB</w:t>
      </w:r>
      <w:r>
        <w:rPr>
          <w:rFonts w:hint="eastAsia" w:ascii="宋体" w:hAnsi="宋体" w:cs="宋体"/>
          <w:color w:val="auto"/>
          <w:sz w:val="24"/>
        </w:rPr>
        <w:t>∕</w:t>
      </w:r>
      <w:r>
        <w:rPr>
          <w:rFonts w:ascii="Calibri" w:hAnsi="Calibri" w:cs="Calibri"/>
          <w:color w:val="auto"/>
          <w:sz w:val="24"/>
        </w:rPr>
        <w:t>T 51-2202-2016)</w:t>
      </w:r>
      <w:r>
        <w:rPr>
          <w:rFonts w:hint="eastAsia" w:ascii="Calibri" w:hAnsi="Calibri"/>
          <w:color w:val="auto"/>
          <w:sz w:val="24"/>
        </w:rPr>
        <w:t>。</w:t>
      </w:r>
    </w:p>
    <w:p>
      <w:pPr>
        <w:spacing w:line="360" w:lineRule="auto"/>
        <w:ind w:firstLine="199" w:firstLineChars="83"/>
        <w:rPr>
          <w:rFonts w:cstheme="minorBidi"/>
          <w:color w:val="auto"/>
          <w:sz w:val="24"/>
        </w:rPr>
      </w:pPr>
      <w:r>
        <w:rPr>
          <w:rFonts w:cstheme="minorBidi"/>
          <w:color w:val="auto"/>
          <w:sz w:val="24"/>
        </w:rPr>
        <w:t>2、检测限价表</w:t>
      </w:r>
    </w:p>
    <w:p>
      <w:pPr>
        <w:spacing w:line="500" w:lineRule="exact"/>
        <w:ind w:firstLine="624" w:firstLineChars="195"/>
        <w:rPr>
          <w:rFonts w:hint="eastAsia" w:ascii="Calibri" w:hAnsi="Calibri" w:eastAsia="宋体"/>
          <w:color w:val="auto"/>
          <w:sz w:val="24"/>
          <w:lang w:val="en-US" w:eastAsia="zh-CN"/>
        </w:rPr>
      </w:pPr>
      <w:r>
        <w:rPr>
          <w:rFonts w:hint="eastAsia" w:ascii="仿宋_GB2312" w:hAnsi="仿宋_GB2312" w:eastAsia="仿宋_GB2312" w:cs="仿宋_GB2312"/>
          <w:color w:val="auto"/>
          <w:sz w:val="32"/>
          <w:szCs w:val="32"/>
          <w:lang w:val="en-US" w:eastAsia="zh-CN"/>
        </w:rPr>
        <w:t xml:space="preserve">2.1 </w:t>
      </w:r>
      <w:r>
        <w:rPr>
          <w:rFonts w:hint="eastAsia" w:ascii="Calibri" w:hAnsi="Calibri" w:eastAsia="宋体"/>
          <w:color w:val="auto"/>
          <w:sz w:val="24"/>
          <w:lang w:val="en-US" w:eastAsia="zh-CN"/>
        </w:rPr>
        <w:t>原材料、中间产品及构（部）件监督检测内容、项目及限价表：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506"/>
        <w:gridCol w:w="1327"/>
        <w:gridCol w:w="3647"/>
        <w:gridCol w:w="61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工程名称</w:t>
            </w:r>
          </w:p>
        </w:tc>
        <w:tc>
          <w:tcPr>
            <w:tcW w:w="155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原材料种类及名称</w:t>
            </w:r>
          </w:p>
        </w:tc>
        <w:tc>
          <w:tcPr>
            <w:tcW w:w="20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检测项目</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计价单位</w:t>
            </w:r>
          </w:p>
        </w:tc>
        <w:tc>
          <w:tcPr>
            <w:tcW w:w="46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名称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种类/规格</w:t>
            </w:r>
          </w:p>
        </w:tc>
        <w:tc>
          <w:tcPr>
            <w:tcW w:w="20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岩土工程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防渗料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颗粒分析，土粒比重，天然密度，天然含水率，液限塑限，（最大干密，最优含水率），有机质含量，水溶盐，PH值，分散性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砂砾石</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填料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颗粒分析，颗粒比重、密度，含泥量，砂砾颗粒母岩矿物成分，砾石块抗压强度（干、饱和、冻融）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堆石料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砌石料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土工布</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单位面积质量，厚度，拉伸强度，撕裂强度，CBR顶破强度，伸长率，垂直渗透系数，等效孔径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复合土工膜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单位面积质量、厚度、密度、 拉伸强度、断裂伸长率、撕裂强度、胀破强度、顶破强度、刺破强度、渗透系数、抗渗强度、焊接强度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土工格栅</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尺寸偏差、炭含量、拉伸强度、标称伸长率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普通硅酸盐水泥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细度、标准稠度用水量、凝结时间、安定性、胶砂强度（抗压强度、抗折强度）、比表面积、烧失量、三氧化硫</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表观密度、细度模数、石粉含量、表面含水率，泥块含量、坚固性，硫化物及硫酸盐含量、云母含量，轻物质含量，有机质含量，亚甲蓝MB值。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表观密度、细度模数、表面含水率、含泥量、坚固性、泥块含量、硫化物及硫酸盐含量、云母含量、轻物质含量、有机质含量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速凝剂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引气剂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减水率、泌水率比、含气量、凝结时间差、抗压强度比、收缩率比、相对耐久性，含气量1h经时变化量。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F粉煤灰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Ⅰ级灰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拌和水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SO42-含量、CL-含量、PH值、不溶物和可溶物、碱含量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表面质量、公称直径、公称质量、屈服强度、抗拉强度、断后伸长率。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外观、拉伸、弯曲、搭接焊搭接长度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几何尺寸、抗拉强度、扯断伸长率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焊接外观，搭接长度，抗拉强度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几何尺寸、硬度（邵尔A）、拉伸强度、扯断伸长率、撕裂强度、压缩永久变形、老化性能。</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橡胶止水粘结</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粘结外观，粘结长度，拉伸强度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聚乙烯闭孔泡沫板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表观密度、抗拉强度、抗压强度、撕裂伸长率、撕裂强度、加热变形、吸水率、硬度、压缩永久变形</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沥青杉板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规格、控制水份、沥青浸泡或涮涂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混凝土试块</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抗冲磨强度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心样抗压强度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喷射混凝土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45"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针入度、针入度指数PIc、软化点R＆B、60。C动力黏度、10。C延度、含蜡量（蒸馏法）、闪点、溶解度、密度、薄膜加热后质量变化、薄膜加热后残留针入度比（25。C）、薄膜加热后残留延度10。C</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超逊径率、表观密度、吸水率、含泥量、针片状颗粒含量、压碎率、坚固性、与沥青粘附性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超径率、表观密度、吸水率、含水率、含泥量、级配、坚固性、有机质含量、水稳定等级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沥青砼填料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密度，含水率，细度，亲水系数</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沥青砼掺料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按产品相应的技术标准。木质素纤维掺料【纤维长度，灰分含量，pH值，吸油率，含水率】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沥青混凝土混合料马歇尔试件</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（最大）密度，密度，渗透系数，斜坡流淌值，单轴压缩，小梁弯曲，静三轴</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管道安装</w:t>
            </w: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压力钢管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污点，斑点，绣蚀、破损，管口平面度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结构尺寸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外径，内径，壁厚，周长差，钢管纵缝对口径向错边量，钢管环缝对口径向错边，圆度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防腐层厚度，防腐层附着力</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裂纹、焊瘤、飞溅、电弧擦伤、夹渣、咬边、表面气孔、错边量、焊缝边缘直线度、焊缝（未焊满、焊缝余高、焊缝宽度）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焊缝探伤</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焊缝超声探伤</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1条</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球墨铸铁管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裂纹，重皮，管的外涂层与内衬</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外径，内径，壁厚，（承插管、法兰接口管）长度，直线度，插口壁厚，插口外径，承口功能性内径，承口深度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预应力钢筒混凝土管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管外观质量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水泥砂浆保护层，管芯混凝土内壁，承插口端面混凝土，承口工作面，插口工作面，管体裂缝（内壁裂缝、水泥砂保护层）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管子内径，管节长度，承口工作面内径，插口工作面外径，承口深度，插口长度，承插口椭圆度，承插口端面倾斜度，水泥砂浆保护层厚度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内压抗裂性能，外压抗裂性能，管芯混凝土抗压强度，保护层水泥砂浆抗压强度，保护层水泥砂浆吸水率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1851</w:t>
            </w:r>
          </w:p>
        </w:tc>
      </w:tr>
    </w:tbl>
    <w:p>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ascii="宋体" w:hAnsi="宋体" w:eastAsia="宋体"/>
          <w:color w:val="auto"/>
          <w:sz w:val="24"/>
          <w:lang w:eastAsia="zh-CN"/>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pPr>
        <w:spacing w:line="500" w:lineRule="exact"/>
        <w:ind w:firstLine="468" w:firstLineChars="195"/>
        <w:rPr>
          <w:rFonts w:hint="eastAsia" w:ascii="Calibri" w:hAnsi="Calibri" w:eastAsia="宋体"/>
          <w:color w:val="auto"/>
          <w:sz w:val="24"/>
          <w:lang w:val="en-US" w:eastAsia="zh-CN"/>
        </w:rPr>
      </w:pPr>
      <w:r>
        <w:rPr>
          <w:rFonts w:hint="eastAsia" w:ascii="Calibri" w:hAnsi="Calibri" w:eastAsia="宋体"/>
          <w:color w:val="auto"/>
          <w:sz w:val="24"/>
          <w:lang w:val="en-US" w:eastAsia="zh-CN"/>
        </w:rPr>
        <w:t>2.2工程实体监督检测主要内容、项目及限价表：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901"/>
        <w:gridCol w:w="1227"/>
        <w:gridCol w:w="3233"/>
        <w:gridCol w:w="1185"/>
        <w:gridCol w:w="87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工程名称</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单元</w:t>
            </w:r>
          </w:p>
        </w:tc>
        <w:tc>
          <w:tcPr>
            <w:tcW w:w="309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检测内容、项目及数量</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计价单位</w:t>
            </w:r>
          </w:p>
        </w:tc>
        <w:tc>
          <w:tcPr>
            <w:tcW w:w="51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检测项目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检测数量</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地基处理及支护</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固结灌浆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声波测试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弹性波速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帷幕灌浆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孔位偏差，孔深，孔径，孔序，检查孔单孔压浆试验或双孔连通试验监测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压浆监测1孔或1对孔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锚喷支护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锚杆锚孔及喷层</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锚杆（规格及数量、长度、抗拔力），锚孔（间距，孔斜)，钢筋网格间距，喷射，喷护面平整度，混凝土抗压强度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其他3点或根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钻孔参数、钢筋笼及桩</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钻孔（孔位偏差、孔深、孔底沉渣厚度），钢筋笼（主筋长度、主筋直径、主筋间距、箍筋直径、箍筋间距），桩（桩顶直径、桩顶高程、桩身完整性）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桩1根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岩土工程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边界清理，基坑（槽）尺寸，建基面高程，边坡坡度及台阶宽度，建基面质量（参照地质编录或波速检测），松动岩块清理，孔洞处理，基面平整度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岸坡清理边界，开挖岸坡坡度及台阶宽度，岸坡坡面质量（参照地质编录或波速检测），松动岩块清理，反坡处理，孔洞处理，坡面平整度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洞室</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开挖断面尺寸，底板高程，轴线偏差，围岩质量（参照地质编录或波速检测），松动岩块清理，孔洞处理，洞面平整度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土料填筑料（防渗料）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填筑干密度、颗粒分析，土粒比重，天然密度，天然含水率，液限塑限，击实（最大干密，最优含水率）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砂卵石料(包括反滤料）填筑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填筑干密度、级配（最大粒径、≤5mm含量、≤0.075mm含量）、比重、（最大、最小）密度、相对密度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软岩堆石料（包括石渣料、砾石土防渗料）填筑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填筑干密度，级配（最大粒径、≤5mm含量、≤0.075mm含量），比重，击实（最大干密度、最优含水率）或表面振动器法（最大、最小）干密度，压实度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（硬岩）堆石料填筑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填筑干密度，级配（最大粒径、≤5mm含量、≤0.075mm含量），比重，表面振动器法（最大、最小）干密度，孔隙率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错缝竖砌，石块紧靠、垫塞稳固，大块压边。砂浆勾缝平顺、饱满。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几何尺寸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表面平整度、厚度、坡度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浆砌石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塞缝饱满，砌缝密实，无架空，平缝缝宽，竖缝缝宽、试坑容重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混凝土预制块护坡砌筑</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混凝土砌块</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外观（表面平整、无掉角、断裂），强度、尺寸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平整、稳固、缝线规则、塞缝饱满，砌缝密实、表面平整度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土工膜芯墙</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外观检查（孔洞、气泡、细点、取样试验），与混凝土防渗墙连接，铺设检查（“之”字形褶皱高度、铺设平顺，松紧度）， 焊接质量检测（焊接方式，焊接宽度、虚焊、漏焊、取样试验），与坝顶结构连接</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土工格栅护坡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土工格栅（种类、规格、网孔边长），清理下承层，铺设（铺放位置、范围、平整度、拉紧、起皱、绑扎、固定），搭接宽度，摊铺上层路基土，碾压（密实度、平整度、顶面高程、尺寸）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PVC排水管</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排水管（直径、长度、进水口土工布包扎），排水管安装（排距、孔距、倾斜）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混凝土结构</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分缝止水</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造孔质量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成桩质量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混抗压强度试件、抗渗等级试件、桩顶高、桩顶直径</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双孔对穿声波</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3个剖面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低应变</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混凝土防渗墙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槽孔质量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成墙质量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混抗压强度试件、抗渗等级试件、墙顶高、墙顶厚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检查孔</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心样抗压强度、透水率监测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单孔声波、双孔弹性波成像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1孔或1对/（30m以内）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沥青混凝土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芯墙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中心线偏差，宽度，厚度，外观缺陷、表面平整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量测3个断面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渗气检测或核子密度检测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1点/10～ 30m长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密度、孔隙率、渗透系数、沥青含量、矿料级配，抗压强度，小梁弯曲，三轴强度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VC值，骨料分离情况，两个碾压层间隔时间，混凝土加水拌和至碾压完毕时间，入仓温度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碾压效率，激振力，滚筒尺寸，振动频率、 振幅，行走速度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试块抗压强度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表观密度（核子水分密度仪或压实密度计）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３点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成缝方式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机具切制或设置诱导孔或设置填缝材料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横缝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缝面位置，缝的结构形式，缝内填充材料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钻孔压水试验监测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167"/>
                <w:color w:val="auto"/>
                <w:lang w:val="en-US" w:eastAsia="zh-CN" w:bidi="ar"/>
              </w:rPr>
              <w:t>钻孔压水（≥2孔/每块段）（≥2段/10000m</w:t>
            </w:r>
            <w:r>
              <w:rPr>
                <w:rStyle w:val="164"/>
                <w:color w:val="auto"/>
                <w:lang w:val="en-US" w:eastAsia="zh-CN" w:bidi="ar"/>
              </w:rPr>
              <w:t>3</w:t>
            </w:r>
            <w:r>
              <w:rPr>
                <w:rStyle w:val="167"/>
                <w:color w:val="auto"/>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3段/1孔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孔内电视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钻孔电视：（≥2孔/每块段）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孔内声波</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钻孔声波：（≥2孔/每块段）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钻孔心样编录：RQD、层间接触、空腔或气泡数等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代表心样取样试验（性能检测）：抗压、劈拉（10个/组）【块石体积比在1/3-1/4范围内】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管道安装</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土石方与地基处理</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沟槽开挖与支护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尺寸（槽底高程，槽底中线，每侧宽度，沟槽边坡），支撑（材料、强度、刚度、稳定），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原状地基土：扰动、水浸泡或受冻，地基类型（地质编录），承载力（动力触探法）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混凝土基础：混凝土强度，厚度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砂石基础：砂石颗粒级配，填筑厚度，压实度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沟槽回填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回填料颗料级配，回填高程，表面应平整，回填料压实度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试验1组/每层</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钢管安装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焊接接口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裂纹、焊瘤、飞溅、电弧擦伤、夹渣、咬边、表面气孔、错边量、焊缝边缘直线度、焊缝（未焊满、焊缝余高、焊缝宽度）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球墨铸铁管安装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承插口连接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两管节中轴线应保持同心，承口插口（破损、变形、开裂），插口推入深度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预应力钢筒混凝土管安装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橡胶圈（位置、无扭曲、外露），承口 插口（破损、开裂），双道橡胶圈的</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单口水压试验</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水泥砂浆抗压强度，混凝土试块抗压强度，外观（开裂、空鼓、脱落），接口的宽度，接口的填缝（密实、光洁、平整）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钢筋混凝土管桥</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类型、外观</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钢筋混凝土镇支墩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(砖)砌筑井室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边角整齐，色泽均匀，尺寸，抗压强度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其他10块</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内外搭砌，上下错缝，灰缝横平竖直，厚薄均匀，塞缝饱满，砌筑砂浆抗压强度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井室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断面尺寸，顶、底高程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水工建筑物结构尺寸</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大坝结构尺寸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顶高程、宽度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泄洪建筑物结构尺寸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消力池</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墙顶高程、底板高程、坡度、宽度、长度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引水建筑物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过水建筑物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渠顶高程、底板高程、轴线偏差、坡度、渠顶宽、渠底宽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闸底板高程、闸顶高程、轴线偏差、坡度、过流断面尺寸、宽度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输水管道底板高程，轴线偏差，纵向坡度，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护坡及挡墙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面板</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坡比，块段尺寸，厚度、轴线偏差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框格梁</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坡比，框格梁截面尺寸，梁尺寸，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重力式挡墙</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墙高、墙顶宽、墙底宽、墙底坡角、墙背倾角、轴线偏差、墙基埋深</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排架结构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柱距，跨度，净高，柱截面尺寸，梁截面尺寸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拱式结构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跨度，矢跨比，净高，拱圈截面尺寸，拱上结构截面尺寸，拱肋数</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重力墩截面尺寸，重力墩高，墩帽结构尺寸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独立基础</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基础截面尺寸，高度，台阶尺寸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金属结构</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外观和运行情况检测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闸门门体外观情况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门体的变形、扭曲等；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主梁、支臂、纵梁、边梁、小横梁、面板等构件的损伤、变形等；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主要受力焊缝的表面缺陷；</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连接螺栓的损伤、 变形、 缺件及紧固状况等；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闸门支承行走装置外观情况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闸门主轮( 滑道) 、侧向支承、反向支承的转动、 润滑、磨损、表面裂纹、损伤、缺件状况等；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闸门支铰的转动、润滑状况．支铰的变形、损伤状况；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人字闸门顶枢、底枢的转动、润滑及腐蚀状况。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闸门吊杆、吊耳外观检测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吊杆的损伤和变形，吊杆之间的连接状况；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吊耳的损伤和变形，吊耳与闸门的连接状况；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吊杆与吊耳的连接状况；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闸门止水装置外观情况；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柔性止水的磨损、老化、龟裂、破损、脱落等；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刚性止水的磨蚀、变形等；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止水压板、垫板、挡板的损伤、变形、缺件及腐蚀状况等；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螺栓的损伤、变形、缺件、紧固状况等。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闸门埋件外观情况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主轨、侧轨、反轨、止水座板、闸槽护角的磨损、脱落、错位等；铰座的表面缺陷、损伤等；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底槛的变形 损伤、错位等；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门楣、钢胸墙的变形、磨损、错位等；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闸门平压设备（充水阀或旁通阀） 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设备的完整性及操作方便性；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吊杆和阀体的变形、损伤及腐蚀状况等。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闸门锁定装置外观情况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锁定装置的操作方便性和灵活性；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锁定装置的变形、损伤、缺件状况等。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固定卷扬式启闭机运行情况检测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 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门架( 桥架) 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制动器检测应包括制动轮表面缺陷、粗糙度、硬度及腐蚀状况检测等。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减速器检测应包括齿轮副的啮合状况检测，齿面缺陷、损伤、磨损、腐蚀、胶合状况检测；减速器的油质、油量、渗漏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 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车轮检测应包括裂纹、磨损、龟裂、起皮等缺陷检测。车轮磨损严重时，应进行踏面硬度检测。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轨道检测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轨道检测应包括轨距、侧向弯曲、轨面高差、接头间隙和错位检测等。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机架检测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机架检测应包括损伤、变形、焊缝表面缺陷、腐蚀状况及机架与基础的固定状况检测。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液压缸检测应包括缸体和缸盖的表面缺陷、损伤、变形、腐蚀状况检测等。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活塞杆检测应包括表面缺陷、磨损、变形、腐蚀状况检测等。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液压系统检测应包括油箱、油泵、阀件、 管路的泄漏检测，阀件、仪表的灵敏度、 准确度检测等。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液压缸泄漏检测应包括外部泄漏检测和内部泄漏检测。液压缸不应出现外部泄漏现象；因液压缸内部泄漏引起的闸门沉降量，在24h内不应大于100mm。</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机箱和机座检测应包括表面缺陷、裂缝、损伤、腐蚀状况检测和潺油检查等。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螺杆和螺母、蜗杆和蜗轮检测应包括表面缺陷、裂纹、变形、损伤、磨损及润滑状况检测等。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手动机构检测应包括完整性和可操作性检测。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电气设备和保护装置运行情况检测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接地可靠性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启闭机电气设备和供配电线路的绝缘及接地系统应进行可靠性检测。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电缆敷设</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启闭机动力线路及控制保护、操作系统的电缆线路等应进行敷设状况和老化状况检测。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启闭机的现地控制设备或集中监控设备应进行设备完整性检测。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启闭机荷载限制装置、行程控制装置、开度指示装置及仪表显示装置等应进行设备完整性检测。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移动式启闭机缓冲器、夹轨器、锚定装置、风速仪、避雷器等应进行完整性检测。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焊缝质量</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焊缝外观质量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裂纹、焊瘤、飞溅、电弧擦伤、夹渣、咬边、表面气孔、错边量、焊缝边缘直线度、对接焊缝（未焊满、焊缝余高、焊缝宽度），角焊缝（角焊缝厚度不足、焊脚、焊脚不对称），端部转角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焊缝内部质量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受力焊缝超声探伤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1000mm/3条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防腐层</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麻点、起泡、裂纹、脱落、碰伤、划痕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层厚、附着力或结合强度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层厚5点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设计工况启闭力检测。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启闭力检测应包括启门力检测、闭门力检测和持住力检测。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启闭机运行状况检测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启闭机运行状况检测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启闭机的运行噪音；</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制动器的制动性能；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滑轮组的转动灵活性；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双吊点启闭机的同步偏差；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闭合半开3点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移动式启闭机的行走状况；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荷载限制装置、行程控制装置、开度指示装置的精度及运行可靠性；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移动式启闭机缓冲器、风速仪、夹轨器、锚定装置的运行可靠性；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电动机的电流、电压、温升、转速；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空满载2次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现地控制设备或集中监控设备的运行可靠性。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468</w:t>
            </w:r>
          </w:p>
        </w:tc>
      </w:tr>
    </w:tbl>
    <w:p>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cs="黑体" w:asciiTheme="minorEastAsia" w:hAnsiTheme="minorEastAsia" w:eastAsiaTheme="minorEastAsia"/>
          <w:bCs/>
          <w:color w:val="auto"/>
          <w:sz w:val="24"/>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pPr>
        <w:spacing w:line="360" w:lineRule="auto"/>
        <w:ind w:firstLine="480" w:firstLineChars="200"/>
        <w:rPr>
          <w:rFonts w:cs="黑体" w:asciiTheme="minorEastAsia" w:hAnsiTheme="minorEastAsia" w:eastAsiaTheme="minorEastAsia"/>
          <w:bCs/>
          <w:color w:val="auto"/>
          <w:sz w:val="24"/>
        </w:rPr>
      </w:pPr>
      <w:r>
        <w:rPr>
          <w:rFonts w:hint="eastAsia" w:cs="黑体" w:asciiTheme="minorEastAsia" w:hAnsiTheme="minorEastAsia" w:eastAsiaTheme="minorEastAsia"/>
          <w:bCs/>
          <w:color w:val="auto"/>
          <w:sz w:val="24"/>
        </w:rPr>
        <w:t>2.3 供应商应按照限价作统一的折扣率报价。</w:t>
      </w:r>
    </w:p>
    <w:p>
      <w:pPr>
        <w:spacing w:line="360" w:lineRule="auto"/>
        <w:ind w:firstLine="199" w:firstLineChars="83"/>
        <w:rPr>
          <w:rFonts w:cstheme="minorBidi"/>
          <w:color w:val="auto"/>
          <w:sz w:val="24"/>
        </w:rPr>
      </w:pPr>
      <w:r>
        <w:rPr>
          <w:rFonts w:hint="eastAsia" w:cstheme="minorBidi"/>
          <w:color w:val="auto"/>
          <w:sz w:val="24"/>
        </w:rPr>
        <w:t>3、检测工作及报告要求</w:t>
      </w:r>
    </w:p>
    <w:p>
      <w:pPr>
        <w:numPr>
          <w:ilvl w:val="0"/>
          <w:numId w:val="3"/>
        </w:numPr>
        <w:spacing w:line="360" w:lineRule="auto"/>
        <w:ind w:firstLine="480" w:firstLineChars="200"/>
        <w:rPr>
          <w:rFonts w:ascii="Calibri" w:hAnsi="Calibri"/>
          <w:color w:val="auto"/>
          <w:sz w:val="24"/>
        </w:rPr>
      </w:pPr>
      <w:r>
        <w:rPr>
          <w:rFonts w:hint="eastAsia" w:ascii="Calibri" w:hAnsi="Calibri"/>
          <w:color w:val="auto"/>
          <w:sz w:val="24"/>
        </w:rPr>
        <w:t>检测单位及检测工作应符合</w:t>
      </w:r>
      <w:r>
        <w:rPr>
          <w:rFonts w:ascii="Calibri" w:hAnsi="Calibri"/>
          <w:color w:val="auto"/>
          <w:sz w:val="24"/>
        </w:rPr>
        <w:t>《水利工程质量检测管理规定》（水利部令第36号）</w:t>
      </w:r>
      <w:r>
        <w:rPr>
          <w:rFonts w:hint="eastAsia" w:ascii="Calibri" w:hAnsi="Calibri"/>
          <w:color w:val="auto"/>
          <w:sz w:val="24"/>
        </w:rPr>
        <w:t>的规定；</w:t>
      </w:r>
    </w:p>
    <w:p>
      <w:pPr>
        <w:numPr>
          <w:ilvl w:val="0"/>
          <w:numId w:val="3"/>
        </w:numPr>
        <w:spacing w:line="360" w:lineRule="auto"/>
        <w:ind w:firstLine="480" w:firstLineChars="200"/>
        <w:rPr>
          <w:rFonts w:ascii="Calibri" w:hAnsi="Calibri"/>
          <w:color w:val="auto"/>
          <w:sz w:val="24"/>
        </w:rPr>
      </w:pPr>
      <w:r>
        <w:rPr>
          <w:rFonts w:hint="eastAsia" w:ascii="Calibri" w:hAnsi="Calibri"/>
          <w:color w:val="auto"/>
          <w:sz w:val="24"/>
        </w:rPr>
        <w:t>水利工程建设质量监督检测报告基本应满足</w:t>
      </w:r>
      <w:r>
        <w:rPr>
          <w:rFonts w:ascii="Calibri" w:hAnsi="Calibri"/>
          <w:color w:val="auto"/>
          <w:sz w:val="24"/>
        </w:rPr>
        <w:t>《水利工程质量检测技术规程》（SL 734-2016）</w:t>
      </w:r>
      <w:r>
        <w:rPr>
          <w:rFonts w:hint="eastAsia" w:ascii="Calibri" w:hAnsi="Calibri"/>
          <w:color w:val="auto"/>
          <w:sz w:val="24"/>
        </w:rPr>
        <w:t>附录D《水利工程质量检测报告基本要求》；</w:t>
      </w:r>
    </w:p>
    <w:p>
      <w:pPr>
        <w:spacing w:line="360" w:lineRule="auto"/>
        <w:ind w:firstLine="480" w:firstLineChars="200"/>
        <w:rPr>
          <w:rFonts w:asciiTheme="minorEastAsia" w:hAnsiTheme="minorEastAsia" w:eastAsiaTheme="minorEastAsia"/>
          <w:b/>
          <w:bCs/>
          <w:color w:val="auto"/>
          <w:sz w:val="24"/>
        </w:rPr>
      </w:pPr>
      <w:r>
        <w:rPr>
          <w:rFonts w:hint="eastAsia" w:ascii="Calibri" w:hAnsi="Calibri"/>
          <w:color w:val="auto"/>
          <w:sz w:val="24"/>
        </w:rPr>
        <w:t>按照采购人规定时间和要求提交监督检测报告一式五份。</w:t>
      </w:r>
    </w:p>
    <w:p>
      <w:pPr>
        <w:spacing w:line="360" w:lineRule="auto"/>
        <w:ind w:firstLine="199" w:firstLineChars="83"/>
        <w:rPr>
          <w:rFonts w:cstheme="minorBidi"/>
          <w:color w:val="auto"/>
          <w:sz w:val="24"/>
        </w:rPr>
      </w:pPr>
      <w:r>
        <w:rPr>
          <w:rFonts w:cstheme="minorBidi"/>
          <w:color w:val="auto"/>
          <w:sz w:val="24"/>
        </w:rPr>
        <w:t>4、其他要求</w:t>
      </w:r>
    </w:p>
    <w:p>
      <w:pPr>
        <w:spacing w:line="360" w:lineRule="auto"/>
        <w:ind w:firstLine="480" w:firstLineChars="200"/>
        <w:rPr>
          <w:rFonts w:ascii="Calibri" w:hAnsi="Calibri"/>
          <w:color w:val="auto"/>
          <w:sz w:val="24"/>
        </w:rPr>
      </w:pPr>
      <w:r>
        <w:rPr>
          <w:rFonts w:ascii="Calibri" w:hAnsi="Calibri"/>
          <w:color w:val="auto"/>
          <w:sz w:val="24"/>
        </w:rPr>
        <w:t>（1）</w:t>
      </w:r>
      <w:r>
        <w:rPr>
          <w:rFonts w:hint="eastAsia" w:ascii="Calibri" w:hAnsi="Calibri"/>
          <w:color w:val="auto"/>
          <w:sz w:val="24"/>
        </w:rPr>
        <w:t>监督检测服务</w:t>
      </w:r>
      <w:r>
        <w:rPr>
          <w:rFonts w:ascii="Calibri" w:hAnsi="Calibri"/>
          <w:color w:val="auto"/>
          <w:sz w:val="24"/>
        </w:rPr>
        <w:t>供应商</w:t>
      </w:r>
      <w:r>
        <w:rPr>
          <w:rFonts w:hint="eastAsia" w:ascii="Calibri" w:hAnsi="Calibri"/>
          <w:color w:val="auto"/>
          <w:sz w:val="24"/>
        </w:rPr>
        <w:t>对检测结果有保密责任；</w:t>
      </w:r>
    </w:p>
    <w:p>
      <w:pPr>
        <w:spacing w:line="360" w:lineRule="auto"/>
        <w:ind w:firstLine="480" w:firstLineChars="200"/>
        <w:rPr>
          <w:rFonts w:ascii="Calibri" w:hAnsi="Calibri"/>
          <w:color w:val="auto"/>
          <w:sz w:val="24"/>
        </w:rPr>
      </w:pPr>
      <w:r>
        <w:rPr>
          <w:rFonts w:ascii="Calibri" w:hAnsi="Calibri"/>
          <w:color w:val="auto"/>
          <w:sz w:val="24"/>
        </w:rPr>
        <w:t>（2）</w:t>
      </w:r>
      <w:r>
        <w:rPr>
          <w:rFonts w:hint="eastAsia" w:ascii="Calibri" w:hAnsi="Calibri"/>
          <w:color w:val="auto"/>
          <w:sz w:val="24"/>
        </w:rPr>
        <w:t>监督检测服务供应商为开展监督检测工作承担安全生产责任。</w:t>
      </w:r>
    </w:p>
    <w:p>
      <w:pPr>
        <w:spacing w:beforeLines="50" w:line="360" w:lineRule="auto"/>
        <w:ind w:firstLine="481"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三、商务要求</w:t>
      </w:r>
    </w:p>
    <w:p>
      <w:pPr>
        <w:spacing w:line="360" w:lineRule="auto"/>
        <w:ind w:firstLine="199" w:firstLineChars="83"/>
        <w:rPr>
          <w:rFonts w:cstheme="minorBidi"/>
          <w:color w:val="auto"/>
          <w:sz w:val="24"/>
        </w:rPr>
      </w:pPr>
      <w:r>
        <w:rPr>
          <w:rFonts w:hint="eastAsia" w:cstheme="minorBidi"/>
          <w:color w:val="auto"/>
          <w:sz w:val="24"/>
        </w:rPr>
        <w:t>（一）合同履约期限：自合同签订之日起</w:t>
      </w:r>
      <w:r>
        <w:rPr>
          <w:rFonts w:hint="eastAsia" w:cstheme="minorBidi"/>
          <w:color w:val="auto"/>
          <w:sz w:val="24"/>
          <w:lang w:val="en-US" w:eastAsia="zh-CN"/>
        </w:rPr>
        <w:t>2024年12月31日</w:t>
      </w:r>
      <w:r>
        <w:rPr>
          <w:rFonts w:hint="eastAsia" w:cstheme="minorBidi"/>
          <w:color w:val="auto"/>
          <w:sz w:val="24"/>
        </w:rPr>
        <w:t>。</w:t>
      </w:r>
    </w:p>
    <w:p>
      <w:pPr>
        <w:spacing w:line="360" w:lineRule="auto"/>
        <w:ind w:left="240"/>
        <w:rPr>
          <w:rFonts w:ascii="宋体" w:hAnsi="宋体" w:cs="宋体"/>
          <w:bCs/>
          <w:color w:val="auto"/>
          <w:kern w:val="0"/>
          <w:sz w:val="24"/>
        </w:rPr>
      </w:pPr>
      <w:r>
        <w:rPr>
          <w:rFonts w:hint="eastAsia" w:cstheme="minorBidi"/>
          <w:color w:val="auto"/>
          <w:sz w:val="24"/>
        </w:rPr>
        <w:t>（</w:t>
      </w:r>
      <w:r>
        <w:rPr>
          <w:rFonts w:hint="eastAsia" w:cstheme="minorBidi"/>
          <w:color w:val="auto"/>
          <w:sz w:val="24"/>
          <w:lang w:eastAsia="zh-CN"/>
        </w:rPr>
        <w:t>二</w:t>
      </w:r>
      <w:r>
        <w:rPr>
          <w:rFonts w:hint="eastAsia" w:cstheme="minorBidi"/>
          <w:color w:val="auto"/>
          <w:sz w:val="24"/>
        </w:rPr>
        <w:t>）</w:t>
      </w:r>
      <w:r>
        <w:rPr>
          <w:rFonts w:hint="eastAsia" w:ascii="宋体" w:hAnsi="宋体" w:cs="宋体"/>
          <w:color w:val="auto"/>
          <w:kern w:val="0"/>
          <w:sz w:val="24"/>
        </w:rPr>
        <w:t>付款时间及付款方式：</w:t>
      </w:r>
    </w:p>
    <w:p>
      <w:pPr>
        <w:spacing w:line="360" w:lineRule="auto"/>
        <w:ind w:firstLine="480" w:firstLineChars="200"/>
        <w:rPr>
          <w:rFonts w:ascii="宋体" w:hAnsi="宋体" w:cs="宋体"/>
          <w:bCs/>
          <w:color w:val="auto"/>
          <w:kern w:val="0"/>
          <w:sz w:val="24"/>
        </w:rPr>
      </w:pPr>
      <w:r>
        <w:rPr>
          <w:rFonts w:hint="eastAsia" w:ascii="宋体" w:hAnsi="宋体" w:cs="宋体"/>
          <w:color w:val="auto"/>
          <w:kern w:val="0"/>
          <w:sz w:val="24"/>
        </w:rPr>
        <w:t>（1）</w:t>
      </w:r>
      <w:r>
        <w:rPr>
          <w:rFonts w:hint="eastAsia" w:ascii="宋体" w:hAnsi="宋体" w:cs="宋体"/>
          <w:bCs/>
          <w:color w:val="auto"/>
          <w:kern w:val="0"/>
          <w:sz w:val="24"/>
        </w:rPr>
        <w:t>各检测指标单价以成交供应商报价为准。成交供应商所有检测指标单价，均根据成交折扣率进行确定，委托所产生的最终检测费用以实际完成的工作量为准，进行核算。</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成交供应商在完成委托工程质量检测后，按照签订的检测合同和委托书，于提交符合要求的检测报告后10个工作日内向采购人申请支付检测费用，逾期不提交费用支付申请的，采购人不承担任何因此带来的损失，再次逾期的，采购人有权终止合同。采购人对成交供应商费用支付申请进行审查确认后予以支付检测费用。</w:t>
      </w:r>
    </w:p>
    <w:p>
      <w:pPr>
        <w:spacing w:line="360" w:lineRule="auto"/>
        <w:ind w:firstLine="199" w:firstLineChars="83"/>
        <w:rPr>
          <w:rFonts w:cstheme="minorBidi"/>
          <w:color w:val="auto"/>
          <w:sz w:val="24"/>
        </w:rPr>
      </w:pPr>
      <w:r>
        <w:rPr>
          <w:rFonts w:hint="eastAsia" w:cstheme="minorBidi"/>
          <w:color w:val="auto"/>
          <w:sz w:val="24"/>
        </w:rPr>
        <w:t>（</w:t>
      </w:r>
      <w:r>
        <w:rPr>
          <w:rFonts w:hint="eastAsia" w:cstheme="minorBidi"/>
          <w:color w:val="auto"/>
          <w:sz w:val="24"/>
          <w:lang w:eastAsia="zh-CN"/>
        </w:rPr>
        <w:t>三</w:t>
      </w:r>
      <w:r>
        <w:rPr>
          <w:rFonts w:hint="eastAsia" w:cstheme="minorBidi"/>
          <w:color w:val="auto"/>
          <w:sz w:val="24"/>
        </w:rPr>
        <w:t>）验收标准：</w:t>
      </w:r>
      <w:r>
        <w:rPr>
          <w:rFonts w:ascii="宋体" w:hAnsi="宋体" w:cs="宋体"/>
          <w:color w:val="auto"/>
          <w:kern w:val="0"/>
          <w:sz w:val="24"/>
        </w:rPr>
        <w:t>按国家有关规定、</w:t>
      </w:r>
      <w:r>
        <w:rPr>
          <w:rFonts w:hint="eastAsia" w:ascii="宋体" w:hAnsi="宋体" w:cs="宋体"/>
          <w:color w:val="auto"/>
          <w:kern w:val="0"/>
          <w:sz w:val="24"/>
        </w:rPr>
        <w:t>谈判</w:t>
      </w:r>
      <w:r>
        <w:rPr>
          <w:rFonts w:ascii="宋体" w:hAnsi="宋体" w:cs="宋体"/>
          <w:color w:val="auto"/>
          <w:kern w:val="0"/>
          <w:sz w:val="24"/>
        </w:rPr>
        <w:t>文件的要求、成交供应商的响应文件和承诺以及本项目合同约定标准进行验收</w:t>
      </w:r>
      <w:r>
        <w:rPr>
          <w:rFonts w:cstheme="minorBidi"/>
          <w:color w:val="auto"/>
          <w:sz w:val="23"/>
          <w:szCs w:val="23"/>
        </w:rPr>
        <w:t>。</w:t>
      </w:r>
    </w:p>
    <w:p>
      <w:pPr>
        <w:spacing w:line="360" w:lineRule="auto"/>
        <w:ind w:firstLine="240" w:firstLineChars="100"/>
        <w:rPr>
          <w:rFonts w:asciiTheme="minorEastAsia" w:hAnsiTheme="minorEastAsia" w:eastAsiaTheme="minorEastAsia" w:cstheme="minorBidi"/>
          <w:color w:val="auto"/>
          <w:sz w:val="24"/>
        </w:rPr>
      </w:pPr>
      <w:r>
        <w:rPr>
          <w:rFonts w:hint="eastAsia" w:cstheme="minorBidi"/>
          <w:color w:val="auto"/>
          <w:sz w:val="24"/>
        </w:rPr>
        <w:t>（</w:t>
      </w:r>
      <w:r>
        <w:rPr>
          <w:rFonts w:hint="eastAsia" w:cstheme="minorBidi"/>
          <w:color w:val="auto"/>
          <w:sz w:val="24"/>
          <w:lang w:eastAsia="zh-CN"/>
        </w:rPr>
        <w:t>四</w:t>
      </w:r>
      <w:r>
        <w:rPr>
          <w:rFonts w:hint="eastAsia" w:cstheme="minorBidi"/>
          <w:color w:val="auto"/>
          <w:sz w:val="24"/>
        </w:rPr>
        <w:t>）知识产权：归采购人所有。</w:t>
      </w:r>
    </w:p>
    <w:bookmarkEnd w:id="93"/>
    <w:bookmarkEnd w:id="94"/>
    <w:bookmarkEnd w:id="95"/>
    <w:bookmarkEnd w:id="96"/>
    <w:bookmarkEnd w:id="97"/>
    <w:p>
      <w:pPr>
        <w:autoSpaceDE w:val="0"/>
        <w:autoSpaceDN w:val="0"/>
        <w:adjustRightInd w:val="0"/>
        <w:spacing w:line="360" w:lineRule="auto"/>
        <w:ind w:firstLine="720" w:firstLineChars="200"/>
        <w:jc w:val="left"/>
        <w:rPr>
          <w:rFonts w:ascii="宋体" w:hAnsi="宋体"/>
          <w:b/>
          <w:color w:val="auto"/>
          <w:sz w:val="24"/>
        </w:rPr>
      </w:pPr>
      <w:bookmarkStart w:id="149" w:name="_Toc534620654"/>
      <w:bookmarkStart w:id="150" w:name="_Toc534620564"/>
      <w:bookmarkStart w:id="151" w:name="_Toc526844772"/>
      <w:bookmarkStart w:id="152" w:name="_Toc534623370"/>
      <w:bookmarkStart w:id="153" w:name="_Toc534622146"/>
      <w:bookmarkStart w:id="154" w:name="_Toc183682369"/>
      <w:bookmarkStart w:id="155" w:name="_Toc217446057"/>
      <w:bookmarkStart w:id="156" w:name="_Toc183582232"/>
      <w:r>
        <w:rPr>
          <w:rFonts w:ascii="宋体" w:hAnsi="宋体"/>
          <w:color w:val="auto"/>
          <w:sz w:val="36"/>
        </w:rPr>
        <w:br w:type="page"/>
      </w:r>
      <w:bookmarkEnd w:id="149"/>
      <w:bookmarkEnd w:id="150"/>
      <w:bookmarkEnd w:id="151"/>
      <w:bookmarkEnd w:id="152"/>
      <w:bookmarkEnd w:id="153"/>
    </w:p>
    <w:p>
      <w:pPr>
        <w:pStyle w:val="4"/>
        <w:keepNext w:val="0"/>
        <w:keepLines w:val="0"/>
        <w:spacing w:beforeLines="100" w:afterLines="100" w:line="360" w:lineRule="auto"/>
        <w:jc w:val="center"/>
        <w:rPr>
          <w:rFonts w:ascii="宋体" w:hAnsi="宋体"/>
          <w:b w:val="0"/>
          <w:bCs w:val="0"/>
          <w:color w:val="auto"/>
          <w:sz w:val="36"/>
        </w:rPr>
      </w:pPr>
      <w:bookmarkStart w:id="157" w:name="_Toc534620655"/>
      <w:bookmarkStart w:id="158" w:name="_Toc534622147"/>
      <w:bookmarkStart w:id="159" w:name="_Toc534620565"/>
      <w:bookmarkStart w:id="160" w:name="_Toc541518286"/>
      <w:bookmarkStart w:id="161" w:name="_Toc534623371"/>
      <w:r>
        <w:rPr>
          <w:rFonts w:hint="eastAsia" w:ascii="宋体" w:hAnsi="宋体" w:eastAsia="宋体"/>
          <w:color w:val="auto"/>
          <w:sz w:val="36"/>
          <w:szCs w:val="36"/>
        </w:rPr>
        <w:t>第</w:t>
      </w:r>
      <w:r>
        <w:rPr>
          <w:rFonts w:hint="eastAsia" w:ascii="宋体" w:hAnsi="宋体" w:eastAsia="宋体"/>
          <w:color w:val="auto"/>
          <w:sz w:val="36"/>
          <w:szCs w:val="36"/>
          <w:lang w:eastAsia="zh-CN"/>
        </w:rPr>
        <w:t>六</w:t>
      </w:r>
      <w:r>
        <w:rPr>
          <w:rFonts w:hint="eastAsia" w:ascii="宋体" w:hAnsi="宋体" w:eastAsia="宋体"/>
          <w:color w:val="auto"/>
          <w:sz w:val="36"/>
          <w:szCs w:val="36"/>
        </w:rPr>
        <w:t>章  响应文件格式</w:t>
      </w:r>
      <w:bookmarkEnd w:id="157"/>
      <w:bookmarkEnd w:id="158"/>
      <w:bookmarkEnd w:id="159"/>
      <w:bookmarkEnd w:id="160"/>
      <w:bookmarkEnd w:id="161"/>
    </w:p>
    <w:p>
      <w:pPr>
        <w:spacing w:line="360" w:lineRule="auto"/>
        <w:ind w:firstLine="480" w:firstLineChars="200"/>
        <w:rPr>
          <w:rFonts w:ascii="宋体" w:hAnsi="宋体"/>
          <w:color w:val="auto"/>
          <w:sz w:val="24"/>
        </w:rPr>
      </w:pPr>
      <w:r>
        <w:rPr>
          <w:rFonts w:hint="eastAsia" w:ascii="宋体" w:hAnsi="宋体"/>
          <w:color w:val="auto"/>
          <w:sz w:val="24"/>
        </w:rPr>
        <w:t xml:space="preserve"> 一、本章所制响应文件格式，除格式中明确将该格式作为实质性要求的，一律不具有强制性；如供应商响应文件相关资料和本章所制格式不一致的，</w:t>
      </w:r>
      <w:r>
        <w:rPr>
          <w:rFonts w:ascii="宋体" w:hAnsi="宋体"/>
          <w:color w:val="auto"/>
          <w:sz w:val="24"/>
        </w:rPr>
        <w:t>其响应文件不作无效处理</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二、本章所制响应文件格式有关表格中的备注栏，由供应商根据自身响应情况作解释性说明，不作为必填项。</w:t>
      </w:r>
    </w:p>
    <w:p>
      <w:pPr>
        <w:spacing w:line="360" w:lineRule="auto"/>
        <w:ind w:firstLine="480" w:firstLineChars="200"/>
        <w:rPr>
          <w:rFonts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四、响应文件封面的“正本</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副本”为“正本”、“副本”二选一。</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一、响应文件封面</w:t>
      </w:r>
    </w:p>
    <w:p>
      <w:pPr>
        <w:pageBreakBefore/>
        <w:adjustRightInd w:val="0"/>
        <w:spacing w:afterLines="100" w:line="360" w:lineRule="auto"/>
        <w:ind w:firstLine="482"/>
        <w:jc w:val="right"/>
        <w:textAlignment w:val="baseline"/>
        <w:outlineLvl w:val="2"/>
        <w:rPr>
          <w:rFonts w:ascii="宋体" w:hAnsi="宋体" w:cs="Arial"/>
          <w:b/>
          <w:bCs/>
          <w:color w:val="auto"/>
          <w:kern w:val="36"/>
          <w:sz w:val="36"/>
          <w:szCs w:val="36"/>
        </w:rPr>
      </w:pPr>
      <w:r>
        <w:rPr>
          <w:rFonts w:ascii="宋体" w:hAnsi="宋体" w:cs="Arial"/>
          <w:b/>
          <w:bCs/>
          <w:color w:val="auto"/>
          <w:kern w:val="36"/>
          <w:sz w:val="36"/>
          <w:szCs w:val="36"/>
        </w:rPr>
        <mc:AlternateContent>
          <mc:Choice Requires="wps">
            <w:drawing>
              <wp:anchor distT="0" distB="0" distL="114300" distR="114300" simplePos="0" relativeHeight="251657216" behindDoc="0" locked="0" layoutInCell="1" allowOverlap="1">
                <wp:simplePos x="0" y="0"/>
                <wp:positionH relativeFrom="column">
                  <wp:posOffset>4579620</wp:posOffset>
                </wp:positionH>
                <wp:positionV relativeFrom="paragraph">
                  <wp:posOffset>-22860</wp:posOffset>
                </wp:positionV>
                <wp:extent cx="1109980" cy="352425"/>
                <wp:effectExtent l="0" t="0" r="0" b="0"/>
                <wp:wrapNone/>
                <wp:docPr id="1" name="矩形 2"/>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true"/>
                    </wps:wsp>
                  </a:graphicData>
                </a:graphic>
              </wp:anchor>
            </w:drawing>
          </mc:Choice>
          <mc:Fallback>
            <w:pict>
              <v:rect id="矩形 2" o:spid="_x0000_s1026" o:spt="1" style="position:absolute;left:0pt;margin-left:360.6pt;margin-top:-1.8pt;height:27.75pt;width:87.4pt;z-index:251657216;mso-width-relative:page;mso-height-relative:page;" filled="f" stroked="t" coordsize="21600,21600" o:gfxdata="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G3mBO2AAAAAkBAAAPAAAAAAAAAAEAIAAAADgAAABkcnMvZG93bnJldi54bWxQSwEC&#10;FAAUAAAACACHTuJA64bked4BAACqAwAADgAAAAAAAAABACAAAAA9AQAAZHJzL2Uyb0RvYy54bWxQ&#10;SwUGAAAAAAYABgBZAQAAjQUAAAAA&#10;">
                <v:fill on="f" focussize="0,0"/>
                <v:stroke color="#000000" joinstyle="miter"/>
                <v:imagedata o:title=""/>
                <o:lock v:ext="edit" aspectratio="f"/>
              </v:rect>
            </w:pict>
          </mc:Fallback>
        </mc:AlternateContent>
      </w:r>
      <w:r>
        <w:rPr>
          <w:rFonts w:hint="eastAsia" w:ascii="宋体" w:hAnsi="宋体"/>
          <w:color w:val="auto"/>
          <w:sz w:val="24"/>
        </w:rPr>
        <w:t xml:space="preserve">   </w:t>
      </w:r>
      <w:r>
        <w:rPr>
          <w:rFonts w:hint="eastAsia" w:ascii="宋体" w:hAnsi="宋体" w:cs="Arial"/>
          <w:b/>
          <w:bCs/>
          <w:color w:val="auto"/>
          <w:kern w:val="36"/>
          <w:sz w:val="36"/>
          <w:szCs w:val="36"/>
        </w:rPr>
        <w:t>正本/副本</w:t>
      </w:r>
    </w:p>
    <w:p>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资</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格</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性</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pPr>
        <w:adjustRightInd w:val="0"/>
        <w:spacing w:afterLines="2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pPr>
        <w:adjustRightInd w:val="0"/>
        <w:spacing w:line="360" w:lineRule="auto"/>
        <w:ind w:firstLine="2248"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pPr>
        <w:adjustRightInd w:val="0"/>
        <w:spacing w:afterLines="100" w:line="360" w:lineRule="auto"/>
        <w:ind w:firstLine="2248" w:firstLineChars="700"/>
        <w:jc w:val="left"/>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pPr>
        <w:pageBreakBefore/>
        <w:wordWrap w:val="0"/>
        <w:adjustRightInd w:val="0"/>
        <w:spacing w:afterLines="100" w:line="360" w:lineRule="auto"/>
        <w:ind w:firstLine="723"/>
        <w:jc w:val="right"/>
        <w:textAlignment w:val="baseline"/>
        <w:outlineLvl w:val="2"/>
        <w:rPr>
          <w:rFonts w:ascii="宋体" w:hAnsi="宋体" w:cs="Arial"/>
          <w:b/>
          <w:bCs/>
          <w:color w:val="auto"/>
          <w:kern w:val="36"/>
          <w:sz w:val="36"/>
          <w:szCs w:val="36"/>
        </w:rPr>
      </w:pPr>
      <w:r>
        <w:rPr>
          <w:rFonts w:ascii="宋体" w:hAnsi="宋体" w:cs="Arial"/>
          <w:b/>
          <w:bCs/>
          <w:color w:val="auto"/>
          <w:kern w:val="36"/>
          <w:sz w:val="48"/>
          <w:szCs w:val="48"/>
        </w:rPr>
        <mc:AlternateContent>
          <mc:Choice Requires="wps">
            <w:drawing>
              <wp:anchor distT="0" distB="0" distL="114300" distR="114300" simplePos="0" relativeHeight="251658240" behindDoc="0" locked="0" layoutInCell="1" allowOverlap="1">
                <wp:simplePos x="0" y="0"/>
                <wp:positionH relativeFrom="column">
                  <wp:posOffset>4577715</wp:posOffset>
                </wp:positionH>
                <wp:positionV relativeFrom="paragraph">
                  <wp:posOffset>-12065</wp:posOffset>
                </wp:positionV>
                <wp:extent cx="1109980" cy="352425"/>
                <wp:effectExtent l="0" t="0" r="0" b="0"/>
                <wp:wrapNone/>
                <wp:docPr id="2" name="矩形 4"/>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true"/>
                    </wps:wsp>
                  </a:graphicData>
                </a:graphic>
              </wp:anchor>
            </w:drawing>
          </mc:Choice>
          <mc:Fallback>
            <w:pict>
              <v:rect id="矩形 4" o:spid="_x0000_s1026" o:spt="1" style="position:absolute;left:0pt;margin-left:360.45pt;margin-top:-0.95pt;height:27.75pt;width:87.4pt;z-index:251658240;mso-width-relative:page;mso-height-relative:page;" filled="f" stroked="t" coordsize="21600,21600" o:gfxdata="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mBlttkAAAAJAQAADwAAAAAAAAABACAAAAA4AAAAZHJzL2Rvd25yZXYueG1sUEsB&#10;AhQAFAAAAAgAh07iQLvyi1HeAQAAqgMAAA4AAAAAAAAAAQAgAAAAPgEAAGRycy9lMm9Eb2MueG1s&#10;UEsFBgAAAAAGAAYAWQEAAI4FAAAAAA==&#10;">
                <v:fill on="f" focussize="0,0"/>
                <v:stroke color="#000000" joinstyle="miter"/>
                <v:imagedata o:title=""/>
                <o:lock v:ext="edit" aspectratio="f"/>
              </v:rect>
            </w:pict>
          </mc:Fallback>
        </mc:AlternateContent>
      </w:r>
      <w:r>
        <w:rPr>
          <w:rFonts w:hint="eastAsia" w:ascii="宋体" w:hAnsi="宋体" w:cs="Arial"/>
          <w:b/>
          <w:bCs/>
          <w:color w:val="auto"/>
          <w:kern w:val="36"/>
          <w:sz w:val="36"/>
          <w:szCs w:val="36"/>
        </w:rPr>
        <w:t xml:space="preserve">  正本/副本</w:t>
      </w:r>
    </w:p>
    <w:p>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其</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他</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pPr>
        <w:adjustRightInd w:val="0"/>
        <w:spacing w:afterLines="6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pPr>
        <w:adjustRightInd w:val="0"/>
        <w:spacing w:line="360" w:lineRule="auto"/>
        <w:ind w:firstLine="2248"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pPr>
        <w:spacing w:line="360" w:lineRule="auto"/>
        <w:ind w:firstLine="2248" w:firstLineChars="700"/>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二、承诺函</w:t>
      </w:r>
    </w:p>
    <w:p>
      <w:pPr>
        <w:spacing w:line="360" w:lineRule="auto"/>
        <w:rPr>
          <w:rFonts w:ascii="宋体" w:hAnsi="宋体"/>
          <w:color w:val="auto"/>
          <w:sz w:val="24"/>
        </w:rPr>
      </w:pPr>
      <w:r>
        <w:rPr>
          <w:rFonts w:hint="eastAsia" w:ascii="宋体" w:hAnsi="宋体"/>
          <w:color w:val="auto"/>
          <w:sz w:val="24"/>
          <w:lang w:eastAsia="zh-CN"/>
        </w:rPr>
        <w:t>广元市水利局</w:t>
      </w:r>
      <w:r>
        <w:rPr>
          <w:rFonts w:hint="eastAsia" w:ascii="宋体" w:hAnsi="宋体"/>
          <w:color w:val="auto"/>
          <w:sz w:val="24"/>
        </w:rPr>
        <w:t>：</w:t>
      </w:r>
    </w:p>
    <w:p>
      <w:pPr>
        <w:adjustRightInd w:val="0"/>
        <w:spacing w:line="360" w:lineRule="auto"/>
        <w:ind w:firstLine="480" w:firstLineChars="200"/>
        <w:textAlignment w:val="baseline"/>
        <w:outlineLvl w:val="2"/>
        <w:rPr>
          <w:rFonts w:ascii="宋体" w:hAnsi="宋体"/>
          <w:color w:val="auto"/>
          <w:sz w:val="24"/>
        </w:rPr>
      </w:pPr>
      <w:r>
        <w:rPr>
          <w:rFonts w:hint="eastAsia" w:ascii="宋体" w:hAnsi="宋体"/>
          <w:color w:val="auto"/>
          <w:sz w:val="24"/>
        </w:rPr>
        <w:t>我公司作为“</w:t>
      </w:r>
      <w:r>
        <w:rPr>
          <w:rFonts w:hint="eastAsia" w:ascii="宋体" w:hAnsi="宋体"/>
          <w:bCs/>
          <w:color w:val="auto"/>
          <w:sz w:val="24"/>
        </w:rPr>
        <w:t>XXX项目”</w:t>
      </w:r>
      <w:r>
        <w:rPr>
          <w:rFonts w:hint="eastAsia" w:ascii="宋体" w:hAnsi="宋体"/>
          <w:color w:val="auto"/>
          <w:sz w:val="24"/>
        </w:rPr>
        <w:t>的供应商，根据谈判文件要求，现郑重承诺如下：</w:t>
      </w:r>
    </w:p>
    <w:p>
      <w:pPr>
        <w:spacing w:line="360" w:lineRule="auto"/>
        <w:ind w:firstLine="480" w:firstLineChars="200"/>
        <w:rPr>
          <w:rFonts w:ascii="宋体" w:hAnsi="宋体"/>
          <w:color w:val="auto"/>
          <w:sz w:val="24"/>
        </w:rPr>
      </w:pPr>
      <w:r>
        <w:rPr>
          <w:rFonts w:hint="eastAsia" w:ascii="宋体" w:hAnsi="宋体"/>
          <w:color w:val="auto"/>
          <w:sz w:val="24"/>
        </w:rPr>
        <w:t>一、具备《中华人民共和国政府采购法》第二十二条第一款和本项目规定的条件：</w:t>
      </w:r>
    </w:p>
    <w:p>
      <w:pPr>
        <w:spacing w:line="360" w:lineRule="auto"/>
        <w:ind w:firstLine="480" w:firstLineChars="200"/>
        <w:rPr>
          <w:rFonts w:ascii="宋体" w:hAnsi="宋体"/>
          <w:color w:val="auto"/>
          <w:sz w:val="24"/>
        </w:rPr>
      </w:pPr>
      <w:r>
        <w:rPr>
          <w:rFonts w:hint="eastAsia" w:ascii="宋体" w:hAnsi="宋体"/>
          <w:color w:val="auto"/>
          <w:sz w:val="24"/>
        </w:rPr>
        <w:t>（一）具有独立承担民事责任的能力；</w:t>
      </w:r>
    </w:p>
    <w:p>
      <w:pPr>
        <w:spacing w:line="360" w:lineRule="auto"/>
        <w:ind w:firstLine="480" w:firstLineChars="200"/>
        <w:rPr>
          <w:rFonts w:ascii="宋体" w:hAnsi="宋体"/>
          <w:color w:val="auto"/>
          <w:sz w:val="24"/>
        </w:rPr>
      </w:pPr>
      <w:r>
        <w:rPr>
          <w:rFonts w:hint="eastAsia" w:ascii="宋体" w:hAnsi="宋体"/>
          <w:color w:val="auto"/>
          <w:sz w:val="24"/>
        </w:rPr>
        <w:t>（二）具有良好的商业信誉和健全的财务会计制度；</w:t>
      </w:r>
    </w:p>
    <w:p>
      <w:pPr>
        <w:spacing w:line="360" w:lineRule="auto"/>
        <w:ind w:firstLine="480" w:firstLineChars="200"/>
        <w:rPr>
          <w:rFonts w:ascii="宋体" w:hAnsi="宋体"/>
          <w:color w:val="auto"/>
          <w:sz w:val="24"/>
        </w:rPr>
      </w:pPr>
      <w:r>
        <w:rPr>
          <w:rFonts w:hint="eastAsia" w:ascii="宋体" w:hAnsi="宋体"/>
          <w:color w:val="auto"/>
          <w:sz w:val="24"/>
        </w:rPr>
        <w:t>（三）具有履行合同所必需的设备和专业技术能力；</w:t>
      </w:r>
    </w:p>
    <w:p>
      <w:pPr>
        <w:spacing w:line="360" w:lineRule="auto"/>
        <w:ind w:firstLine="480" w:firstLineChars="200"/>
        <w:rPr>
          <w:rFonts w:ascii="宋体" w:hAnsi="宋体"/>
          <w:color w:val="auto"/>
          <w:sz w:val="24"/>
        </w:rPr>
      </w:pPr>
      <w:r>
        <w:rPr>
          <w:rFonts w:hint="eastAsia" w:ascii="宋体" w:hAnsi="宋体"/>
          <w:color w:val="auto"/>
          <w:sz w:val="24"/>
        </w:rPr>
        <w:t>（四）有依法缴纳税收和社会保障资金的良好记录；</w:t>
      </w:r>
    </w:p>
    <w:p>
      <w:pPr>
        <w:spacing w:line="360" w:lineRule="auto"/>
        <w:ind w:firstLine="480" w:firstLineChars="200"/>
        <w:rPr>
          <w:rFonts w:ascii="宋体" w:hAnsi="宋体"/>
          <w:color w:val="auto"/>
          <w:sz w:val="24"/>
        </w:rPr>
      </w:pPr>
      <w:r>
        <w:rPr>
          <w:rFonts w:hint="eastAsia" w:ascii="宋体" w:hAnsi="宋体"/>
          <w:color w:val="auto"/>
          <w:sz w:val="24"/>
        </w:rPr>
        <w:t>（五）参加政府采购活动前三年内，在经营活动中没有重大违法记录；</w:t>
      </w:r>
    </w:p>
    <w:p>
      <w:pPr>
        <w:spacing w:line="360" w:lineRule="auto"/>
        <w:ind w:firstLine="480" w:firstLineChars="200"/>
        <w:rPr>
          <w:rFonts w:ascii="宋体" w:hAnsi="宋体"/>
          <w:color w:val="auto"/>
          <w:sz w:val="24"/>
        </w:rPr>
      </w:pPr>
      <w:r>
        <w:rPr>
          <w:rFonts w:hint="eastAsia" w:ascii="宋体" w:hAnsi="宋体"/>
          <w:color w:val="auto"/>
          <w:sz w:val="24"/>
        </w:rPr>
        <w:t>（六）法律、行政法规规定的其他条件；</w:t>
      </w:r>
    </w:p>
    <w:p>
      <w:pPr>
        <w:spacing w:line="360" w:lineRule="auto"/>
        <w:ind w:firstLine="480" w:firstLineChars="200"/>
        <w:rPr>
          <w:rFonts w:ascii="宋体" w:hAnsi="宋体"/>
          <w:color w:val="auto"/>
          <w:sz w:val="24"/>
        </w:rPr>
      </w:pPr>
      <w:r>
        <w:rPr>
          <w:rFonts w:hint="eastAsia" w:ascii="宋体" w:hAnsi="宋体"/>
          <w:color w:val="auto"/>
          <w:sz w:val="24"/>
        </w:rPr>
        <w:t>二、具备采购人根据本次采购项目提出的特定条件。</w:t>
      </w:r>
    </w:p>
    <w:p>
      <w:pPr>
        <w:spacing w:line="360" w:lineRule="auto"/>
        <w:ind w:firstLine="480" w:firstLineChars="200"/>
        <w:rPr>
          <w:rFonts w:ascii="宋体" w:hAnsi="宋体"/>
          <w:color w:val="auto"/>
          <w:sz w:val="24"/>
        </w:rPr>
      </w:pPr>
      <w:r>
        <w:rPr>
          <w:rFonts w:hint="eastAsia" w:ascii="宋体" w:hAnsi="宋体"/>
          <w:color w:val="auto"/>
          <w:sz w:val="24"/>
        </w:rPr>
        <w:t>三、参加本项目政府采购活动的现任法定代表人及主要负责人在前三年内没有行贿犯罪记录。</w:t>
      </w:r>
    </w:p>
    <w:p>
      <w:pPr>
        <w:spacing w:line="360" w:lineRule="auto"/>
        <w:ind w:firstLine="480" w:firstLineChars="200"/>
        <w:rPr>
          <w:rFonts w:ascii="宋体" w:hAnsi="宋体"/>
          <w:color w:val="auto"/>
          <w:sz w:val="24"/>
        </w:rPr>
      </w:pPr>
      <w:r>
        <w:rPr>
          <w:rFonts w:hint="eastAsia" w:ascii="宋体" w:hAnsi="宋体"/>
          <w:color w:val="auto"/>
          <w:sz w:val="24"/>
        </w:rPr>
        <w:t>四、在参加本次政府采购活动中，不存在和其他供应商在同一合同项下的采购项目中，同时委托同一个自然人、同一家庭的人员、同一单位的人员作为代理人的行为。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olor w:val="auto"/>
          <w:sz w:val="24"/>
        </w:rPr>
      </w:pPr>
      <w:r>
        <w:rPr>
          <w:rFonts w:hint="eastAsia" w:ascii="宋体" w:hAnsi="宋体"/>
          <w:color w:val="auto"/>
          <w:sz w:val="24"/>
        </w:rPr>
        <w:t>五、在参加本次采购活动中，不存在与单位负责人为同一人或者存在直接控股、管理关系的其他供应商参与同一合同项下的采购活动的行为。</w:t>
      </w:r>
    </w:p>
    <w:p>
      <w:pPr>
        <w:spacing w:line="360" w:lineRule="auto"/>
        <w:ind w:firstLine="480" w:firstLineChars="200"/>
        <w:rPr>
          <w:rFonts w:ascii="宋体" w:hAnsi="宋体"/>
          <w:color w:val="auto"/>
          <w:sz w:val="24"/>
        </w:rPr>
      </w:pPr>
      <w:r>
        <w:rPr>
          <w:rFonts w:hint="eastAsia" w:ascii="宋体" w:hAnsi="宋体"/>
          <w:color w:val="auto"/>
          <w:sz w:val="24"/>
        </w:rPr>
        <w:t>六、完全接受和满足本项目谈判文件中规定的实质性要求，不存在对谈判文件有异议的同时又参加谈判以求侥幸成交或者为实现其他非法目的的行为。</w:t>
      </w:r>
    </w:p>
    <w:p>
      <w:pPr>
        <w:spacing w:line="360" w:lineRule="auto"/>
        <w:ind w:firstLine="480" w:firstLineChars="200"/>
        <w:rPr>
          <w:rFonts w:ascii="宋体" w:hAnsi="宋体"/>
          <w:color w:val="auto"/>
          <w:sz w:val="24"/>
        </w:rPr>
      </w:pPr>
      <w:r>
        <w:rPr>
          <w:rFonts w:hint="eastAsia" w:ascii="宋体" w:hAnsi="宋体"/>
          <w:color w:val="auto"/>
          <w:sz w:val="24"/>
        </w:rPr>
        <w:t>七、国家或行业主管部门对供应商和采购产品的技术标准、质量标准和资格资质条件等有强制性规定的，我方符合其要求。</w:t>
      </w:r>
    </w:p>
    <w:p>
      <w:pPr>
        <w:spacing w:line="360" w:lineRule="auto"/>
        <w:ind w:firstLine="480" w:firstLineChars="200"/>
        <w:rPr>
          <w:rFonts w:ascii="宋体" w:hAnsi="宋体"/>
          <w:color w:val="auto"/>
          <w:sz w:val="24"/>
        </w:rPr>
      </w:pPr>
      <w:r>
        <w:rPr>
          <w:rFonts w:hint="eastAsia" w:ascii="宋体" w:hAnsi="宋体"/>
          <w:color w:val="auto"/>
          <w:sz w:val="24"/>
        </w:rPr>
        <w:t>八、响应文件中提供的任何资料和技术、服务、商务等响应承诺情况都是真实的、有效的、合法的。</w:t>
      </w:r>
    </w:p>
    <w:p>
      <w:pPr>
        <w:spacing w:line="360" w:lineRule="auto"/>
        <w:ind w:firstLine="480" w:firstLineChars="200"/>
        <w:rPr>
          <w:rFonts w:ascii="宋体" w:hAnsi="宋体"/>
          <w:color w:val="auto"/>
          <w:sz w:val="24"/>
        </w:rPr>
      </w:pPr>
      <w:r>
        <w:rPr>
          <w:rFonts w:hint="eastAsia" w:ascii="宋体" w:hAnsi="宋体"/>
          <w:color w:val="auto"/>
          <w:sz w:val="24"/>
        </w:rPr>
        <w:t>九、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tabs>
          <w:tab w:val="left" w:pos="1440"/>
        </w:tabs>
        <w:spacing w:line="360" w:lineRule="auto"/>
        <w:ind w:firstLine="480" w:firstLineChars="200"/>
        <w:rPr>
          <w:rFonts w:asciiTheme="minorEastAsia" w:hAnsiTheme="minorEastAsia"/>
          <w:color w:val="auto"/>
          <w:sz w:val="24"/>
        </w:rPr>
      </w:pPr>
      <w:r>
        <w:rPr>
          <w:rFonts w:hint="eastAsia" w:ascii="宋体" w:hAnsi="宋体"/>
          <w:color w:val="auto"/>
          <w:sz w:val="24"/>
        </w:rPr>
        <w:t>十、</w:t>
      </w:r>
      <w:r>
        <w:rPr>
          <w:rFonts w:hint="eastAsia" w:asciiTheme="minorEastAsia" w:hAnsiTheme="minorEastAsia"/>
          <w:color w:val="auto"/>
          <w:sz w:val="24"/>
        </w:rPr>
        <w:t>我方保证所提供的服务或其任何一部分均不会侵犯任何第三方的专利权、商标权或著作权。</w:t>
      </w:r>
    </w:p>
    <w:p>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十一、本项目产生的知识产权成果归采购人所有。</w:t>
      </w:r>
    </w:p>
    <w:p>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二、法律、行政法规、强制性标准、政府采购政策、主管部门规范性文件对供应商或采购品目有强制性要求的，除了采购文件明确要求符合相关强制性要求并提供证明材料的条件外，我公司承诺其他所有条件也完全满足法律、行政法规、强制性标准、政府采购政策和主管部门规范性文件的强制性要求。</w:t>
      </w:r>
    </w:p>
    <w:p>
      <w:pPr>
        <w:spacing w:line="360" w:lineRule="auto"/>
        <w:ind w:firstLine="480" w:firstLineChars="200"/>
        <w:rPr>
          <w:rFonts w:ascii="宋体" w:hAnsi="宋体"/>
          <w:color w:val="auto"/>
          <w:sz w:val="24"/>
        </w:rPr>
      </w:pPr>
      <w:r>
        <w:rPr>
          <w:rFonts w:hint="eastAsia" w:ascii="宋体" w:hAnsi="宋体"/>
          <w:color w:val="auto"/>
          <w:sz w:val="24"/>
        </w:rPr>
        <w:t>十三、若我方成交，我方承诺按照本谈判文件约定支付代理服务费，否则视为虚假响应并承担由此带来的一切后果。</w:t>
      </w:r>
    </w:p>
    <w:p>
      <w:pPr>
        <w:spacing w:line="360" w:lineRule="auto"/>
        <w:ind w:firstLine="480" w:firstLineChars="200"/>
        <w:rPr>
          <w:rFonts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pPr>
        <w:spacing w:beforeLines="500" w:afterLines="100" w:line="360" w:lineRule="auto"/>
        <w:ind w:firstLine="480" w:firstLineChars="200"/>
        <w:rPr>
          <w:rFonts w:ascii="宋体" w:hAnsi="宋体"/>
          <w:color w:val="auto"/>
          <w:sz w:val="24"/>
        </w:rPr>
      </w:pPr>
      <w:r>
        <w:rPr>
          <w:rFonts w:hint="eastAsia" w:ascii="宋体" w:hAnsi="宋体"/>
          <w:color w:val="auto"/>
          <w:sz w:val="24"/>
        </w:rPr>
        <w:t>法定代表人签字或者加盖个人私章：XXXX</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授权代表签字：XXXX</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bCs/>
          <w:color w:val="auto"/>
          <w:sz w:val="24"/>
        </w:rPr>
      </w:pPr>
      <w:r>
        <w:rPr>
          <w:rFonts w:hint="eastAsia" w:ascii="宋体" w:hAnsi="宋体"/>
          <w:color w:val="auto"/>
          <w:sz w:val="24"/>
        </w:rPr>
        <w:t>日    期：XX年XX月XX日</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三、法定代表人/单位负责人身份证明书</w:t>
      </w:r>
    </w:p>
    <w:p>
      <w:pPr>
        <w:widowControl/>
        <w:spacing w:line="360" w:lineRule="auto"/>
        <w:ind w:right="315" w:rightChars="150" w:firstLine="480" w:firstLineChars="200"/>
        <w:jc w:val="left"/>
        <w:rPr>
          <w:rFonts w:ascii="宋体" w:hAnsi="宋体"/>
          <w:color w:val="auto"/>
          <w:sz w:val="24"/>
        </w:rPr>
      </w:pPr>
    </w:p>
    <w:p>
      <w:pPr>
        <w:widowControl/>
        <w:spacing w:line="360" w:lineRule="auto"/>
        <w:ind w:right="315" w:rightChars="150" w:firstLine="480" w:firstLineChars="200"/>
        <w:jc w:val="left"/>
        <w:rPr>
          <w:rFonts w:ascii="宋体" w:hAnsi="宋体" w:cs="Arial"/>
          <w:color w:val="auto"/>
          <w:kern w:val="0"/>
          <w:sz w:val="24"/>
          <w:szCs w:val="20"/>
        </w:rPr>
      </w:pPr>
      <w:r>
        <w:rPr>
          <w:rFonts w:ascii="宋体" w:hAnsi="宋体" w:cs="Arial"/>
          <w:color w:val="auto"/>
          <w:kern w:val="0"/>
          <w:sz w:val="24"/>
          <w:szCs w:val="20"/>
          <w:u w:val="single"/>
        </w:rPr>
        <w:t>（法定代表人/单位负责人姓名）</w:t>
      </w:r>
      <w:r>
        <w:rPr>
          <w:rFonts w:ascii="宋体" w:hAnsi="宋体" w:cs="Arial"/>
          <w:color w:val="auto"/>
          <w:kern w:val="0"/>
          <w:sz w:val="24"/>
          <w:szCs w:val="20"/>
        </w:rPr>
        <w:t>在</w:t>
      </w:r>
      <w:r>
        <w:rPr>
          <w:rFonts w:ascii="宋体" w:hAnsi="宋体" w:cs="Arial"/>
          <w:color w:val="auto"/>
          <w:kern w:val="0"/>
          <w:sz w:val="24"/>
          <w:szCs w:val="20"/>
          <w:u w:val="single"/>
        </w:rPr>
        <w:t>（供应商名称）</w:t>
      </w:r>
      <w:r>
        <w:rPr>
          <w:rFonts w:ascii="宋体" w:hAnsi="宋体" w:cs="Arial"/>
          <w:color w:val="auto"/>
          <w:kern w:val="0"/>
          <w:sz w:val="24"/>
          <w:szCs w:val="20"/>
        </w:rPr>
        <w:t>处任</w:t>
      </w:r>
      <w:r>
        <w:rPr>
          <w:rFonts w:ascii="宋体" w:hAnsi="宋体" w:cs="Arial"/>
          <w:color w:val="auto"/>
          <w:kern w:val="0"/>
          <w:sz w:val="24"/>
          <w:szCs w:val="20"/>
          <w:u w:val="single"/>
        </w:rPr>
        <w:t>（职务名称）</w:t>
      </w:r>
      <w:r>
        <w:rPr>
          <w:rFonts w:ascii="宋体" w:hAnsi="宋体" w:cs="Arial"/>
          <w:color w:val="auto"/>
          <w:kern w:val="0"/>
          <w:sz w:val="24"/>
          <w:szCs w:val="20"/>
        </w:rPr>
        <w:t>职务，是</w:t>
      </w:r>
      <w:r>
        <w:rPr>
          <w:rFonts w:ascii="宋体" w:hAnsi="宋体" w:cs="Arial"/>
          <w:color w:val="auto"/>
          <w:kern w:val="0"/>
          <w:sz w:val="24"/>
          <w:szCs w:val="20"/>
          <w:u w:val="single"/>
        </w:rPr>
        <w:t>（供应商名称）</w:t>
      </w:r>
      <w:r>
        <w:rPr>
          <w:rFonts w:ascii="宋体" w:hAnsi="宋体" w:cs="Arial"/>
          <w:color w:val="auto"/>
          <w:kern w:val="0"/>
          <w:sz w:val="24"/>
          <w:szCs w:val="20"/>
        </w:rPr>
        <w:t>的法定代表人/单位负责人。</w:t>
      </w:r>
    </w:p>
    <w:p>
      <w:pPr>
        <w:widowControl/>
        <w:spacing w:line="360" w:lineRule="auto"/>
        <w:ind w:right="315" w:rightChars="150" w:firstLine="400" w:firstLineChars="200"/>
        <w:jc w:val="left"/>
        <w:rPr>
          <w:rFonts w:eastAsia="Times New Roman" w:cs="Arial"/>
          <w:color w:val="auto"/>
          <w:kern w:val="0"/>
          <w:sz w:val="20"/>
          <w:szCs w:val="20"/>
        </w:rPr>
      </w:pPr>
    </w:p>
    <w:p>
      <w:pPr>
        <w:widowControl/>
        <w:spacing w:line="274" w:lineRule="exact"/>
        <w:ind w:left="940"/>
        <w:jc w:val="left"/>
        <w:rPr>
          <w:rFonts w:ascii="宋体" w:hAnsi="宋体" w:cs="Arial"/>
          <w:color w:val="auto"/>
          <w:kern w:val="0"/>
          <w:sz w:val="24"/>
          <w:szCs w:val="20"/>
        </w:rPr>
      </w:pPr>
      <w:r>
        <w:rPr>
          <w:rFonts w:ascii="宋体" w:hAnsi="宋体" w:cs="Arial"/>
          <w:color w:val="auto"/>
          <w:kern w:val="0"/>
          <w:sz w:val="24"/>
          <w:szCs w:val="20"/>
        </w:rPr>
        <w:t>特此证明。</w:t>
      </w:r>
    </w:p>
    <w:p>
      <w:pPr>
        <w:widowControl/>
        <w:spacing w:line="200" w:lineRule="exact"/>
        <w:jc w:val="left"/>
        <w:rPr>
          <w:rFonts w:eastAsia="Times New Roman" w:cs="Arial"/>
          <w:color w:val="auto"/>
          <w:kern w:val="0"/>
          <w:sz w:val="20"/>
          <w:szCs w:val="20"/>
        </w:rPr>
      </w:pPr>
    </w:p>
    <w:p>
      <w:pPr>
        <w:widowControl/>
        <w:spacing w:line="200" w:lineRule="exact"/>
        <w:jc w:val="left"/>
        <w:rPr>
          <w:rFonts w:eastAsia="Times New Roman" w:cs="Arial"/>
          <w:color w:val="auto"/>
          <w:kern w:val="0"/>
          <w:sz w:val="20"/>
          <w:szCs w:val="20"/>
        </w:rPr>
      </w:pPr>
    </w:p>
    <w:p>
      <w:pPr>
        <w:widowControl/>
        <w:spacing w:line="200" w:lineRule="exact"/>
        <w:jc w:val="left"/>
        <w:rPr>
          <w:rFonts w:eastAsia="Times New Roman" w:cs="Arial"/>
          <w:color w:val="auto"/>
          <w:kern w:val="0"/>
          <w:sz w:val="20"/>
          <w:szCs w:val="20"/>
        </w:rPr>
      </w:pPr>
    </w:p>
    <w:p>
      <w:pPr>
        <w:widowControl/>
        <w:spacing w:line="394" w:lineRule="exact"/>
        <w:jc w:val="left"/>
        <w:rPr>
          <w:rFonts w:eastAsia="Times New Roman" w:cs="Arial"/>
          <w:color w:val="auto"/>
          <w:kern w:val="0"/>
          <w:sz w:val="20"/>
          <w:szCs w:val="20"/>
        </w:rPr>
      </w:pPr>
    </w:p>
    <w:p>
      <w:pPr>
        <w:widowControl/>
        <w:spacing w:line="274" w:lineRule="exact"/>
        <w:ind w:left="840"/>
        <w:jc w:val="right"/>
        <w:rPr>
          <w:rFonts w:eastAsia="Times New Roman" w:cs="Arial"/>
          <w:color w:val="auto"/>
          <w:kern w:val="0"/>
          <w:sz w:val="20"/>
          <w:szCs w:val="20"/>
        </w:rPr>
      </w:pPr>
      <w:r>
        <w:rPr>
          <w:rFonts w:ascii="宋体" w:hAnsi="宋体" w:cs="Arial"/>
          <w:color w:val="auto"/>
          <w:kern w:val="0"/>
          <w:sz w:val="24"/>
          <w:szCs w:val="20"/>
        </w:rPr>
        <w:t>供应商名称：</w:t>
      </w:r>
      <w:r>
        <w:rPr>
          <w:rFonts w:ascii="宋体" w:hAnsi="宋体" w:cs="Arial"/>
          <w:color w:val="auto"/>
          <w:kern w:val="0"/>
          <w:sz w:val="24"/>
          <w:szCs w:val="20"/>
          <w:u w:val="single"/>
        </w:rPr>
        <w:t>XXXX</w:t>
      </w:r>
      <w:r>
        <w:rPr>
          <w:rFonts w:ascii="宋体" w:hAnsi="宋体" w:cs="Arial"/>
          <w:color w:val="auto"/>
          <w:kern w:val="0"/>
          <w:sz w:val="24"/>
          <w:szCs w:val="20"/>
        </w:rPr>
        <w:t>（盖公章）</w:t>
      </w:r>
    </w:p>
    <w:p>
      <w:pPr>
        <w:widowControl/>
        <w:spacing w:line="274" w:lineRule="exact"/>
        <w:ind w:left="840"/>
        <w:jc w:val="right"/>
        <w:rPr>
          <w:rFonts w:ascii="宋体" w:hAnsi="宋体" w:cs="Arial"/>
          <w:color w:val="auto"/>
          <w:kern w:val="0"/>
          <w:sz w:val="24"/>
          <w:szCs w:val="20"/>
        </w:rPr>
      </w:pPr>
      <w:r>
        <w:rPr>
          <w:rFonts w:ascii="宋体" w:hAnsi="宋体" w:cs="Arial"/>
          <w:color w:val="auto"/>
          <w:kern w:val="0"/>
          <w:sz w:val="24"/>
          <w:szCs w:val="20"/>
        </w:rPr>
        <w:t>日期：</w:t>
      </w:r>
      <w:r>
        <w:rPr>
          <w:rFonts w:ascii="宋体" w:hAnsi="宋体" w:cs="Arial"/>
          <w:color w:val="auto"/>
          <w:kern w:val="0"/>
          <w:sz w:val="24"/>
          <w:szCs w:val="20"/>
          <w:u w:val="single"/>
        </w:rPr>
        <w:t>XX</w:t>
      </w:r>
      <w:r>
        <w:rPr>
          <w:rFonts w:ascii="宋体" w:hAnsi="宋体" w:cs="Arial"/>
          <w:color w:val="auto"/>
          <w:kern w:val="0"/>
          <w:sz w:val="24"/>
          <w:szCs w:val="20"/>
        </w:rPr>
        <w:t xml:space="preserve"> 年 </w:t>
      </w:r>
      <w:r>
        <w:rPr>
          <w:rFonts w:ascii="宋体" w:hAnsi="宋体" w:cs="Arial"/>
          <w:color w:val="auto"/>
          <w:kern w:val="0"/>
          <w:sz w:val="24"/>
          <w:szCs w:val="20"/>
          <w:u w:val="single"/>
        </w:rPr>
        <w:t>XX</w:t>
      </w:r>
      <w:r>
        <w:rPr>
          <w:rFonts w:ascii="宋体" w:hAnsi="宋体" w:cs="Arial"/>
          <w:color w:val="auto"/>
          <w:kern w:val="0"/>
          <w:sz w:val="24"/>
          <w:szCs w:val="20"/>
        </w:rPr>
        <w:t xml:space="preserve"> 月 </w:t>
      </w:r>
      <w:r>
        <w:rPr>
          <w:rFonts w:ascii="宋体" w:hAnsi="宋体" w:cs="Arial"/>
          <w:color w:val="auto"/>
          <w:kern w:val="0"/>
          <w:sz w:val="24"/>
          <w:szCs w:val="20"/>
          <w:u w:val="single"/>
        </w:rPr>
        <w:t>XX</w:t>
      </w:r>
      <w:r>
        <w:rPr>
          <w:rFonts w:ascii="宋体" w:hAnsi="宋体" w:cs="Arial"/>
          <w:color w:val="auto"/>
          <w:kern w:val="0"/>
          <w:sz w:val="24"/>
          <w:szCs w:val="20"/>
        </w:rPr>
        <w:t xml:space="preserve"> 日</w:t>
      </w:r>
    </w:p>
    <w:p>
      <w:pPr>
        <w:spacing w:beforeLines="100" w:afterLines="100" w:line="360" w:lineRule="auto"/>
        <w:ind w:firstLine="480" w:firstLineChars="200"/>
        <w:rPr>
          <w:rFonts w:ascii="宋体" w:hAnsi="宋体"/>
          <w:bCs/>
          <w:color w:val="auto"/>
          <w:sz w:val="24"/>
        </w:rPr>
      </w:pPr>
    </w:p>
    <w:p>
      <w:pPr>
        <w:spacing w:line="360" w:lineRule="auto"/>
        <w:rPr>
          <w:rFonts w:ascii="宋体" w:hAnsi="宋体"/>
          <w:bCs/>
          <w:color w:val="auto"/>
          <w:sz w:val="24"/>
        </w:rPr>
      </w:pPr>
      <w:r>
        <w:rPr>
          <w:rFonts w:hint="eastAsia" w:ascii="宋体" w:hAnsi="宋体"/>
          <w:bCs/>
          <w:color w:val="auto"/>
          <w:sz w:val="24"/>
        </w:rPr>
        <w:t>注：</w:t>
      </w:r>
    </w:p>
    <w:p>
      <w:pPr>
        <w:spacing w:line="360" w:lineRule="auto"/>
        <w:rPr>
          <w:rFonts w:ascii="宋体" w:hAnsi="宋体"/>
          <w:bCs/>
          <w:color w:val="auto"/>
          <w:sz w:val="24"/>
        </w:rPr>
      </w:pPr>
      <w:r>
        <w:rPr>
          <w:rFonts w:hint="eastAsia" w:ascii="宋体" w:hAnsi="宋体"/>
          <w:bCs/>
          <w:color w:val="auto"/>
          <w:sz w:val="24"/>
        </w:rPr>
        <w:t>1. 非法人单位提供单位负责人身份证明书；</w:t>
      </w:r>
    </w:p>
    <w:p>
      <w:pPr>
        <w:spacing w:line="360" w:lineRule="auto"/>
        <w:rPr>
          <w:rFonts w:ascii="宋体" w:hAnsi="宋体"/>
          <w:bCs/>
          <w:color w:val="auto"/>
          <w:sz w:val="24"/>
        </w:rPr>
      </w:pPr>
      <w:r>
        <w:rPr>
          <w:rFonts w:hint="eastAsia" w:ascii="宋体" w:hAnsi="宋体"/>
          <w:bCs/>
          <w:color w:val="auto"/>
          <w:sz w:val="24"/>
        </w:rPr>
        <w:t>2. 须附法定代表人/单位负责人身份证复印件（身份证两面均应复印），否则无效；</w:t>
      </w:r>
    </w:p>
    <w:p>
      <w:pPr>
        <w:spacing w:line="360" w:lineRule="auto"/>
        <w:rPr>
          <w:rFonts w:ascii="宋体" w:hAnsi="宋体"/>
          <w:bCs/>
          <w:color w:val="auto"/>
          <w:sz w:val="24"/>
        </w:rPr>
      </w:pPr>
      <w:r>
        <w:rPr>
          <w:rFonts w:hint="eastAsia" w:ascii="宋体" w:hAnsi="宋体"/>
          <w:bCs/>
          <w:color w:val="auto"/>
          <w:sz w:val="24"/>
        </w:rPr>
        <w:t>3. 供应商的法定代表人/单位负责人为外籍人士的，则提供护照复印件。</w:t>
      </w: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四、法定代表人/单位负责人授权书</w:t>
      </w:r>
    </w:p>
    <w:p>
      <w:pPr>
        <w:spacing w:line="360" w:lineRule="auto"/>
        <w:rPr>
          <w:rFonts w:ascii="宋体" w:hAnsi="宋体"/>
          <w:color w:val="auto"/>
          <w:sz w:val="24"/>
        </w:rPr>
      </w:pPr>
      <w:r>
        <w:rPr>
          <w:rFonts w:hint="eastAsia" w:ascii="宋体" w:hAnsi="宋体"/>
          <w:color w:val="auto"/>
          <w:sz w:val="24"/>
          <w:lang w:eastAsia="zh-CN"/>
        </w:rPr>
        <w:t>广元市水利局</w:t>
      </w:r>
      <w:r>
        <w:rPr>
          <w:rFonts w:hint="eastAsia" w:ascii="宋体" w:hAnsi="宋体"/>
          <w:color w:val="auto"/>
          <w:sz w:val="24"/>
        </w:rPr>
        <w:t>：</w:t>
      </w:r>
    </w:p>
    <w:p>
      <w:pPr>
        <w:spacing w:line="360" w:lineRule="auto"/>
        <w:ind w:firstLine="482"/>
        <w:rPr>
          <w:rFonts w:ascii="宋体" w:hAnsi="宋体"/>
          <w:color w:val="auto"/>
          <w:sz w:val="24"/>
        </w:rPr>
      </w:pPr>
      <w:r>
        <w:rPr>
          <w:rFonts w:hint="eastAsia" w:ascii="宋体" w:hAnsi="宋体"/>
          <w:color w:val="auto"/>
          <w:sz w:val="24"/>
        </w:rPr>
        <w:t>本授权声明：XXXX（单位名称）XXXX（法定代表人/单位负责人姓名、职务）授权 XXXX（被授权人姓名、职务）为我方“XXXX项目”谈判报价活动的合法代表，以我方名义全权处理该项目有关谈判、报价、签订合同以及执行合同等一切事宜。</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特此声明。</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pPr>
        <w:spacing w:line="360" w:lineRule="auto"/>
        <w:rPr>
          <w:rFonts w:ascii="宋体" w:hAnsi="宋体"/>
          <w:color w:val="auto"/>
          <w:sz w:val="24"/>
        </w:rPr>
      </w:pPr>
      <w:r>
        <w:rPr>
          <w:rFonts w:hint="eastAsia" w:ascii="宋体" w:hAnsi="宋体"/>
          <w:color w:val="auto"/>
          <w:sz w:val="24"/>
        </w:rPr>
        <w:t>法定代表人/单位负责人（签字或者加盖个人名章）：XXXX</w:t>
      </w:r>
    </w:p>
    <w:p>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pPr>
        <w:spacing w:line="360" w:lineRule="auto"/>
        <w:rPr>
          <w:rFonts w:ascii="宋体" w:hAnsi="宋体"/>
          <w:color w:val="auto"/>
          <w:sz w:val="24"/>
        </w:rPr>
      </w:pPr>
      <w:r>
        <w:rPr>
          <w:rFonts w:hint="eastAsia" w:ascii="宋体" w:hAnsi="宋体"/>
          <w:color w:val="auto"/>
          <w:sz w:val="24"/>
        </w:rPr>
        <w:t>授权代表签字：XXXX</w:t>
      </w:r>
    </w:p>
    <w:p>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pPr>
        <w:spacing w:line="360" w:lineRule="auto"/>
        <w:rPr>
          <w:rFonts w:ascii="宋体" w:hAnsi="宋体"/>
          <w:color w:val="auto"/>
          <w:sz w:val="24"/>
        </w:rPr>
      </w:pPr>
      <w:r>
        <w:rPr>
          <w:rFonts w:hint="eastAsia" w:ascii="宋体" w:hAnsi="宋体"/>
          <w:color w:val="auto"/>
          <w:sz w:val="24"/>
        </w:rPr>
        <w:t>日</w:t>
      </w:r>
      <w:r>
        <w:rPr>
          <w:rFonts w:hint="eastAsia" w:ascii="宋体" w:hAnsi="宋体"/>
          <w:color w:val="auto"/>
          <w:sz w:val="24"/>
        </w:rPr>
        <w:tab/>
      </w:r>
      <w:r>
        <w:rPr>
          <w:rFonts w:hint="eastAsia" w:ascii="宋体" w:hAnsi="宋体"/>
          <w:color w:val="auto"/>
          <w:sz w:val="24"/>
        </w:rPr>
        <w:t>期：XXXX</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注：</w:t>
      </w:r>
    </w:p>
    <w:p>
      <w:pPr>
        <w:spacing w:line="360" w:lineRule="auto"/>
        <w:rPr>
          <w:rFonts w:ascii="宋体" w:hAnsi="宋体"/>
          <w:color w:val="auto"/>
          <w:sz w:val="24"/>
        </w:rPr>
      </w:pPr>
      <w:r>
        <w:rPr>
          <w:rFonts w:hint="eastAsia" w:ascii="宋体" w:hAnsi="宋体"/>
          <w:color w:val="auto"/>
          <w:sz w:val="24"/>
        </w:rPr>
        <w:t>1.非法人单位提供单位负责人授权书。</w:t>
      </w:r>
    </w:p>
    <w:p>
      <w:pPr>
        <w:spacing w:line="360" w:lineRule="auto"/>
        <w:rPr>
          <w:rFonts w:ascii="宋体" w:hAnsi="宋体"/>
          <w:color w:val="auto"/>
          <w:sz w:val="24"/>
        </w:rPr>
      </w:pPr>
      <w:r>
        <w:rPr>
          <w:rFonts w:hint="eastAsia" w:ascii="宋体" w:hAnsi="宋体"/>
          <w:color w:val="auto"/>
          <w:sz w:val="24"/>
        </w:rPr>
        <w:t>2.须附授权代表身份证复印件（身份证两面均应复印），否则无效。</w:t>
      </w:r>
    </w:p>
    <w:p>
      <w:pPr>
        <w:spacing w:line="360" w:lineRule="auto"/>
        <w:rPr>
          <w:rFonts w:ascii="宋体" w:hAnsi="宋体"/>
          <w:color w:val="auto"/>
          <w:sz w:val="24"/>
        </w:rPr>
      </w:pPr>
      <w:r>
        <w:rPr>
          <w:rFonts w:hint="eastAsia" w:ascii="宋体" w:hAnsi="宋体"/>
          <w:color w:val="auto"/>
          <w:sz w:val="24"/>
        </w:rPr>
        <w:t>3.法定代表人或单位负责人参与谈判时无须提供</w:t>
      </w:r>
      <w:r>
        <w:rPr>
          <w:rFonts w:ascii="宋体" w:hAnsi="宋体"/>
          <w:color w:val="auto"/>
          <w:sz w:val="24"/>
        </w:rPr>
        <w:t>。</w:t>
      </w:r>
      <w:r>
        <w:rPr>
          <w:rFonts w:hint="eastAsia" w:ascii="宋体" w:hAnsi="宋体"/>
          <w:color w:val="auto"/>
          <w:sz w:val="24"/>
        </w:rPr>
        <w:t xml:space="preserve"> </w:t>
      </w:r>
    </w:p>
    <w:p>
      <w:pPr>
        <w:spacing w:line="360" w:lineRule="auto"/>
        <w:ind w:firstLine="480" w:firstLineChars="200"/>
        <w:rPr>
          <w:rFonts w:ascii="宋体" w:hAnsi="宋体"/>
          <w:color w:val="auto"/>
          <w:sz w:val="24"/>
        </w:rPr>
        <w:sectPr>
          <w:footerReference r:id="rId5" w:type="default"/>
          <w:pgSz w:w="11907" w:h="16840"/>
          <w:pgMar w:top="1474" w:right="1418" w:bottom="1247" w:left="1418" w:header="1134" w:footer="851" w:gutter="170"/>
          <w:pgNumType w:start="1"/>
          <w:cols w:space="425" w:num="1"/>
          <w:docGrid w:linePitch="312" w:charSpace="0"/>
        </w:sectPr>
      </w:pPr>
    </w:p>
    <w:p>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五、供应商基本情况表</w:t>
      </w:r>
    </w:p>
    <w:tbl>
      <w:tblPr>
        <w:tblStyle w:val="40"/>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993"/>
        <w:gridCol w:w="82"/>
        <w:gridCol w:w="1260"/>
        <w:gridCol w:w="1260"/>
        <w:gridCol w:w="420"/>
        <w:gridCol w:w="480"/>
        <w:gridCol w:w="360"/>
        <w:gridCol w:w="840"/>
        <w:gridCol w:w="60"/>
        <w:gridCol w:w="36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供应商名称</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注册地址</w:t>
            </w:r>
          </w:p>
        </w:tc>
        <w:tc>
          <w:tcPr>
            <w:tcW w:w="4495" w:type="dxa"/>
            <w:gridSpan w:val="6"/>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邮政编码</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5" w:type="dxa"/>
            <w:vMerge w:val="restart"/>
            <w:vAlign w:val="center"/>
          </w:tcPr>
          <w:p>
            <w:pPr>
              <w:jc w:val="center"/>
              <w:rPr>
                <w:rFonts w:ascii="宋体" w:hAnsi="宋体" w:cs="Arial"/>
                <w:bCs/>
                <w:color w:val="auto"/>
                <w:sz w:val="24"/>
              </w:rPr>
            </w:pPr>
            <w:r>
              <w:rPr>
                <w:rFonts w:hint="eastAsia" w:ascii="宋体" w:hAnsi="宋体" w:cs="Arial"/>
                <w:bCs/>
                <w:color w:val="auto"/>
                <w:sz w:val="24"/>
              </w:rPr>
              <w:t>联系方式</w:t>
            </w:r>
          </w:p>
        </w:tc>
        <w:tc>
          <w:tcPr>
            <w:tcW w:w="993"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联系人</w:t>
            </w:r>
          </w:p>
        </w:tc>
        <w:tc>
          <w:tcPr>
            <w:tcW w:w="3502" w:type="dxa"/>
            <w:gridSpan w:val="5"/>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65" w:type="dxa"/>
            <w:vMerge w:val="continue"/>
            <w:vAlign w:val="center"/>
          </w:tcPr>
          <w:p>
            <w:pPr>
              <w:ind w:firstLine="480"/>
              <w:jc w:val="center"/>
              <w:rPr>
                <w:rFonts w:ascii="宋体" w:hAnsi="宋体" w:cs="Arial"/>
                <w:bCs/>
                <w:color w:val="auto"/>
                <w:sz w:val="24"/>
              </w:rPr>
            </w:pPr>
          </w:p>
        </w:tc>
        <w:tc>
          <w:tcPr>
            <w:tcW w:w="993"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传真</w:t>
            </w:r>
          </w:p>
        </w:tc>
        <w:tc>
          <w:tcPr>
            <w:tcW w:w="3502" w:type="dxa"/>
            <w:gridSpan w:val="5"/>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网址</w:t>
            </w:r>
          </w:p>
        </w:tc>
        <w:tc>
          <w:tcPr>
            <w:tcW w:w="1409" w:type="dxa"/>
            <w:gridSpan w:val="2"/>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组织结构</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法定代表人</w:t>
            </w:r>
          </w:p>
        </w:tc>
        <w:tc>
          <w:tcPr>
            <w:tcW w:w="1075"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pPr>
              <w:ind w:firstLine="480"/>
              <w:jc w:val="center"/>
              <w:rPr>
                <w:rFonts w:ascii="宋体" w:hAnsi="宋体" w:cs="Arial"/>
                <w:bCs/>
                <w:color w:val="auto"/>
                <w:sz w:val="24"/>
              </w:rPr>
            </w:pPr>
          </w:p>
        </w:tc>
        <w:tc>
          <w:tcPr>
            <w:tcW w:w="1260"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技术负责人</w:t>
            </w:r>
          </w:p>
        </w:tc>
        <w:tc>
          <w:tcPr>
            <w:tcW w:w="1075" w:type="dxa"/>
            <w:gridSpan w:val="2"/>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pPr>
              <w:ind w:firstLine="480"/>
              <w:jc w:val="center"/>
              <w:rPr>
                <w:rFonts w:ascii="宋体" w:hAnsi="宋体" w:cs="Arial"/>
                <w:bCs/>
                <w:color w:val="auto"/>
                <w:sz w:val="24"/>
              </w:rPr>
            </w:pPr>
          </w:p>
        </w:tc>
        <w:tc>
          <w:tcPr>
            <w:tcW w:w="1260" w:type="dxa"/>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pPr>
              <w:ind w:firstLine="480"/>
              <w:jc w:val="center"/>
              <w:rPr>
                <w:rFonts w:ascii="宋体" w:hAnsi="宋体" w:cs="Arial"/>
                <w:bCs/>
                <w:color w:val="auto"/>
                <w:sz w:val="24"/>
              </w:rPr>
            </w:pPr>
          </w:p>
        </w:tc>
        <w:tc>
          <w:tcPr>
            <w:tcW w:w="126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成立时间</w:t>
            </w:r>
          </w:p>
        </w:tc>
        <w:tc>
          <w:tcPr>
            <w:tcW w:w="2335" w:type="dxa"/>
            <w:gridSpan w:val="3"/>
            <w:vAlign w:val="center"/>
          </w:tcPr>
          <w:p>
            <w:pPr>
              <w:ind w:firstLine="480"/>
              <w:jc w:val="center"/>
              <w:rPr>
                <w:rFonts w:ascii="宋体" w:hAnsi="宋体" w:cs="Arial"/>
                <w:bCs/>
                <w:color w:val="auto"/>
                <w:sz w:val="24"/>
              </w:rPr>
            </w:pPr>
          </w:p>
        </w:tc>
        <w:tc>
          <w:tcPr>
            <w:tcW w:w="4829" w:type="dxa"/>
            <w:gridSpan w:val="8"/>
            <w:vAlign w:val="center"/>
          </w:tcPr>
          <w:p>
            <w:pPr>
              <w:ind w:firstLine="480"/>
              <w:jc w:val="center"/>
              <w:rPr>
                <w:rFonts w:ascii="宋体" w:hAnsi="宋体" w:cs="Arial"/>
                <w:bCs/>
                <w:color w:val="auto"/>
                <w:sz w:val="24"/>
              </w:rPr>
            </w:pPr>
            <w:r>
              <w:rPr>
                <w:rFonts w:hint="eastAsia" w:ascii="宋体" w:hAnsi="宋体" w:cs="Arial"/>
                <w:bCs/>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企业资质等级</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restart"/>
            <w:shd w:val="clear" w:color="auto" w:fill="auto"/>
            <w:vAlign w:val="center"/>
          </w:tcPr>
          <w:p>
            <w:pPr>
              <w:ind w:firstLine="480"/>
              <w:rPr>
                <w:rFonts w:ascii="宋体" w:hAnsi="宋体" w:cs="Arial"/>
                <w:bCs/>
                <w:color w:val="auto"/>
                <w:sz w:val="24"/>
              </w:rPr>
            </w:pPr>
            <w:r>
              <w:rPr>
                <w:rFonts w:hint="eastAsia" w:ascii="宋体" w:hAnsi="宋体" w:cs="Arial"/>
                <w:bCs/>
                <w:color w:val="auto"/>
                <w:sz w:val="24"/>
              </w:rPr>
              <w:t>其中</w:t>
            </w: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项目经理</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营业执照</w:t>
            </w:r>
            <w:r>
              <w:rPr>
                <w:rFonts w:hint="eastAsia" w:ascii="宋体" w:hAnsi="宋体"/>
                <w:color w:val="auto"/>
                <w:sz w:val="24"/>
              </w:rPr>
              <w:t>号</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高级职称人员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注册资金</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中级职称人员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开户银行</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初级职称人员</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账号</w:t>
            </w:r>
          </w:p>
        </w:tc>
        <w:tc>
          <w:tcPr>
            <w:tcW w:w="2335" w:type="dxa"/>
            <w:gridSpan w:val="3"/>
            <w:shd w:val="clear" w:color="auto" w:fill="auto"/>
            <w:vAlign w:val="center"/>
          </w:tcPr>
          <w:p>
            <w:pPr>
              <w:ind w:firstLine="480"/>
              <w:jc w:val="center"/>
              <w:rPr>
                <w:rFonts w:ascii="宋体" w:hAnsi="宋体" w:cs="Arial"/>
                <w:bCs/>
                <w:color w:val="auto"/>
                <w:sz w:val="24"/>
              </w:rPr>
            </w:pPr>
          </w:p>
        </w:tc>
        <w:tc>
          <w:tcPr>
            <w:tcW w:w="1680" w:type="dxa"/>
            <w:gridSpan w:val="2"/>
            <w:vMerge w:val="continue"/>
            <w:shd w:val="clear" w:color="auto" w:fill="auto"/>
            <w:vAlign w:val="center"/>
          </w:tcPr>
          <w:p>
            <w:pPr>
              <w:ind w:firstLine="480"/>
              <w:jc w:val="center"/>
              <w:rPr>
                <w:rFonts w:ascii="宋体" w:hAnsi="宋体" w:cs="Arial"/>
                <w:bCs/>
                <w:color w:val="auto"/>
                <w:sz w:val="24"/>
              </w:rPr>
            </w:pPr>
          </w:p>
        </w:tc>
        <w:tc>
          <w:tcPr>
            <w:tcW w:w="1680" w:type="dxa"/>
            <w:gridSpan w:val="3"/>
            <w:shd w:val="clear" w:color="auto" w:fill="auto"/>
            <w:vAlign w:val="center"/>
          </w:tcPr>
          <w:p>
            <w:pPr>
              <w:jc w:val="center"/>
              <w:rPr>
                <w:rFonts w:ascii="宋体" w:hAnsi="宋体" w:cs="Arial"/>
                <w:bCs/>
                <w:color w:val="auto"/>
                <w:sz w:val="24"/>
              </w:rPr>
            </w:pPr>
            <w:r>
              <w:rPr>
                <w:rFonts w:hint="eastAsia" w:ascii="宋体" w:hAnsi="宋体" w:cs="Arial"/>
                <w:bCs/>
                <w:color w:val="auto"/>
                <w:sz w:val="24"/>
              </w:rPr>
              <w:t>技工</w:t>
            </w:r>
          </w:p>
        </w:tc>
        <w:tc>
          <w:tcPr>
            <w:tcW w:w="1469" w:type="dxa"/>
            <w:gridSpan w:val="3"/>
            <w:shd w:val="clear" w:color="auto" w:fill="auto"/>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经营范围</w:t>
            </w:r>
          </w:p>
        </w:tc>
        <w:tc>
          <w:tcPr>
            <w:tcW w:w="7164" w:type="dxa"/>
            <w:gridSpan w:val="11"/>
            <w:vAlign w:val="center"/>
          </w:tcPr>
          <w:p>
            <w:pPr>
              <w:ind w:firstLine="480"/>
              <w:jc w:val="center"/>
              <w:rPr>
                <w:rFonts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65" w:type="dxa"/>
            <w:vAlign w:val="center"/>
          </w:tcPr>
          <w:p>
            <w:pPr>
              <w:jc w:val="center"/>
              <w:rPr>
                <w:rFonts w:ascii="宋体" w:hAnsi="宋体" w:cs="Arial"/>
                <w:bCs/>
                <w:color w:val="auto"/>
                <w:sz w:val="24"/>
              </w:rPr>
            </w:pPr>
            <w:r>
              <w:rPr>
                <w:rFonts w:hint="eastAsia" w:ascii="宋体" w:hAnsi="宋体" w:cs="Arial"/>
                <w:bCs/>
                <w:color w:val="auto"/>
                <w:sz w:val="24"/>
              </w:rPr>
              <w:t>备注</w:t>
            </w:r>
          </w:p>
        </w:tc>
        <w:tc>
          <w:tcPr>
            <w:tcW w:w="7164" w:type="dxa"/>
            <w:gridSpan w:val="11"/>
            <w:vAlign w:val="center"/>
          </w:tcPr>
          <w:p>
            <w:pPr>
              <w:ind w:firstLine="480"/>
              <w:jc w:val="center"/>
              <w:rPr>
                <w:rFonts w:ascii="宋体" w:hAnsi="宋体" w:cs="Arial"/>
                <w:bCs/>
                <w:color w:val="auto"/>
                <w:sz w:val="24"/>
              </w:rPr>
            </w:pPr>
          </w:p>
        </w:tc>
      </w:tr>
    </w:tbl>
    <w:p>
      <w:pPr>
        <w:adjustRightInd w:val="0"/>
        <w:spacing w:beforeLines="200" w:afterLines="100" w:line="360" w:lineRule="auto"/>
        <w:ind w:firstLine="480" w:firstLineChars="200"/>
        <w:jc w:val="left"/>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日  期：XX年XX月XX日</w:t>
      </w:r>
    </w:p>
    <w:p>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六、报价函</w:t>
      </w:r>
    </w:p>
    <w:p>
      <w:pPr>
        <w:spacing w:line="360" w:lineRule="auto"/>
        <w:rPr>
          <w:rFonts w:ascii="宋体" w:hAnsi="宋体"/>
          <w:color w:val="auto"/>
          <w:sz w:val="24"/>
        </w:rPr>
      </w:pPr>
      <w:r>
        <w:rPr>
          <w:rFonts w:hint="eastAsia" w:ascii="宋体" w:hAnsi="宋体"/>
          <w:color w:val="auto"/>
          <w:sz w:val="24"/>
          <w:lang w:eastAsia="zh-CN"/>
        </w:rPr>
        <w:t>广元市水利局</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 我方全面研究了“</w:t>
      </w:r>
      <w:r>
        <w:rPr>
          <w:rFonts w:hint="eastAsia" w:ascii="宋体" w:hAnsi="宋体"/>
          <w:bCs/>
          <w:color w:val="auto"/>
          <w:sz w:val="24"/>
        </w:rPr>
        <w:t>XXX项目”</w:t>
      </w:r>
      <w:r>
        <w:rPr>
          <w:rFonts w:hint="eastAsia" w:ascii="宋体" w:hAnsi="宋体"/>
          <w:color w:val="auto"/>
          <w:sz w:val="24"/>
        </w:rPr>
        <w:t>的谈判文件，决定参加贵单位组织的本项目的竞争性谈判采购。</w:t>
      </w:r>
    </w:p>
    <w:p>
      <w:pPr>
        <w:spacing w:line="360" w:lineRule="auto"/>
        <w:ind w:firstLine="480" w:firstLineChars="200"/>
        <w:rPr>
          <w:rFonts w:ascii="宋体" w:hAnsi="宋体"/>
          <w:color w:val="auto"/>
          <w:sz w:val="24"/>
        </w:rPr>
      </w:pPr>
      <w:r>
        <w:rPr>
          <w:rFonts w:hint="eastAsia" w:ascii="宋体" w:hAnsi="宋体"/>
          <w:color w:val="auto"/>
          <w:sz w:val="24"/>
        </w:rPr>
        <w:t>2. 我方自愿按照谈判文件规定的各项要求向采购人提供所需服务。</w:t>
      </w:r>
    </w:p>
    <w:p>
      <w:pPr>
        <w:spacing w:line="360" w:lineRule="auto"/>
        <w:ind w:firstLine="480" w:firstLineChars="200"/>
        <w:rPr>
          <w:rFonts w:ascii="宋体" w:hAnsi="宋体"/>
          <w:color w:val="auto"/>
          <w:sz w:val="24"/>
        </w:rPr>
      </w:pPr>
      <w:r>
        <w:rPr>
          <w:rFonts w:hint="eastAsia" w:ascii="宋体" w:hAnsi="宋体"/>
          <w:color w:val="auto"/>
          <w:sz w:val="24"/>
        </w:rPr>
        <w:t>3. 一旦我方成交，我方将严格履行政府采购合同规定的责任和义务。</w:t>
      </w:r>
    </w:p>
    <w:p>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4. 我方为本项目提交的响应文件为资格性响应文件正本一份副本两份，其他响应文件正本一份副本两份。</w:t>
      </w:r>
    </w:p>
    <w:p>
      <w:pPr>
        <w:spacing w:line="360" w:lineRule="auto"/>
        <w:ind w:firstLine="480" w:firstLineChars="200"/>
        <w:rPr>
          <w:rFonts w:ascii="宋体" w:hAnsi="宋体"/>
          <w:color w:val="auto"/>
          <w:sz w:val="24"/>
        </w:rPr>
      </w:pPr>
      <w:r>
        <w:rPr>
          <w:rFonts w:hint="eastAsia" w:ascii="宋体" w:hAnsi="宋体"/>
          <w:color w:val="auto"/>
          <w:sz w:val="24"/>
        </w:rPr>
        <w:t>5. 我方愿意提供贵单位可能另外要求的，与谈判报价有关的文件资料，并保证我方已提供和将要提供的文件资料是真实、准确的。</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6.我单位承诺全部收费项目统一按     %计取（</w:t>
      </w:r>
      <w:r>
        <w:rPr>
          <w:rFonts w:hint="eastAsia" w:ascii="宋体" w:hAnsi="宋体"/>
          <w:snapToGrid w:val="0"/>
          <w:color w:val="auto"/>
          <w:sz w:val="24"/>
        </w:rPr>
        <w:t>限价表的收费项目限价基础上</w:t>
      </w:r>
      <w:r>
        <w:rPr>
          <w:rFonts w:hint="eastAsia" w:ascii="宋体" w:hAnsi="宋体"/>
          <w:color w:val="auto"/>
          <w:sz w:val="24"/>
          <w:lang w:val="en-US" w:eastAsia="zh-CN"/>
        </w:rPr>
        <w:t>）；</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.本次谈判，我方递交的响应文件有效期为谈判文件规定起算之日起90天。</w:t>
      </w:r>
    </w:p>
    <w:p>
      <w:pPr>
        <w:adjustRightInd w:val="0"/>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color w:val="auto"/>
          <w:sz w:val="24"/>
        </w:rPr>
      </w:pPr>
      <w:r>
        <w:rPr>
          <w:rFonts w:hint="eastAsia" w:ascii="宋体" w:hAnsi="宋体"/>
          <w:color w:val="auto"/>
          <w:sz w:val="24"/>
        </w:rPr>
        <w:t>法定代表人或授权代表（签字或盖章）：XXX</w:t>
      </w:r>
    </w:p>
    <w:p>
      <w:pPr>
        <w:spacing w:line="360" w:lineRule="auto"/>
        <w:ind w:firstLine="480" w:firstLineChars="200"/>
        <w:rPr>
          <w:rFonts w:ascii="宋体" w:hAnsi="宋体"/>
          <w:color w:val="auto"/>
          <w:sz w:val="24"/>
        </w:rPr>
      </w:pPr>
      <w:r>
        <w:rPr>
          <w:rFonts w:hint="eastAsia" w:ascii="宋体" w:hAnsi="宋体"/>
          <w:color w:val="auto"/>
          <w:sz w:val="24"/>
        </w:rPr>
        <w:t>通讯地址：XXX</w:t>
      </w:r>
    </w:p>
    <w:p>
      <w:pPr>
        <w:spacing w:line="360" w:lineRule="auto"/>
        <w:ind w:firstLine="480" w:firstLineChars="200"/>
        <w:rPr>
          <w:rFonts w:ascii="宋体" w:hAnsi="宋体"/>
          <w:color w:val="auto"/>
          <w:sz w:val="24"/>
        </w:rPr>
      </w:pPr>
      <w:r>
        <w:rPr>
          <w:rFonts w:hint="eastAsia" w:ascii="宋体" w:hAnsi="宋体"/>
          <w:color w:val="auto"/>
          <w:sz w:val="24"/>
        </w:rPr>
        <w:t>邮政编码：XXX</w:t>
      </w:r>
    </w:p>
    <w:p>
      <w:pPr>
        <w:spacing w:line="360" w:lineRule="auto"/>
        <w:ind w:firstLine="480" w:firstLineChars="200"/>
        <w:rPr>
          <w:rFonts w:ascii="宋体" w:hAnsi="宋体"/>
          <w:color w:val="auto"/>
          <w:sz w:val="24"/>
        </w:rPr>
      </w:pPr>
      <w:r>
        <w:rPr>
          <w:rFonts w:hint="eastAsia" w:ascii="宋体" w:hAnsi="宋体"/>
          <w:color w:val="auto"/>
          <w:sz w:val="24"/>
        </w:rPr>
        <w:t>联系电话：XXX</w:t>
      </w:r>
    </w:p>
    <w:p>
      <w:pPr>
        <w:spacing w:line="360" w:lineRule="auto"/>
        <w:ind w:firstLine="480" w:firstLineChars="200"/>
        <w:rPr>
          <w:rFonts w:ascii="宋体" w:hAnsi="宋体"/>
          <w:color w:val="auto"/>
          <w:sz w:val="24"/>
        </w:rPr>
      </w:pPr>
      <w:r>
        <w:rPr>
          <w:rFonts w:hint="eastAsia" w:ascii="宋体" w:hAnsi="宋体"/>
          <w:color w:val="auto"/>
          <w:sz w:val="24"/>
        </w:rPr>
        <w:t>传    真：XXX</w:t>
      </w:r>
    </w:p>
    <w:p>
      <w:pPr>
        <w:spacing w:line="360" w:lineRule="auto"/>
        <w:ind w:firstLine="480" w:firstLineChars="200"/>
        <w:rPr>
          <w:rFonts w:ascii="宋体" w:hAnsi="宋体"/>
          <w:color w:val="auto"/>
          <w:sz w:val="24"/>
        </w:rPr>
        <w:sectPr>
          <w:footerReference r:id="rId6" w:type="default"/>
          <w:pgSz w:w="11907" w:h="16840"/>
          <w:pgMar w:top="1474" w:right="1418" w:bottom="1247" w:left="1418" w:header="1134" w:footer="851" w:gutter="170"/>
          <w:cols w:space="425" w:num="1"/>
          <w:docGrid w:linePitch="312" w:charSpace="0"/>
        </w:sectPr>
      </w:pPr>
      <w:r>
        <w:rPr>
          <w:rFonts w:hint="eastAsia" w:ascii="宋体" w:hAnsi="宋体"/>
          <w:color w:val="auto"/>
          <w:sz w:val="24"/>
        </w:rPr>
        <w:t>日    期：XX年XX月XX日</w:t>
      </w:r>
    </w:p>
    <w:p>
      <w:pPr>
        <w:spacing w:beforeLines="150" w:afterLines="100" w:line="360" w:lineRule="auto"/>
        <w:jc w:val="center"/>
        <w:rPr>
          <w:rFonts w:ascii="宋体" w:hAnsi="宋体"/>
          <w:b/>
          <w:color w:val="auto"/>
          <w:sz w:val="32"/>
          <w:szCs w:val="32"/>
        </w:rPr>
      </w:pPr>
      <w:r>
        <w:rPr>
          <w:rFonts w:hint="eastAsia" w:ascii="宋体" w:hAnsi="宋体"/>
          <w:b/>
          <w:color w:val="auto"/>
          <w:sz w:val="32"/>
          <w:szCs w:val="32"/>
        </w:rPr>
        <w:t>七、报价一览表</w:t>
      </w:r>
    </w:p>
    <w:tbl>
      <w:tblPr>
        <w:tblStyle w:val="40"/>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项目</w:t>
            </w:r>
            <w:r>
              <w:rPr>
                <w:rFonts w:ascii="宋体" w:hAnsi="宋体"/>
                <w:color w:val="auto"/>
                <w:sz w:val="24"/>
              </w:rPr>
              <w:t>名称</w:t>
            </w:r>
          </w:p>
        </w:tc>
        <w:tc>
          <w:tcPr>
            <w:tcW w:w="7846"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项目编号</w:t>
            </w:r>
          </w:p>
        </w:tc>
        <w:tc>
          <w:tcPr>
            <w:tcW w:w="7846" w:type="dxa"/>
            <w:vAlign w:val="center"/>
          </w:tcPr>
          <w:p>
            <w:pPr>
              <w:ind w:left="240" w:hanging="240"/>
              <w:jc w:val="center"/>
              <w:rPr>
                <w:rFonts w:ascii="宋体" w:hAnsi="宋体"/>
                <w:color w:val="auto"/>
                <w:sz w:val="24"/>
              </w:rPr>
            </w:pPr>
            <w:r>
              <w:rPr>
                <w:rFonts w:hint="eastAsia" w:ascii="宋体" w:hAnsi="宋体" w:cs="Arial"/>
                <w:bCs/>
                <w:color w:val="auto"/>
                <w:kern w:val="3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jc w:val="center"/>
              <w:rPr>
                <w:rFonts w:ascii="宋体" w:hAnsi="宋体"/>
                <w:color w:val="auto"/>
                <w:sz w:val="24"/>
              </w:rPr>
            </w:pPr>
            <w:r>
              <w:rPr>
                <w:rFonts w:hint="eastAsia" w:ascii="宋体" w:hAnsi="宋体"/>
                <w:color w:val="auto"/>
                <w:sz w:val="24"/>
              </w:rPr>
              <w:t>供应商</w:t>
            </w:r>
            <w:r>
              <w:rPr>
                <w:rFonts w:ascii="宋体" w:hAnsi="宋体"/>
                <w:color w:val="auto"/>
                <w:sz w:val="24"/>
              </w:rPr>
              <w:t>名称</w:t>
            </w:r>
          </w:p>
        </w:tc>
        <w:tc>
          <w:tcPr>
            <w:tcW w:w="7846" w:type="dxa"/>
            <w:vAlign w:val="center"/>
          </w:tcPr>
          <w:p>
            <w:pPr>
              <w:ind w:left="240" w:hanging="24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pPr>
              <w:ind w:left="240" w:hanging="240"/>
              <w:rPr>
                <w:rFonts w:ascii="宋体" w:hAnsi="宋体"/>
                <w:color w:val="auto"/>
                <w:sz w:val="24"/>
              </w:rPr>
            </w:pPr>
            <w:r>
              <w:rPr>
                <w:rFonts w:hint="eastAsia" w:ascii="宋体" w:hAnsi="宋体"/>
                <w:snapToGrid w:val="0"/>
                <w:color w:val="auto"/>
                <w:sz w:val="24"/>
              </w:rPr>
              <w:t>折扣率报价</w:t>
            </w:r>
          </w:p>
        </w:tc>
        <w:tc>
          <w:tcPr>
            <w:tcW w:w="7846" w:type="dxa"/>
            <w:vAlign w:val="center"/>
          </w:tcPr>
          <w:p>
            <w:pPr>
              <w:ind w:left="240" w:hanging="240"/>
              <w:jc w:val="left"/>
              <w:rPr>
                <w:rFonts w:ascii="宋体" w:hAnsi="宋体"/>
                <w:snapToGrid w:val="0"/>
                <w:color w:val="auto"/>
                <w:sz w:val="24"/>
              </w:rPr>
            </w:pPr>
            <w:r>
              <w:rPr>
                <w:rFonts w:hint="eastAsia" w:ascii="宋体" w:hAnsi="宋体"/>
                <w:snapToGrid w:val="0"/>
                <w:color w:val="auto"/>
                <w:sz w:val="24"/>
              </w:rPr>
              <w:t>在第五章中限价表的收费项目限价基础上，</w:t>
            </w:r>
          </w:p>
          <w:p>
            <w:pPr>
              <w:ind w:left="240" w:hanging="240"/>
              <w:jc w:val="left"/>
              <w:rPr>
                <w:rFonts w:ascii="宋体" w:hAnsi="宋体"/>
                <w:color w:val="auto"/>
                <w:sz w:val="24"/>
              </w:rPr>
            </w:pPr>
            <w:r>
              <w:rPr>
                <w:rFonts w:hint="eastAsia" w:ascii="宋体" w:hAnsi="宋体" w:cs="宋体"/>
                <w:color w:val="auto"/>
                <w:sz w:val="24"/>
              </w:rPr>
              <w:t>全部收费项目统一按</w:t>
            </w:r>
            <w:r>
              <w:rPr>
                <w:rFonts w:hint="eastAsia" w:ascii="宋体" w:hAnsi="宋体" w:cs="宋体"/>
                <w:color w:val="auto"/>
                <w:sz w:val="24"/>
                <w:u w:val="single"/>
              </w:rPr>
              <w:t xml:space="preserve">       </w:t>
            </w:r>
            <w:r>
              <w:rPr>
                <w:rFonts w:hint="eastAsia" w:ascii="宋体" w:hAnsi="宋体" w:cs="宋体"/>
                <w:color w:val="auto"/>
                <w:sz w:val="24"/>
              </w:rPr>
              <w:t xml:space="preserve"> %计取。</w:t>
            </w:r>
          </w:p>
        </w:tc>
      </w:tr>
    </w:tbl>
    <w:p>
      <w:pPr>
        <w:spacing w:afterLines="100" w:line="360" w:lineRule="auto"/>
        <w:ind w:firstLine="480" w:firstLineChars="200"/>
        <w:jc w:val="left"/>
        <w:rPr>
          <w:rFonts w:ascii="宋体" w:hAnsi="宋体"/>
          <w:color w:val="auto"/>
          <w:sz w:val="24"/>
        </w:rPr>
      </w:pPr>
    </w:p>
    <w:p>
      <w:pPr>
        <w:spacing w:beforeLines="100" w:line="360" w:lineRule="auto"/>
        <w:ind w:firstLine="480" w:firstLineChars="200"/>
        <w:rPr>
          <w:rFonts w:ascii="宋体" w:hAnsi="宋体"/>
          <w:color w:val="auto"/>
          <w:sz w:val="24"/>
        </w:rPr>
      </w:pPr>
      <w:r>
        <w:rPr>
          <w:rFonts w:hint="eastAsia" w:ascii="宋体" w:hAnsi="宋体"/>
          <w:color w:val="auto"/>
          <w:sz w:val="24"/>
        </w:rPr>
        <w:t>注:</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供应商必须按</w:t>
      </w:r>
      <w:r>
        <w:rPr>
          <w:rFonts w:hint="eastAsia" w:ascii="宋体" w:hAnsi="宋体"/>
          <w:color w:val="auto"/>
          <w:sz w:val="24"/>
        </w:rPr>
        <w:t>“报价一览表”的格式进行报价。</w:t>
      </w:r>
    </w:p>
    <w:p>
      <w:pPr>
        <w:spacing w:afterLines="100" w:line="360" w:lineRule="auto"/>
        <w:ind w:firstLine="480" w:firstLineChars="200"/>
        <w:rPr>
          <w:rFonts w:ascii="宋体" w:hAnsi="宋体"/>
          <w:color w:val="auto"/>
          <w:sz w:val="24"/>
        </w:rPr>
      </w:pPr>
      <w:r>
        <w:rPr>
          <w:rFonts w:hint="eastAsia" w:ascii="宋体" w:hAnsi="宋体"/>
          <w:color w:val="auto"/>
          <w:sz w:val="24"/>
        </w:rPr>
        <w:t>2. 所有报价均用人民币表示,其折扣率报价即为履行合同的固定价格。供应商按折扣率报价，折扣率=实际结算单价÷单价最高限价×100%，合同结算单价=单价最高限价×折扣率报价。如报价按80%填报，即合同结算单价=单价最高限价×0.8。</w:t>
      </w:r>
    </w:p>
    <w:p>
      <w:pPr>
        <w:spacing w:afterLines="2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日  期：XX年XX月XX日</w:t>
      </w:r>
    </w:p>
    <w:p>
      <w:pPr>
        <w:spacing w:line="360" w:lineRule="auto"/>
        <w:ind w:firstLine="480" w:firstLineChars="200"/>
        <w:rPr>
          <w:rFonts w:ascii="宋体" w:hAnsi="宋体"/>
          <w:color w:val="auto"/>
          <w:sz w:val="24"/>
        </w:rPr>
        <w:sectPr>
          <w:footerReference r:id="rId7" w:type="default"/>
          <w:pgSz w:w="11907" w:h="16840"/>
          <w:pgMar w:top="1418" w:right="1474" w:bottom="1418" w:left="1247" w:header="1134" w:footer="851" w:gutter="170"/>
          <w:cols w:space="425" w:num="1"/>
          <w:docGrid w:linePitch="312" w:charSpace="0"/>
        </w:sectPr>
      </w:pPr>
    </w:p>
    <w:p>
      <w:pPr>
        <w:spacing w:beforeLines="100" w:afterLines="100" w:line="360" w:lineRule="auto"/>
        <w:jc w:val="center"/>
        <w:rPr>
          <w:rFonts w:ascii="宋体" w:hAnsi="宋体"/>
          <w:b/>
          <w:bCs/>
          <w:color w:val="auto"/>
          <w:sz w:val="32"/>
          <w:szCs w:val="32"/>
        </w:rPr>
      </w:pPr>
      <w:r>
        <w:rPr>
          <w:rFonts w:hint="eastAsia" w:ascii="宋体" w:hAnsi="宋体"/>
          <w:b/>
          <w:bCs/>
          <w:color w:val="auto"/>
          <w:sz w:val="32"/>
          <w:szCs w:val="32"/>
        </w:rPr>
        <w:t>八、中小企业声明函</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本公司郑重声明，根据《政府采购促进中小企业发展管理办法》（财库﹝2020﹞46 号）的规定，本公司参加</w:t>
      </w:r>
      <w:r>
        <w:rPr>
          <w:rFonts w:hint="eastAsia" w:cs="仿宋" w:asciiTheme="minorEastAsia" w:hAnsiTheme="minorEastAsia" w:eastAsiaTheme="minorEastAsia"/>
          <w:b/>
          <w:bCs/>
          <w:color w:val="auto"/>
          <w:sz w:val="24"/>
          <w:u w:val="single"/>
        </w:rPr>
        <w:t xml:space="preserve"> （采购人名称） </w:t>
      </w:r>
      <w:r>
        <w:rPr>
          <w:rFonts w:hint="eastAsia" w:cs="仿宋" w:asciiTheme="minorEastAsia" w:hAnsiTheme="minorEastAsia" w:eastAsiaTheme="minorEastAsia"/>
          <w:color w:val="auto"/>
          <w:sz w:val="24"/>
        </w:rPr>
        <w:t>的</w:t>
      </w:r>
      <w:r>
        <w:rPr>
          <w:rFonts w:hint="eastAsia" w:cs="仿宋" w:asciiTheme="minorEastAsia" w:hAnsiTheme="minorEastAsia" w:eastAsiaTheme="minorEastAsia"/>
          <w:b/>
          <w:bCs/>
          <w:color w:val="auto"/>
          <w:sz w:val="24"/>
          <w:u w:val="single"/>
        </w:rPr>
        <w:t xml:space="preserve"> （项目名称</w:t>
      </w:r>
      <w:r>
        <w:rPr>
          <w:rFonts w:hint="eastAsia" w:cs="仿宋" w:asciiTheme="minorEastAsia" w:hAnsiTheme="minorEastAsia" w:eastAsiaTheme="minorEastAsia"/>
          <w:b/>
          <w:bCs/>
          <w:color w:val="auto"/>
          <w:sz w:val="24"/>
          <w:u w:val="single"/>
          <w:lang w:eastAsia="zh-CN"/>
        </w:rPr>
        <w:t>）</w:t>
      </w:r>
      <w:r>
        <w:rPr>
          <w:rFonts w:hint="eastAsia" w:cs="仿宋" w:asciiTheme="minorEastAsia" w:hAnsiTheme="minorEastAsia" w:eastAsiaTheme="minorEastAsia"/>
          <w:color w:val="auto"/>
          <w:sz w:val="24"/>
        </w:rPr>
        <w:t>采购活动，服务全部由符合政策要求的中小企业承接。本企业的具体情况如下：</w:t>
      </w:r>
    </w:p>
    <w:p>
      <w:pPr>
        <w:spacing w:line="360" w:lineRule="auto"/>
        <w:ind w:firstLine="481"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bCs/>
          <w:color w:val="auto"/>
          <w:sz w:val="24"/>
        </w:rPr>
        <w:t>1、</w:t>
      </w:r>
      <w:r>
        <w:rPr>
          <w:rFonts w:hint="eastAsia" w:cs="仿宋" w:asciiTheme="minorEastAsia" w:hAnsiTheme="minorEastAsia" w:eastAsiaTheme="minorEastAsia"/>
          <w:b/>
          <w:bCs/>
          <w:color w:val="auto"/>
          <w:sz w:val="24"/>
          <w:u w:val="single"/>
        </w:rPr>
        <w:t xml:space="preserve">（标的名称） </w:t>
      </w:r>
      <w:r>
        <w:rPr>
          <w:rFonts w:hint="eastAsia" w:cs="仿宋" w:asciiTheme="minorEastAsia" w:hAnsiTheme="minorEastAsia" w:eastAsiaTheme="minorEastAsia"/>
          <w:color w:val="auto"/>
          <w:sz w:val="24"/>
        </w:rPr>
        <w:t>，属于</w:t>
      </w:r>
      <w:r>
        <w:rPr>
          <w:rFonts w:hint="eastAsia" w:cs="仿宋" w:asciiTheme="minorEastAsia" w:hAnsiTheme="minorEastAsia" w:eastAsiaTheme="minorEastAsia"/>
          <w:b/>
          <w:bCs/>
          <w:color w:val="auto"/>
          <w:sz w:val="24"/>
          <w:u w:val="single"/>
        </w:rPr>
        <w:t xml:space="preserve"> （采购文件中明确的所属行业） </w:t>
      </w:r>
      <w:r>
        <w:rPr>
          <w:rFonts w:hint="eastAsia" w:cs="仿宋" w:asciiTheme="minorEastAsia" w:hAnsiTheme="minorEastAsia" w:eastAsiaTheme="minorEastAsia"/>
          <w:color w:val="auto"/>
          <w:sz w:val="24"/>
        </w:rPr>
        <w:t>；承接企业为</w:t>
      </w:r>
      <w:r>
        <w:rPr>
          <w:rFonts w:hint="eastAsia" w:cs="仿宋" w:asciiTheme="minorEastAsia" w:hAnsiTheme="minorEastAsia" w:eastAsiaTheme="minorEastAsia"/>
          <w:b/>
          <w:bCs/>
          <w:color w:val="auto"/>
          <w:sz w:val="24"/>
          <w:u w:val="single"/>
        </w:rPr>
        <w:t xml:space="preserve"> （企业名称） </w:t>
      </w:r>
      <w:r>
        <w:rPr>
          <w:rFonts w:hint="eastAsia" w:cs="仿宋" w:asciiTheme="minorEastAsia" w:hAnsiTheme="minorEastAsia" w:eastAsiaTheme="minorEastAsia"/>
          <w:color w:val="auto"/>
          <w:sz w:val="24"/>
        </w:rPr>
        <w:t>，从业人员</w:t>
      </w:r>
      <w:r>
        <w:rPr>
          <w:rFonts w:hint="eastAsia" w:cs="仿宋" w:asciiTheme="minorEastAsia" w:hAnsiTheme="minorEastAsia" w:eastAsiaTheme="minorEastAsia"/>
          <w:b/>
          <w:bCs/>
          <w:color w:val="auto"/>
          <w:sz w:val="24"/>
          <w:u w:val="single"/>
        </w:rPr>
        <w:t>XXX</w:t>
      </w:r>
      <w:r>
        <w:rPr>
          <w:rFonts w:hint="eastAsia" w:cs="仿宋" w:asciiTheme="minorEastAsia" w:hAnsiTheme="minorEastAsia" w:eastAsiaTheme="minorEastAsia"/>
          <w:color w:val="auto"/>
          <w:sz w:val="24"/>
        </w:rPr>
        <w:t>人，营业收入为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万元，资产总额为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万元，属于</w:t>
      </w:r>
      <w:r>
        <w:rPr>
          <w:rFonts w:hint="eastAsia" w:cs="仿宋" w:asciiTheme="minorEastAsia" w:hAnsiTheme="minorEastAsia" w:eastAsiaTheme="minorEastAsia"/>
          <w:b/>
          <w:bCs/>
          <w:color w:val="auto"/>
          <w:sz w:val="24"/>
          <w:u w:val="single"/>
        </w:rPr>
        <w:t xml:space="preserve"> （中型企业、小型企业、微型企业） </w:t>
      </w:r>
      <w:r>
        <w:rPr>
          <w:rFonts w:hint="eastAsia" w:cs="仿宋" w:asciiTheme="minorEastAsia" w:hAnsiTheme="minorEastAsia" w:eastAsiaTheme="minorEastAsia"/>
          <w:color w:val="auto"/>
          <w:sz w:val="24"/>
        </w:rPr>
        <w:t>；</w:t>
      </w:r>
    </w:p>
    <w:p>
      <w:pPr>
        <w:spacing w:line="360" w:lineRule="auto"/>
        <w:ind w:firstLine="481"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bCs/>
          <w:color w:val="auto"/>
          <w:sz w:val="24"/>
        </w:rPr>
        <w:t>2、</w:t>
      </w:r>
      <w:r>
        <w:rPr>
          <w:rFonts w:hint="eastAsia" w:cs="仿宋" w:asciiTheme="minorEastAsia" w:hAnsiTheme="minorEastAsia" w:eastAsiaTheme="minorEastAsia"/>
          <w:b/>
          <w:bCs/>
          <w:color w:val="auto"/>
          <w:sz w:val="24"/>
          <w:u w:val="single"/>
        </w:rPr>
        <w:t xml:space="preserve">（标的名称） </w:t>
      </w:r>
      <w:r>
        <w:rPr>
          <w:rFonts w:hint="eastAsia" w:cs="仿宋" w:asciiTheme="minorEastAsia" w:hAnsiTheme="minorEastAsia" w:eastAsiaTheme="minorEastAsia"/>
          <w:color w:val="auto"/>
          <w:sz w:val="24"/>
        </w:rPr>
        <w:t>，属于</w:t>
      </w:r>
      <w:r>
        <w:rPr>
          <w:rFonts w:hint="eastAsia" w:cs="仿宋" w:asciiTheme="minorEastAsia" w:hAnsiTheme="minorEastAsia" w:eastAsiaTheme="minorEastAsia"/>
          <w:b/>
          <w:bCs/>
          <w:color w:val="auto"/>
          <w:sz w:val="24"/>
          <w:u w:val="single"/>
        </w:rPr>
        <w:t xml:space="preserve"> （采购文件中明确的所属行业） </w:t>
      </w:r>
      <w:r>
        <w:rPr>
          <w:rFonts w:hint="eastAsia" w:cs="仿宋" w:asciiTheme="minorEastAsia" w:hAnsiTheme="minorEastAsia" w:eastAsiaTheme="minorEastAsia"/>
          <w:color w:val="auto"/>
          <w:sz w:val="24"/>
        </w:rPr>
        <w:t>；承接企业为</w:t>
      </w:r>
      <w:r>
        <w:rPr>
          <w:rFonts w:hint="eastAsia" w:cs="仿宋" w:asciiTheme="minorEastAsia" w:hAnsiTheme="minorEastAsia" w:eastAsiaTheme="minorEastAsia"/>
          <w:b/>
          <w:bCs/>
          <w:color w:val="auto"/>
          <w:sz w:val="24"/>
          <w:u w:val="single"/>
        </w:rPr>
        <w:t xml:space="preserve"> （企业名称） </w:t>
      </w:r>
      <w:r>
        <w:rPr>
          <w:rFonts w:hint="eastAsia" w:cs="仿宋" w:asciiTheme="minorEastAsia" w:hAnsiTheme="minorEastAsia" w:eastAsiaTheme="minorEastAsia"/>
          <w:color w:val="auto"/>
          <w:sz w:val="24"/>
        </w:rPr>
        <w:t>，从业人员</w:t>
      </w:r>
      <w:r>
        <w:rPr>
          <w:rFonts w:hint="eastAsia" w:cs="仿宋" w:asciiTheme="minorEastAsia" w:hAnsiTheme="minorEastAsia" w:eastAsiaTheme="minorEastAsia"/>
          <w:b/>
          <w:bCs/>
          <w:color w:val="auto"/>
          <w:sz w:val="24"/>
          <w:u w:val="single"/>
        </w:rPr>
        <w:t>XXX</w:t>
      </w:r>
      <w:r>
        <w:rPr>
          <w:rFonts w:hint="eastAsia" w:cs="仿宋" w:asciiTheme="minorEastAsia" w:hAnsiTheme="minorEastAsia" w:eastAsiaTheme="minorEastAsia"/>
          <w:color w:val="auto"/>
          <w:sz w:val="24"/>
        </w:rPr>
        <w:t>人，营业收入为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万元，资产总额为</w:t>
      </w:r>
      <w:r>
        <w:rPr>
          <w:rFonts w:hint="eastAsia" w:cs="仿宋" w:asciiTheme="minorEastAsia" w:hAnsiTheme="minorEastAsia" w:eastAsiaTheme="minorEastAsia"/>
          <w:b/>
          <w:bCs/>
          <w:color w:val="auto"/>
          <w:sz w:val="24"/>
          <w:u w:val="single"/>
        </w:rPr>
        <w:t>XX</w:t>
      </w:r>
      <w:r>
        <w:rPr>
          <w:rFonts w:hint="eastAsia" w:cs="仿宋" w:asciiTheme="minorEastAsia" w:hAnsiTheme="minorEastAsia" w:eastAsiaTheme="minorEastAsia"/>
          <w:color w:val="auto"/>
          <w:sz w:val="24"/>
        </w:rPr>
        <w:t>万元，属于</w:t>
      </w:r>
      <w:r>
        <w:rPr>
          <w:rFonts w:hint="eastAsia" w:cs="仿宋" w:asciiTheme="minorEastAsia" w:hAnsiTheme="minorEastAsia" w:eastAsiaTheme="minorEastAsia"/>
          <w:b/>
          <w:bCs/>
          <w:color w:val="auto"/>
          <w:sz w:val="24"/>
          <w:u w:val="single"/>
        </w:rPr>
        <w:t xml:space="preserve"> （中型企业、小型企业、微型企业） </w:t>
      </w:r>
      <w:r>
        <w:rPr>
          <w:rFonts w:hint="eastAsia" w:cs="仿宋" w:asciiTheme="minorEastAsia" w:hAnsiTheme="minorEastAsia" w:eastAsiaTheme="minorEastAsia"/>
          <w:color w:val="auto"/>
          <w:sz w:val="24"/>
        </w:rPr>
        <w:t>；</w:t>
      </w: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rPr>
        <w:t>……</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本企业对上述声明内容的真实性负责。如有虚假，将依法承担相应责任。</w:t>
      </w:r>
    </w:p>
    <w:p>
      <w:pPr>
        <w:spacing w:line="360" w:lineRule="auto"/>
        <w:ind w:firstLine="3840" w:firstLineChars="1600"/>
        <w:rPr>
          <w:rFonts w:cs="仿宋" w:asciiTheme="minorEastAsia" w:hAnsiTheme="minorEastAsia" w:eastAsiaTheme="minorEastAsia"/>
          <w:color w:val="auto"/>
          <w:sz w:val="24"/>
        </w:rPr>
      </w:pP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企业名称：</w:t>
      </w:r>
      <w:r>
        <w:rPr>
          <w:rFonts w:hint="eastAsia" w:ascii="宋体" w:hAnsi="宋体"/>
          <w:color w:val="auto"/>
          <w:sz w:val="24"/>
        </w:rPr>
        <w:t>XXX</w:t>
      </w:r>
      <w:r>
        <w:rPr>
          <w:rFonts w:ascii="宋体" w:hAnsi="宋体" w:cs="Arial"/>
          <w:color w:val="auto"/>
          <w:kern w:val="0"/>
          <w:sz w:val="24"/>
          <w:szCs w:val="20"/>
        </w:rPr>
        <w:t>（盖公章）</w:t>
      </w:r>
    </w:p>
    <w:p>
      <w:pPr>
        <w:spacing w:line="360" w:lineRule="auto"/>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日 期：</w:t>
      </w:r>
      <w:r>
        <w:rPr>
          <w:rFonts w:hint="eastAsia" w:ascii="宋体" w:hAnsi="宋体"/>
          <w:bCs/>
          <w:color w:val="auto"/>
          <w:sz w:val="24"/>
        </w:rPr>
        <w:t>XX年XX月XX日</w:t>
      </w:r>
    </w:p>
    <w:p>
      <w:pPr>
        <w:spacing w:line="360" w:lineRule="auto"/>
        <w:rPr>
          <w:rFonts w:cs="仿宋" w:asciiTheme="minorEastAsia" w:hAnsiTheme="minorEastAsia" w:eastAsiaTheme="minorEastAsia"/>
          <w:color w:val="auto"/>
          <w:sz w:val="28"/>
          <w:szCs w:val="28"/>
        </w:rPr>
      </w:pPr>
    </w:p>
    <w:p>
      <w:pPr>
        <w:rPr>
          <w:rFonts w:cs="仿宋" w:asciiTheme="minorEastAsia" w:hAnsiTheme="minorEastAsia" w:eastAsiaTheme="minorEastAsia"/>
          <w:color w:val="auto"/>
          <w:szCs w:val="21"/>
        </w:rPr>
      </w:pPr>
    </w:p>
    <w:p>
      <w:pP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注：从业人员、营业收入、资产总额填报上一年度数据，无上一年度数据的新成立企业可不填报。</w:t>
      </w:r>
    </w:p>
    <w:p>
      <w:pPr>
        <w:rPr>
          <w:rFonts w:cs="仿宋" w:asciiTheme="minorEastAsia" w:hAnsiTheme="minorEastAsia" w:eastAsiaTheme="minorEastAsia"/>
          <w:color w:val="auto"/>
          <w:szCs w:val="21"/>
        </w:rPr>
      </w:pPr>
    </w:p>
    <w:p>
      <w:pPr>
        <w:rPr>
          <w:rFonts w:cs="仿宋" w:asciiTheme="minorEastAsia" w:hAnsiTheme="minorEastAsia" w:eastAsiaTheme="minorEastAsia"/>
          <w:color w:val="auto"/>
          <w:sz w:val="28"/>
          <w:szCs w:val="28"/>
        </w:rPr>
      </w:pPr>
      <w:r>
        <w:rPr>
          <w:color w:val="auto"/>
        </w:rPr>
        <w:t>提示：本项目采购标的所属行业为</w:t>
      </w:r>
      <w:r>
        <w:rPr>
          <w:rFonts w:hint="eastAsia"/>
          <w:color w:val="auto"/>
        </w:rPr>
        <w:t>：其他未列明行业</w:t>
      </w:r>
    </w:p>
    <w:p>
      <w:pPr>
        <w:keepNext w:val="0"/>
        <w:keepLines w:val="0"/>
        <w:pageBreakBefore w:val="0"/>
        <w:widowControl w:val="0"/>
        <w:kinsoku/>
        <w:wordWrap/>
        <w:overflowPunct/>
        <w:topLinePunct w:val="0"/>
        <w:autoSpaceDE/>
        <w:autoSpaceDN/>
        <w:bidi w:val="0"/>
        <w:snapToGrid/>
        <w:spacing w:beforeLines="150" w:afterLines="100" w:line="360" w:lineRule="exact"/>
        <w:jc w:val="center"/>
        <w:textAlignment w:val="auto"/>
        <w:rPr>
          <w:rFonts w:ascii="宋体" w:hAnsi="宋体"/>
          <w:b/>
          <w:color w:val="auto"/>
          <w:spacing w:val="6"/>
          <w:sz w:val="32"/>
          <w:szCs w:val="32"/>
        </w:rPr>
      </w:pPr>
      <w:r>
        <w:rPr>
          <w:rFonts w:asciiTheme="minorEastAsia" w:hAnsiTheme="minorEastAsia" w:eastAsiaTheme="minorEastAsia"/>
          <w:b/>
          <w:bCs/>
          <w:color w:val="auto"/>
          <w:sz w:val="32"/>
          <w:szCs w:val="32"/>
        </w:rPr>
        <w:br w:type="page"/>
      </w:r>
      <w:r>
        <w:rPr>
          <w:rFonts w:hint="eastAsia" w:ascii="宋体" w:hAnsi="宋体"/>
          <w:b/>
          <w:bCs/>
          <w:color w:val="auto"/>
          <w:sz w:val="32"/>
          <w:szCs w:val="32"/>
        </w:rPr>
        <w:t>九、残疾人福利性单位声明函</w:t>
      </w:r>
    </w:p>
    <w:p>
      <w:pPr>
        <w:keepNext w:val="0"/>
        <w:keepLines w:val="0"/>
        <w:pageBreakBefore w:val="0"/>
        <w:widowControl w:val="0"/>
        <w:kinsoku/>
        <w:wordWrap/>
        <w:overflowPunct/>
        <w:topLinePunct w:val="0"/>
        <w:autoSpaceDE/>
        <w:autoSpaceDN/>
        <w:bidi w:val="0"/>
        <w:snapToGrid/>
        <w:spacing w:line="360" w:lineRule="exact"/>
        <w:ind w:firstLine="504" w:firstLineChars="200"/>
        <w:textAlignment w:val="auto"/>
        <w:rPr>
          <w:rFonts w:ascii="宋体" w:hAnsi="宋体"/>
          <w:color w:val="auto"/>
          <w:spacing w:val="6"/>
          <w:sz w:val="24"/>
        </w:rPr>
      </w:pPr>
      <w:r>
        <w:rPr>
          <w:rFonts w:hint="eastAsia" w:ascii="宋体" w:hAnsi="宋体"/>
          <w:color w:val="auto"/>
          <w:spacing w:val="6"/>
          <w:sz w:val="24"/>
        </w:rPr>
        <w:t>本单位郑重声明，根据</w:t>
      </w:r>
      <w:r>
        <w:rPr>
          <w:rFonts w:hint="eastAsia" w:ascii="宋体" w:hAnsi="宋体"/>
          <w:color w:val="auto"/>
          <w:sz w:val="24"/>
        </w:rPr>
        <w:t>《财政部、民政部、中国残疾人联合会关于促进残疾人就业政府采购政策的通知》</w:t>
      </w:r>
      <w:r>
        <w:rPr>
          <w:rFonts w:hint="eastAsia" w:ascii="宋体" w:hAnsi="宋体"/>
          <w:color w:val="auto"/>
          <w:spacing w:val="6"/>
          <w:sz w:val="24"/>
        </w:rPr>
        <w:t>（财库</w:t>
      </w:r>
      <w:r>
        <w:rPr>
          <w:rFonts w:hint="eastAsia" w:ascii="宋体" w:hAnsi="宋体"/>
          <w:color w:val="auto"/>
          <w:sz w:val="24"/>
        </w:rPr>
        <w:t>〔</w:t>
      </w:r>
      <w:r>
        <w:rPr>
          <w:rFonts w:ascii="宋体" w:hAnsi="宋体"/>
          <w:color w:val="auto"/>
          <w:sz w:val="24"/>
        </w:rPr>
        <w:t>2017</w:t>
      </w:r>
      <w:r>
        <w:rPr>
          <w:rFonts w:hint="eastAsia" w:ascii="宋体" w:hAnsi="宋体"/>
          <w:color w:val="auto"/>
          <w:sz w:val="24"/>
        </w:rPr>
        <w:t>〕</w:t>
      </w:r>
      <w:r>
        <w:rPr>
          <w:rFonts w:ascii="宋体" w:hAnsi="宋体"/>
          <w:color w:val="auto"/>
          <w:sz w:val="24"/>
        </w:rPr>
        <w:t>141</w:t>
      </w:r>
      <w:r>
        <w:rPr>
          <w:rFonts w:hint="eastAsia" w:ascii="宋体" w:hAnsi="宋体"/>
          <w:color w:val="auto"/>
          <w:spacing w:val="6"/>
          <w:sz w:val="24"/>
        </w:rPr>
        <w:t>号）的规定，本单位为符合条件的残疾人福利性单位，且本单位参加XXX单位的“</w:t>
      </w:r>
      <w:r>
        <w:rPr>
          <w:rFonts w:hint="eastAsia" w:ascii="宋体" w:hAnsi="宋体"/>
          <w:bCs/>
          <w:color w:val="auto"/>
          <w:sz w:val="24"/>
        </w:rPr>
        <w:t>XXXX项目”</w:t>
      </w:r>
      <w:r>
        <w:rPr>
          <w:rFonts w:hint="eastAsia" w:ascii="宋体" w:hAnsi="宋体"/>
          <w:color w:val="auto"/>
          <w:spacing w:val="6"/>
          <w:sz w:val="24"/>
        </w:rPr>
        <w:t>采购活动提供本单位制造的货物（由本单位承担工程</w:t>
      </w:r>
      <w:r>
        <w:rPr>
          <w:rFonts w:ascii="宋体" w:hAnsi="宋体"/>
          <w:color w:val="auto"/>
          <w:spacing w:val="6"/>
          <w:sz w:val="24"/>
        </w:rPr>
        <w:t>/</w:t>
      </w:r>
      <w:r>
        <w:rPr>
          <w:rFonts w:hint="eastAsia" w:ascii="宋体" w:hAnsi="宋体"/>
          <w:color w:val="auto"/>
          <w:spacing w:val="6"/>
          <w:sz w:val="24"/>
        </w:rPr>
        <w:t>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napToGrid/>
        <w:spacing w:line="360" w:lineRule="exact"/>
        <w:ind w:firstLine="504" w:firstLineChars="200"/>
        <w:textAlignment w:val="auto"/>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bCs/>
          <w:color w:val="auto"/>
          <w:sz w:val="24"/>
        </w:rPr>
      </w:pPr>
      <w:r>
        <w:rPr>
          <w:rFonts w:hint="eastAsia" w:ascii="宋体" w:hAnsi="宋体"/>
          <w:bCs/>
          <w:color w:val="auto"/>
          <w:sz w:val="24"/>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beforeLines="100" w:afterLines="100" w:line="360" w:lineRule="exact"/>
        <w:ind w:firstLine="480" w:firstLineChars="200"/>
        <w:textAlignment w:val="auto"/>
        <w:rPr>
          <w:rFonts w:ascii="宋体" w:hAnsi="宋体"/>
          <w:bCs/>
          <w:color w:val="auto"/>
          <w:sz w:val="24"/>
        </w:rPr>
      </w:pPr>
      <w:r>
        <w:rPr>
          <w:rFonts w:hint="eastAsia" w:ascii="宋体" w:hAnsi="宋体"/>
          <w:bCs/>
          <w:color w:val="auto"/>
          <w:sz w:val="24"/>
        </w:rPr>
        <w:t>日  期：XX年XX月XX日</w:t>
      </w:r>
    </w:p>
    <w:p>
      <w:pPr>
        <w:keepNext w:val="0"/>
        <w:keepLines w:val="0"/>
        <w:pageBreakBefore w:val="0"/>
        <w:widowControl w:val="0"/>
        <w:kinsoku/>
        <w:wordWrap/>
        <w:overflowPunct/>
        <w:topLinePunct w:val="0"/>
        <w:autoSpaceDE/>
        <w:autoSpaceDN/>
        <w:bidi w:val="0"/>
        <w:snapToGrid/>
        <w:spacing w:beforeLines="300" w:line="360" w:lineRule="exact"/>
        <w:ind w:firstLine="480" w:firstLineChars="200"/>
        <w:textAlignment w:val="auto"/>
        <w:rPr>
          <w:rFonts w:ascii="宋体" w:hAnsi="宋体"/>
          <w:color w:val="auto"/>
          <w:sz w:val="24"/>
        </w:rPr>
      </w:pPr>
      <w:r>
        <w:rPr>
          <w:rFonts w:hint="eastAsia" w:ascii="宋体" w:hAnsi="宋体"/>
          <w:color w:val="auto"/>
          <w:sz w:val="24"/>
        </w:rPr>
        <w:t>注：1. 若未提供此表的则不享受残疾人企业价格折扣。</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2. 享受政府采购支持政策的残疾人福利性单位应当同时满足下列条件：</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（一）安置的残疾人占本单位在职职工人数的比例不低于25%（含25%），并且安置的残疾人人数不少于10人（含10人）；</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（二）依法与安置的每一位残疾人签订了一年以上（含一年）的劳动合同或服务协议；</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（三）为安置的每一位残疾人按月足额缴纳了基本养老保险、基本医疗保险、失业保险、工伤保险和生育保险等社会保险费；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（四）通过银行等金融机构向安置的每位残疾人，按月支付了不低于单位所在区县适用的经省级人民政府批准的月最低工资标准的工资；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snapToGrid/>
        <w:spacing w:line="360" w:lineRule="exact"/>
        <w:ind w:firstLine="480" w:firstLineChars="200"/>
        <w:textAlignment w:val="auto"/>
        <w:rPr>
          <w:rFonts w:ascii="宋体" w:hAnsi="宋体"/>
          <w:color w:val="auto"/>
          <w:sz w:val="24"/>
        </w:rPr>
      </w:pPr>
      <w:r>
        <w:rPr>
          <w:rFonts w:hint="eastAsia" w:ascii="宋体" w:hAnsi="宋体"/>
          <w:color w:val="auto"/>
          <w:sz w:val="24"/>
        </w:rPr>
        <w:t>（五）提供本单位制造的货物、承担的工程或者服务（以下简称产品），或者提供其他残疾人福利性单位制造的货物（不包括使用非残疾人福利性单位注册商标的货物）。</w:t>
      </w:r>
    </w:p>
    <w:p>
      <w:pPr>
        <w:pStyle w:val="24"/>
        <w:tabs>
          <w:tab w:val="left" w:pos="0"/>
        </w:tabs>
        <w:spacing w:beforeLines="100" w:afterLines="100" w:line="360" w:lineRule="auto"/>
        <w:ind w:left="0" w:leftChars="0"/>
        <w:jc w:val="center"/>
        <w:rPr>
          <w:rFonts w:ascii="宋体" w:hAnsi="宋体"/>
          <w:b/>
          <w:color w:val="auto"/>
          <w:sz w:val="32"/>
          <w:szCs w:val="32"/>
        </w:rPr>
      </w:pPr>
      <w:r>
        <w:rPr>
          <w:rFonts w:ascii="宋体" w:hAnsi="宋体"/>
          <w:b/>
          <w:color w:val="auto"/>
          <w:sz w:val="32"/>
          <w:szCs w:val="32"/>
        </w:rPr>
        <w:br w:type="page"/>
      </w:r>
      <w:r>
        <w:rPr>
          <w:rFonts w:ascii="宋体" w:hAnsi="宋体"/>
          <w:b/>
          <w:color w:val="auto"/>
          <w:sz w:val="32"/>
          <w:szCs w:val="32"/>
        </w:rPr>
        <w:t>十、监狱企业的证明文件</w:t>
      </w:r>
    </w:p>
    <w:p>
      <w:pPr>
        <w:spacing w:beforeLines="100" w:line="360" w:lineRule="auto"/>
        <w:ind w:firstLine="480" w:firstLineChars="200"/>
        <w:rPr>
          <w:rFonts w:ascii="宋体" w:hAnsi="宋体"/>
          <w:color w:val="auto"/>
          <w:sz w:val="24"/>
        </w:rPr>
      </w:pPr>
      <w:r>
        <w:rPr>
          <w:rFonts w:hint="eastAsia" w:ascii="宋体" w:hAnsi="宋体"/>
          <w:color w:val="auto"/>
          <w:sz w:val="24"/>
        </w:rPr>
        <w:t>注：1. 根据 《司法部关于政府采购支持监狱企业发展有关问题的通知》 财库〔2014〕68号，监狱企业参加政府采购活动时，应当提供由省级以上监狱管理局、戒毒管理局（含新疆生产建设兵团）出具的属于监狱企业的证明文件。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bCs/>
          <w:color w:val="auto"/>
          <w:sz w:val="24"/>
        </w:rPr>
      </w:pPr>
      <w:r>
        <w:rPr>
          <w:rFonts w:hint="eastAsia" w:ascii="宋体" w:hAnsi="宋体"/>
          <w:color w:val="auto"/>
          <w:sz w:val="24"/>
        </w:rPr>
        <w:t>2. 若未提供此表的则不享受监狱企业价格折扣。</w:t>
      </w:r>
      <w:r>
        <w:rPr>
          <w:rFonts w:ascii="宋体" w:hAnsi="宋体"/>
          <w:color w:val="auto"/>
          <w:kern w:val="0"/>
          <w:sz w:val="24"/>
        </w:rPr>
        <w:t xml:space="preserve"> </w:t>
      </w:r>
      <w:r>
        <w:rPr>
          <w:rFonts w:ascii="宋体" w:hAnsi="宋体"/>
          <w:bCs/>
          <w:color w:val="auto"/>
          <w:sz w:val="24"/>
        </w:rPr>
        <w:t xml:space="preserve"> </w:t>
      </w:r>
    </w:p>
    <w:p>
      <w:pPr>
        <w:spacing w:line="360" w:lineRule="auto"/>
        <w:ind w:firstLine="480" w:firstLineChars="200"/>
        <w:rPr>
          <w:rFonts w:ascii="宋体" w:hAnsi="宋体"/>
          <w:bCs/>
          <w:color w:val="auto"/>
          <w:sz w:val="24"/>
        </w:rPr>
      </w:pPr>
    </w:p>
    <w:p>
      <w:pPr>
        <w:autoSpaceDE w:val="0"/>
        <w:autoSpaceDN w:val="0"/>
        <w:adjustRightInd w:val="0"/>
        <w:jc w:val="center"/>
        <w:rPr>
          <w:rFonts w:ascii="宋体" w:hAnsi="宋体"/>
          <w:b/>
          <w:color w:val="auto"/>
          <w:sz w:val="32"/>
          <w:szCs w:val="32"/>
        </w:rPr>
        <w:sectPr>
          <w:footerReference r:id="rId8" w:type="default"/>
          <w:pgSz w:w="11907" w:h="16840"/>
          <w:pgMar w:top="1474" w:right="1418" w:bottom="1247" w:left="1418" w:header="1134" w:footer="851" w:gutter="170"/>
          <w:cols w:space="425" w:num="1"/>
          <w:docGrid w:linePitch="312" w:charSpace="0"/>
        </w:sectPr>
      </w:pPr>
    </w:p>
    <w:p>
      <w:pPr>
        <w:pageBreakBefore/>
        <w:spacing w:beforeLines="200" w:line="360" w:lineRule="auto"/>
        <w:jc w:val="center"/>
        <w:rPr>
          <w:rFonts w:ascii="宋体" w:hAnsi="宋体"/>
          <w:b/>
          <w:color w:val="auto"/>
          <w:sz w:val="32"/>
          <w:szCs w:val="32"/>
        </w:rPr>
      </w:pPr>
      <w:r>
        <w:rPr>
          <w:rFonts w:hint="eastAsia" w:ascii="宋体" w:hAnsi="宋体"/>
          <w:b/>
          <w:color w:val="auto"/>
          <w:sz w:val="32"/>
          <w:szCs w:val="32"/>
        </w:rPr>
        <w:t>十一、供应商类似项目业绩一览表</w:t>
      </w:r>
    </w:p>
    <w:p>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项目名称：</w:t>
      </w:r>
      <w:r>
        <w:rPr>
          <w:rFonts w:hint="eastAsia" w:ascii="宋体" w:hAnsi="宋体"/>
          <w:bCs/>
          <w:color w:val="auto"/>
          <w:sz w:val="24"/>
        </w:rPr>
        <w:t>XXX</w:t>
      </w:r>
    </w:p>
    <w:p>
      <w:pPr>
        <w:spacing w:line="360" w:lineRule="auto"/>
        <w:ind w:firstLine="480" w:firstLineChars="200"/>
        <w:rPr>
          <w:rFonts w:ascii="宋体" w:hAnsi="宋体"/>
          <w:color w:val="auto"/>
          <w:sz w:val="24"/>
        </w:rPr>
      </w:pPr>
      <w:r>
        <w:rPr>
          <w:rFonts w:hint="eastAsia" w:ascii="宋体" w:hAnsi="宋体"/>
          <w:color w:val="auto"/>
          <w:sz w:val="24"/>
        </w:rPr>
        <w:t xml:space="preserve">                                </w:t>
      </w:r>
    </w:p>
    <w:tbl>
      <w:tblPr>
        <w:tblStyle w:val="40"/>
        <w:tblpPr w:leftFromText="180" w:rightFromText="180" w:vertAnchor="page" w:horzAnchor="margin" w:tblpXSpec="center" w:tblpY="4572"/>
        <w:tblW w:w="870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29"/>
        <w:gridCol w:w="1429"/>
        <w:gridCol w:w="1429"/>
        <w:gridCol w:w="1429"/>
        <w:gridCol w:w="1429"/>
        <w:gridCol w:w="15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tcBorders>
              <w:top w:val="single" w:color="auto" w:sz="4" w:space="0"/>
            </w:tcBorders>
            <w:vAlign w:val="center"/>
          </w:tcPr>
          <w:p>
            <w:pPr>
              <w:jc w:val="center"/>
              <w:rPr>
                <w:rFonts w:ascii="宋体" w:hAnsi="宋体" w:cs="Arial"/>
                <w:color w:val="auto"/>
                <w:sz w:val="24"/>
              </w:rPr>
            </w:pPr>
            <w:r>
              <w:rPr>
                <w:rFonts w:ascii="宋体" w:hAnsi="宋体" w:cs="Arial"/>
                <w:color w:val="auto"/>
                <w:sz w:val="24"/>
              </w:rPr>
              <w:t>序号</w:t>
            </w:r>
          </w:p>
        </w:tc>
        <w:tc>
          <w:tcPr>
            <w:tcW w:w="1429" w:type="dxa"/>
            <w:vAlign w:val="center"/>
          </w:tcPr>
          <w:p>
            <w:pPr>
              <w:jc w:val="center"/>
              <w:rPr>
                <w:rFonts w:ascii="宋体" w:hAnsi="宋体" w:cs="Arial"/>
                <w:color w:val="auto"/>
                <w:sz w:val="24"/>
              </w:rPr>
            </w:pPr>
            <w:r>
              <w:rPr>
                <w:rFonts w:hint="eastAsia" w:ascii="宋体" w:hAnsi="宋体" w:cs="Arial"/>
                <w:color w:val="auto"/>
                <w:sz w:val="24"/>
              </w:rPr>
              <w:t>年份</w:t>
            </w:r>
          </w:p>
        </w:tc>
        <w:tc>
          <w:tcPr>
            <w:tcW w:w="1429" w:type="dxa"/>
            <w:vAlign w:val="center"/>
          </w:tcPr>
          <w:p>
            <w:pPr>
              <w:jc w:val="center"/>
              <w:rPr>
                <w:rFonts w:ascii="宋体" w:hAnsi="宋体" w:cs="Arial"/>
                <w:color w:val="auto"/>
                <w:sz w:val="24"/>
              </w:rPr>
            </w:pPr>
            <w:r>
              <w:rPr>
                <w:rFonts w:hint="eastAsia" w:ascii="宋体" w:hAnsi="宋体" w:cs="Arial"/>
                <w:color w:val="auto"/>
                <w:sz w:val="24"/>
              </w:rPr>
              <w:t>用户名称</w:t>
            </w:r>
          </w:p>
        </w:tc>
        <w:tc>
          <w:tcPr>
            <w:tcW w:w="1429" w:type="dxa"/>
            <w:vAlign w:val="center"/>
          </w:tcPr>
          <w:p>
            <w:pPr>
              <w:jc w:val="center"/>
              <w:rPr>
                <w:rFonts w:ascii="宋体" w:hAnsi="宋体" w:cs="Arial"/>
                <w:color w:val="auto"/>
                <w:sz w:val="24"/>
              </w:rPr>
            </w:pPr>
            <w:r>
              <w:rPr>
                <w:rFonts w:ascii="宋体" w:hAnsi="宋体" w:cs="Arial"/>
                <w:color w:val="auto"/>
                <w:sz w:val="24"/>
              </w:rPr>
              <w:t>项目名称</w:t>
            </w:r>
          </w:p>
        </w:tc>
        <w:tc>
          <w:tcPr>
            <w:tcW w:w="1429" w:type="dxa"/>
            <w:vAlign w:val="center"/>
          </w:tcPr>
          <w:p>
            <w:pPr>
              <w:jc w:val="center"/>
              <w:rPr>
                <w:rFonts w:ascii="宋体" w:hAnsi="宋体" w:cs="Arial"/>
                <w:color w:val="auto"/>
                <w:sz w:val="24"/>
              </w:rPr>
            </w:pPr>
            <w:r>
              <w:rPr>
                <w:rFonts w:ascii="宋体" w:hAnsi="宋体" w:cs="Arial"/>
                <w:color w:val="auto"/>
                <w:sz w:val="24"/>
              </w:rPr>
              <w:t>完成时间</w:t>
            </w:r>
          </w:p>
        </w:tc>
        <w:tc>
          <w:tcPr>
            <w:tcW w:w="1556" w:type="dxa"/>
            <w:tcBorders>
              <w:left w:val="single" w:color="auto" w:sz="4" w:space="0"/>
            </w:tcBorders>
            <w:vAlign w:val="center"/>
          </w:tcPr>
          <w:p>
            <w:pPr>
              <w:ind w:firstLine="120" w:firstLineChars="50"/>
              <w:jc w:val="center"/>
              <w:rPr>
                <w:rFonts w:ascii="宋体" w:hAnsi="宋体" w:cs="Arial"/>
                <w:color w:val="auto"/>
                <w:sz w:val="24"/>
              </w:rPr>
            </w:pPr>
            <w:r>
              <w:rPr>
                <w:rFonts w:ascii="宋体" w:hAnsi="宋体" w:cs="Arial"/>
                <w:color w:val="auto"/>
                <w:sz w:val="24"/>
              </w:rPr>
              <w:t>合同金额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tcBorders>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tcBorders>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vAlign w:val="center"/>
          </w:tcPr>
          <w:p>
            <w:pPr>
              <w:ind w:firstLine="480"/>
              <w:jc w:val="left"/>
              <w:rPr>
                <w:rFonts w:ascii="宋体" w:hAnsi="宋体" w:cs="Arial"/>
                <w:color w:val="auto"/>
                <w:sz w:val="24"/>
              </w:rPr>
            </w:pPr>
          </w:p>
        </w:tc>
        <w:tc>
          <w:tcPr>
            <w:tcW w:w="1429" w:type="dxa"/>
            <w:tcBorders>
              <w:right w:val="single" w:color="auto" w:sz="4" w:space="0"/>
            </w:tcBorders>
            <w:vAlign w:val="center"/>
          </w:tcPr>
          <w:p>
            <w:pPr>
              <w:ind w:firstLine="480"/>
              <w:jc w:val="left"/>
              <w:rPr>
                <w:rFonts w:ascii="宋体" w:hAnsi="宋体" w:cs="Arial"/>
                <w:color w:val="auto"/>
                <w:sz w:val="24"/>
              </w:rPr>
            </w:pPr>
          </w:p>
        </w:tc>
        <w:tc>
          <w:tcPr>
            <w:tcW w:w="1556" w:type="dxa"/>
            <w:tcBorders>
              <w:left w:val="single" w:color="auto" w:sz="4" w:space="0"/>
            </w:tcBorders>
            <w:vAlign w:val="center"/>
          </w:tcPr>
          <w:p>
            <w:pPr>
              <w:ind w:firstLine="480"/>
              <w:jc w:val="left"/>
              <w:rPr>
                <w:rFonts w:ascii="宋体" w:hAnsi="宋体" w:cs="Arial"/>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p>
    <w:p>
      <w:pPr>
        <w:tabs>
          <w:tab w:val="left" w:pos="555"/>
          <w:tab w:val="left" w:pos="2214"/>
          <w:tab w:val="left" w:pos="3774"/>
          <w:tab w:val="left" w:pos="4854"/>
          <w:tab w:val="left" w:pos="5934"/>
          <w:tab w:val="left" w:pos="7014"/>
          <w:tab w:val="left" w:pos="8214"/>
          <w:tab w:val="left" w:pos="10134"/>
          <w:tab w:val="left" w:pos="11124"/>
        </w:tabs>
        <w:spacing w:beforeLines="200" w:line="360" w:lineRule="auto"/>
        <w:ind w:firstLine="480" w:firstLineChars="200"/>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注：</w:t>
      </w:r>
    </w:p>
    <w:p>
      <w:pPr>
        <w:pStyle w:val="63"/>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ascii="宋体" w:hAnsi="宋体" w:cs="Arial"/>
          <w:color w:val="auto"/>
          <w:sz w:val="24"/>
        </w:rPr>
      </w:pPr>
      <w:r>
        <w:rPr>
          <w:rFonts w:hint="eastAsia" w:ascii="宋体" w:hAnsi="宋体" w:cs="Arial"/>
          <w:color w:val="auto"/>
          <w:sz w:val="24"/>
        </w:rPr>
        <w:t>1. 以上表格格式行可增减。</w:t>
      </w:r>
    </w:p>
    <w:p>
      <w:pPr>
        <w:tabs>
          <w:tab w:val="left" w:pos="555"/>
          <w:tab w:val="left" w:pos="2214"/>
          <w:tab w:val="left" w:pos="3774"/>
          <w:tab w:val="left" w:pos="4854"/>
          <w:tab w:val="left" w:pos="5934"/>
          <w:tab w:val="left" w:pos="7014"/>
          <w:tab w:val="left" w:pos="8214"/>
          <w:tab w:val="left" w:pos="10134"/>
          <w:tab w:val="left" w:pos="11124"/>
        </w:tabs>
        <w:spacing w:afterLines="200" w:line="360" w:lineRule="auto"/>
        <w:ind w:firstLine="480" w:firstLineChars="200"/>
        <w:rPr>
          <w:rFonts w:ascii="宋体" w:hAnsi="宋体"/>
          <w:color w:val="auto"/>
          <w:sz w:val="24"/>
        </w:rPr>
      </w:pPr>
      <w:r>
        <w:rPr>
          <w:rFonts w:hint="eastAsia" w:ascii="宋体" w:hAnsi="宋体" w:cs="Arial"/>
          <w:color w:val="auto"/>
          <w:sz w:val="24"/>
        </w:rPr>
        <w:t>2. 供应商（仅限于供应商自己的）以上业绩需提供加盖公章的中标（成交）通知书或合同复印件。</w:t>
      </w:r>
    </w:p>
    <w:p>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供应商名称：XXX</w:t>
      </w:r>
      <w:r>
        <w:rPr>
          <w:rFonts w:ascii="宋体" w:hAnsi="宋体" w:cs="Arial"/>
          <w:color w:val="auto"/>
          <w:kern w:val="0"/>
          <w:sz w:val="24"/>
          <w:szCs w:val="20"/>
        </w:rPr>
        <w:t>（盖公章）</w:t>
      </w:r>
    </w:p>
    <w:p>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法定代表人或授权代表（签字或盖章）：XXX</w:t>
      </w: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r>
        <w:rPr>
          <w:rFonts w:hint="eastAsia" w:asciiTheme="minorEastAsia" w:hAnsiTheme="minorEastAsia" w:eastAsiaTheme="minorEastAsia"/>
          <w:bCs/>
          <w:color w:val="auto"/>
          <w:sz w:val="24"/>
        </w:rPr>
        <w:t>日  期：XX年XX月XX日</w:t>
      </w:r>
    </w:p>
    <w:p>
      <w:pPr>
        <w:pageBreakBefore/>
        <w:spacing w:beforeLines="200" w:afterLines="100" w:line="360" w:lineRule="auto"/>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十三、技术、服务、商务应答表</w:t>
      </w:r>
    </w:p>
    <w:p>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r>
        <w:rPr>
          <w:rFonts w:hint="eastAsia" w:ascii="宋体" w:hAnsi="宋体" w:cs="Arial"/>
          <w:bCs/>
          <w:color w:val="auto"/>
          <w:kern w:val="36"/>
          <w:sz w:val="24"/>
        </w:rPr>
        <w:t xml:space="preserve">                                 </w:t>
      </w:r>
    </w:p>
    <w:tbl>
      <w:tblPr>
        <w:tblStyle w:val="40"/>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92"/>
        <w:gridCol w:w="2185"/>
        <w:gridCol w:w="2185"/>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技术</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□符合谈判文件所有技术要求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2185" w:type="dxa"/>
            <w:vAlign w:val="center"/>
          </w:tcPr>
          <w:p>
            <w:pPr>
              <w:jc w:val="center"/>
              <w:rPr>
                <w:rFonts w:asciiTheme="minorEastAsia" w:hAnsiTheme="minorEastAsia"/>
                <w:color w:val="auto"/>
                <w:sz w:val="24"/>
              </w:rPr>
            </w:pPr>
            <w:r>
              <w:rPr>
                <w:rFonts w:hint="eastAsia" w:asciiTheme="minorEastAsia" w:hAnsiTheme="minorEastAsia"/>
                <w:color w:val="auto"/>
                <w:sz w:val="24"/>
              </w:rPr>
              <w:t>谈判</w:t>
            </w:r>
            <w:r>
              <w:rPr>
                <w:rFonts w:asciiTheme="minorEastAsia" w:hAnsiTheme="minorEastAsia"/>
                <w:color w:val="auto"/>
                <w:sz w:val="24"/>
              </w:rPr>
              <w:t>文件要求</w:t>
            </w:r>
          </w:p>
        </w:tc>
        <w:tc>
          <w:tcPr>
            <w:tcW w:w="2185" w:type="dxa"/>
            <w:vAlign w:val="center"/>
          </w:tcPr>
          <w:p>
            <w:pPr>
              <w:jc w:val="center"/>
              <w:rPr>
                <w:rFonts w:asciiTheme="minorEastAsia" w:hAnsiTheme="minorEastAsia"/>
                <w:color w:val="auto"/>
                <w:sz w:val="24"/>
              </w:rPr>
            </w:pPr>
            <w:r>
              <w:rPr>
                <w:rFonts w:asciiTheme="minorEastAsia" w:hAnsi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服务</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□符合谈判文件所有服务要求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商务</w:t>
            </w:r>
          </w:p>
        </w:tc>
        <w:tc>
          <w:tcPr>
            <w:tcW w:w="7647" w:type="dxa"/>
            <w:gridSpan w:val="4"/>
            <w:vAlign w:val="center"/>
          </w:tcPr>
          <w:p>
            <w:pPr>
              <w:rPr>
                <w:rFonts w:asciiTheme="minorEastAsia" w:hAnsiTheme="minorEastAsia"/>
                <w:color w:val="auto"/>
                <w:sz w:val="24"/>
              </w:rPr>
            </w:pPr>
            <w:r>
              <w:rPr>
                <w:rFonts w:hint="eastAsia" w:asciiTheme="minorEastAsia" w:hAnsiTheme="minorEastAsia"/>
                <w:color w:val="auto"/>
                <w:sz w:val="24"/>
              </w:rPr>
              <w:t>□符合谈判文件所有商务要求</w:t>
            </w:r>
          </w:p>
          <w:p>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pPr>
              <w:jc w:val="center"/>
              <w:rPr>
                <w:rFonts w:asciiTheme="minorEastAsia" w:hAnsiTheme="minorEastAsia" w:eastAsiaTheme="minorEastAsia"/>
                <w:color w:val="auto"/>
                <w:sz w:val="24"/>
              </w:rPr>
            </w:pPr>
          </w:p>
        </w:tc>
        <w:tc>
          <w:tcPr>
            <w:tcW w:w="1092"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c>
          <w:tcPr>
            <w:tcW w:w="2185" w:type="dxa"/>
            <w:vAlign w:val="center"/>
          </w:tcPr>
          <w:p>
            <w:pPr>
              <w:jc w:val="center"/>
              <w:rPr>
                <w:rFonts w:asciiTheme="minorEastAsia" w:hAnsiTheme="minorEastAsia" w:eastAsiaTheme="minorEastAsia"/>
                <w:color w:val="auto"/>
                <w:sz w:val="24"/>
              </w:rPr>
            </w:pPr>
          </w:p>
        </w:tc>
      </w:tr>
    </w:tbl>
    <w:p>
      <w:pPr>
        <w:spacing w:afterLines="100" w:line="360" w:lineRule="auto"/>
        <w:ind w:firstLine="480" w:firstLineChars="200"/>
        <w:rPr>
          <w:rFonts w:ascii="宋体" w:hAnsi="宋体"/>
          <w:color w:val="auto"/>
          <w:sz w:val="24"/>
        </w:rPr>
      </w:pPr>
    </w:p>
    <w:p>
      <w:pPr>
        <w:spacing w:beforeLines="25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以上表格格式的序号行可增减（根据项目实际情况而定）。</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若响应文件满足谈判文件所有要求，在没有偏离的情况下，则在“符合谈判文件要求”前的方框内打“√”。 “谈判文件要求”和“偏离说明”直接用“/”表示。</w:t>
      </w:r>
    </w:p>
    <w:p>
      <w:pPr>
        <w:pStyle w:val="63"/>
        <w:numPr>
          <w:ilvl w:val="0"/>
          <w:numId w:val="4"/>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若响应文件与谈判文件要求有偏离的情况下，则在“与谈判文件要求有偏离”前的方框内打“√”，并在“谈判文件要求”中据实逐条填写条款名称，“响应文件应答”应逐条对应填写。“偏离说明”内填写 “正偏离”或“负偏离”。如虚假填写，其响应文件按无效处理。</w:t>
      </w:r>
    </w:p>
    <w:p>
      <w:pPr>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pPr>
        <w:spacing w:beforeLines="100" w:afterLines="100" w:line="360" w:lineRule="auto"/>
        <w:ind w:firstLine="480" w:firstLineChars="200"/>
        <w:rPr>
          <w:rFonts w:ascii="宋体" w:hAnsi="宋体"/>
          <w:b/>
          <w:color w:val="auto"/>
          <w:sz w:val="24"/>
        </w:rPr>
      </w:pPr>
      <w:r>
        <w:rPr>
          <w:rFonts w:hint="eastAsia" w:ascii="宋体" w:hAnsi="宋体"/>
          <w:bCs/>
          <w:color w:val="auto"/>
          <w:sz w:val="24"/>
        </w:rPr>
        <w:t>日  期：XX年XX月XX日</w:t>
      </w:r>
    </w:p>
    <w:p>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十四、供应商本项目管理、技术、服务人员情况表</w:t>
      </w:r>
    </w:p>
    <w:p>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类别</w:t>
            </w:r>
          </w:p>
        </w:tc>
        <w:tc>
          <w:tcPr>
            <w:tcW w:w="947" w:type="dxa"/>
            <w:vMerge w:val="restart"/>
            <w:vAlign w:val="center"/>
          </w:tcPr>
          <w:p>
            <w:pPr>
              <w:jc w:val="center"/>
              <w:rPr>
                <w:rFonts w:ascii="宋体" w:hAnsi="宋体"/>
                <w:color w:val="auto"/>
                <w:sz w:val="24"/>
              </w:rPr>
            </w:pPr>
            <w:r>
              <w:rPr>
                <w:rFonts w:hint="eastAsia" w:ascii="宋体" w:hAnsi="宋体"/>
                <w:color w:val="auto"/>
                <w:sz w:val="24"/>
              </w:rPr>
              <w:t>职务</w:t>
            </w:r>
          </w:p>
        </w:tc>
        <w:tc>
          <w:tcPr>
            <w:tcW w:w="947" w:type="dxa"/>
            <w:vMerge w:val="restart"/>
            <w:vAlign w:val="center"/>
          </w:tcPr>
          <w:p>
            <w:pPr>
              <w:jc w:val="center"/>
              <w:rPr>
                <w:rFonts w:ascii="宋体" w:hAnsi="宋体"/>
                <w:color w:val="auto"/>
                <w:sz w:val="24"/>
              </w:rPr>
            </w:pPr>
            <w:r>
              <w:rPr>
                <w:rFonts w:hint="eastAsia" w:ascii="宋体" w:hAnsi="宋体"/>
                <w:color w:val="auto"/>
                <w:sz w:val="24"/>
              </w:rPr>
              <w:t>姓名</w:t>
            </w:r>
          </w:p>
        </w:tc>
        <w:tc>
          <w:tcPr>
            <w:tcW w:w="947" w:type="dxa"/>
            <w:vMerge w:val="restart"/>
            <w:vAlign w:val="center"/>
          </w:tcPr>
          <w:p>
            <w:pPr>
              <w:jc w:val="center"/>
              <w:rPr>
                <w:rFonts w:ascii="宋体" w:hAnsi="宋体"/>
                <w:color w:val="auto"/>
                <w:sz w:val="24"/>
              </w:rPr>
            </w:pPr>
            <w:r>
              <w:rPr>
                <w:rFonts w:hint="eastAsia" w:ascii="宋体" w:hAnsi="宋体"/>
                <w:color w:val="auto"/>
                <w:sz w:val="24"/>
              </w:rPr>
              <w:t>职称</w:t>
            </w:r>
          </w:p>
        </w:tc>
        <w:tc>
          <w:tcPr>
            <w:tcW w:w="947" w:type="dxa"/>
            <w:vMerge w:val="restart"/>
            <w:vAlign w:val="center"/>
          </w:tcPr>
          <w:p>
            <w:pPr>
              <w:jc w:val="center"/>
              <w:rPr>
                <w:rFonts w:ascii="宋体" w:hAnsi="宋体"/>
                <w:color w:val="auto"/>
                <w:sz w:val="24"/>
              </w:rPr>
            </w:pPr>
            <w:r>
              <w:rPr>
                <w:rFonts w:hint="eastAsia" w:ascii="宋体" w:hAnsi="宋体"/>
                <w:color w:val="auto"/>
                <w:sz w:val="24"/>
              </w:rPr>
              <w:t>常住地</w:t>
            </w:r>
          </w:p>
        </w:tc>
        <w:tc>
          <w:tcPr>
            <w:tcW w:w="3788" w:type="dxa"/>
            <w:gridSpan w:val="4"/>
            <w:vAlign w:val="center"/>
          </w:tcPr>
          <w:p>
            <w:pPr>
              <w:ind w:firstLine="480"/>
              <w:jc w:val="center"/>
              <w:rPr>
                <w:rFonts w:ascii="宋体" w:hAnsi="宋体"/>
                <w:color w:val="auto"/>
                <w:sz w:val="24"/>
              </w:rPr>
            </w:pPr>
            <w:r>
              <w:rPr>
                <w:rFonts w:hint="eastAsia" w:ascii="宋体" w:hAnsi="宋体"/>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Merge w:val="continue"/>
            <w:vAlign w:val="center"/>
          </w:tcPr>
          <w:p>
            <w:pPr>
              <w:ind w:firstLine="480"/>
              <w:jc w:val="center"/>
              <w:rPr>
                <w:rFonts w:ascii="宋体" w:hAnsi="宋体"/>
                <w:color w:val="auto"/>
                <w:sz w:val="24"/>
              </w:rPr>
            </w:pPr>
          </w:p>
        </w:tc>
        <w:tc>
          <w:tcPr>
            <w:tcW w:w="947" w:type="dxa"/>
            <w:vAlign w:val="center"/>
          </w:tcPr>
          <w:p>
            <w:pPr>
              <w:jc w:val="center"/>
              <w:rPr>
                <w:rFonts w:ascii="宋体" w:hAnsi="宋体"/>
                <w:color w:val="auto"/>
                <w:sz w:val="24"/>
              </w:rPr>
            </w:pPr>
            <w:r>
              <w:rPr>
                <w:rFonts w:hint="eastAsia" w:ascii="宋体" w:hAnsi="宋体"/>
                <w:color w:val="auto"/>
                <w:sz w:val="24"/>
              </w:rPr>
              <w:t>证书</w:t>
            </w:r>
          </w:p>
          <w:p>
            <w:pPr>
              <w:jc w:val="center"/>
              <w:rPr>
                <w:rFonts w:ascii="宋体" w:hAnsi="宋体"/>
                <w:color w:val="auto"/>
                <w:sz w:val="24"/>
              </w:rPr>
            </w:pPr>
            <w:r>
              <w:rPr>
                <w:rFonts w:hint="eastAsia" w:ascii="宋体" w:hAnsi="宋体"/>
                <w:color w:val="auto"/>
                <w:sz w:val="24"/>
              </w:rPr>
              <w:t>名称</w:t>
            </w:r>
          </w:p>
        </w:tc>
        <w:tc>
          <w:tcPr>
            <w:tcW w:w="947" w:type="dxa"/>
            <w:vAlign w:val="center"/>
          </w:tcPr>
          <w:p>
            <w:pPr>
              <w:jc w:val="center"/>
              <w:rPr>
                <w:rFonts w:ascii="宋体" w:hAnsi="宋体"/>
                <w:color w:val="auto"/>
                <w:sz w:val="24"/>
              </w:rPr>
            </w:pPr>
            <w:r>
              <w:rPr>
                <w:rFonts w:hint="eastAsia" w:ascii="宋体" w:hAnsi="宋体"/>
                <w:color w:val="auto"/>
                <w:sz w:val="24"/>
              </w:rPr>
              <w:t>级别</w:t>
            </w:r>
          </w:p>
        </w:tc>
        <w:tc>
          <w:tcPr>
            <w:tcW w:w="947" w:type="dxa"/>
            <w:vAlign w:val="center"/>
          </w:tcPr>
          <w:p>
            <w:pPr>
              <w:jc w:val="center"/>
              <w:rPr>
                <w:rFonts w:ascii="宋体" w:hAnsi="宋体"/>
                <w:color w:val="auto"/>
                <w:sz w:val="24"/>
              </w:rPr>
            </w:pPr>
            <w:r>
              <w:rPr>
                <w:rFonts w:hint="eastAsia" w:ascii="宋体" w:hAnsi="宋体"/>
                <w:color w:val="auto"/>
                <w:sz w:val="24"/>
              </w:rPr>
              <w:t>证号</w:t>
            </w:r>
          </w:p>
        </w:tc>
        <w:tc>
          <w:tcPr>
            <w:tcW w:w="947" w:type="dxa"/>
            <w:vAlign w:val="center"/>
          </w:tcPr>
          <w:p>
            <w:pPr>
              <w:jc w:val="center"/>
              <w:rPr>
                <w:rFonts w:ascii="宋体" w:hAnsi="宋体"/>
                <w:color w:val="auto"/>
                <w:sz w:val="24"/>
              </w:rPr>
            </w:pPr>
            <w:r>
              <w:rPr>
                <w:rFonts w:hint="eastAsia" w:ascii="宋体" w:hAnsi="宋体"/>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管理</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技术</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pPr>
              <w:jc w:val="center"/>
              <w:rPr>
                <w:rFonts w:ascii="宋体" w:hAnsi="宋体"/>
                <w:color w:val="auto"/>
                <w:sz w:val="24"/>
              </w:rPr>
            </w:pPr>
            <w:r>
              <w:rPr>
                <w:rFonts w:hint="eastAsia" w:ascii="宋体" w:hAnsi="宋体"/>
                <w:color w:val="auto"/>
                <w:sz w:val="24"/>
              </w:rPr>
              <w:t>其他</w:t>
            </w:r>
          </w:p>
          <w:p>
            <w:pPr>
              <w:jc w:val="center"/>
              <w:rPr>
                <w:rFonts w:ascii="宋体" w:hAnsi="宋体"/>
                <w:color w:val="auto"/>
                <w:sz w:val="24"/>
              </w:rPr>
            </w:pPr>
            <w:r>
              <w:rPr>
                <w:rFonts w:hint="eastAsia" w:ascii="宋体" w:hAnsi="宋体"/>
                <w:color w:val="auto"/>
                <w:sz w:val="24"/>
              </w:rPr>
              <w:t>人员</w:t>
            </w: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pPr>
              <w:ind w:firstLine="480"/>
              <w:jc w:val="center"/>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c>
          <w:tcPr>
            <w:tcW w:w="947" w:type="dxa"/>
            <w:vAlign w:val="center"/>
          </w:tcPr>
          <w:p>
            <w:pPr>
              <w:ind w:firstLine="480"/>
              <w:jc w:val="left"/>
              <w:rPr>
                <w:rFonts w:ascii="宋体" w:hAnsi="宋体"/>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注：以上表格格式行可增减</w:t>
      </w:r>
      <w:r>
        <w:rPr>
          <w:rFonts w:hint="eastAsia" w:ascii="宋体" w:hAnsi="宋体" w:cs="Arial"/>
          <w:color w:val="auto"/>
          <w:sz w:val="24"/>
          <w:lang w:eastAsia="zh-CN"/>
        </w:rPr>
        <w:t>，需提供为本单位在职员工证明材料</w:t>
      </w:r>
      <w:r>
        <w:rPr>
          <w:rFonts w:hint="eastAsia" w:ascii="宋体" w:hAnsi="宋体" w:cs="Arial"/>
          <w:color w:val="auto"/>
          <w:sz w:val="24"/>
        </w:rPr>
        <w:t>。</w:t>
      </w:r>
    </w:p>
    <w:p>
      <w:pPr>
        <w:adjustRightInd w:val="0"/>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日  期：XX年XX月XX日</w:t>
      </w:r>
    </w:p>
    <w:p>
      <w:pPr>
        <w:pageBreakBefore/>
        <w:spacing w:beforeLines="100" w:afterLines="200"/>
        <w:ind w:firstLine="642" w:firstLineChars="200"/>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十五、</w:t>
      </w:r>
      <w:r>
        <w:rPr>
          <w:rFonts w:asciiTheme="minorEastAsia" w:hAnsiTheme="minorEastAsia" w:eastAsiaTheme="minorEastAsia"/>
          <w:b/>
          <w:color w:val="auto"/>
          <w:sz w:val="32"/>
          <w:szCs w:val="32"/>
        </w:rPr>
        <w:t>本项目的实施方案</w:t>
      </w:r>
    </w:p>
    <w:p>
      <w:pPr>
        <w:spacing w:line="360" w:lineRule="auto"/>
        <w:ind w:firstLine="480" w:firstLineChars="200"/>
        <w:rPr>
          <w:rFonts w:ascii="宋体" w:hAnsi="宋体"/>
          <w:color w:val="auto"/>
          <w:sz w:val="24"/>
        </w:rPr>
      </w:pPr>
      <w:r>
        <w:rPr>
          <w:rFonts w:hint="eastAsia" w:ascii="宋体" w:hAnsi="宋体"/>
          <w:color w:val="auto"/>
          <w:sz w:val="24"/>
        </w:rPr>
        <w:t>项目名称：</w:t>
      </w:r>
      <w:r>
        <w:rPr>
          <w:rFonts w:hint="eastAsia" w:ascii="宋体" w:hAnsi="宋体"/>
          <w:bCs/>
          <w:color w:val="auto"/>
          <w:sz w:val="24"/>
        </w:rPr>
        <w:t>XXX</w:t>
      </w:r>
    </w:p>
    <w:p>
      <w:pPr>
        <w:spacing w:beforeLines="100" w:line="360" w:lineRule="auto"/>
        <w:ind w:firstLine="480" w:firstLineChars="200"/>
        <w:rPr>
          <w:rFonts w:asciiTheme="minorEastAsia" w:hAnsiTheme="minorEastAsia" w:eastAsiaTheme="minorEastAsia"/>
          <w:color w:val="auto"/>
          <w:sz w:val="24"/>
        </w:rPr>
      </w:pPr>
    </w:p>
    <w:p>
      <w:pPr>
        <w:spacing w:beforeLines="10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由供应商自行编写，格式不限。</w:t>
      </w:r>
    </w:p>
    <w:p>
      <w:pPr>
        <w:pStyle w:val="4"/>
        <w:keepNext w:val="0"/>
        <w:keepLines w:val="0"/>
        <w:pageBreakBefore/>
        <w:spacing w:beforeLines="200" w:afterLines="100" w:line="360" w:lineRule="auto"/>
        <w:jc w:val="center"/>
        <w:rPr>
          <w:rFonts w:ascii="宋体" w:hAnsi="宋体"/>
          <w:color w:val="auto"/>
          <w:sz w:val="36"/>
          <w:szCs w:val="36"/>
        </w:rPr>
      </w:pPr>
      <w:bookmarkStart w:id="162" w:name="_Toc534623372"/>
      <w:bookmarkStart w:id="163" w:name="_Toc534622148"/>
      <w:bookmarkStart w:id="164" w:name="_Toc534620566"/>
      <w:bookmarkStart w:id="165" w:name="_Toc534620656"/>
      <w:bookmarkStart w:id="166" w:name="_Toc1128548466"/>
      <w:r>
        <w:rPr>
          <w:rFonts w:hint="eastAsia" w:ascii="宋体" w:hAnsi="宋体" w:eastAsia="宋体"/>
          <w:color w:val="auto"/>
          <w:sz w:val="36"/>
          <w:szCs w:val="36"/>
        </w:rPr>
        <w:t>第</w:t>
      </w:r>
      <w:r>
        <w:rPr>
          <w:rFonts w:hint="eastAsia" w:ascii="宋体" w:hAnsi="宋体" w:eastAsia="宋体"/>
          <w:color w:val="auto"/>
          <w:sz w:val="36"/>
          <w:szCs w:val="36"/>
          <w:lang w:eastAsia="zh-CN"/>
        </w:rPr>
        <w:t>七</w:t>
      </w:r>
      <w:r>
        <w:rPr>
          <w:rFonts w:hint="eastAsia" w:ascii="宋体" w:hAnsi="宋体" w:eastAsia="宋体"/>
          <w:color w:val="auto"/>
          <w:sz w:val="36"/>
          <w:szCs w:val="36"/>
        </w:rPr>
        <w:t>章  评审</w:t>
      </w:r>
      <w:r>
        <w:rPr>
          <w:rFonts w:hint="eastAsia" w:ascii="宋体" w:hAnsi="宋体" w:eastAsia="宋体"/>
          <w:color w:val="auto"/>
          <w:sz w:val="36"/>
          <w:szCs w:val="36"/>
          <w:lang w:eastAsia="zh-CN"/>
        </w:rPr>
        <w:t>办</w:t>
      </w:r>
      <w:r>
        <w:rPr>
          <w:rFonts w:hint="eastAsia" w:ascii="宋体" w:hAnsi="宋体" w:eastAsia="宋体"/>
          <w:color w:val="auto"/>
          <w:sz w:val="36"/>
          <w:szCs w:val="36"/>
        </w:rPr>
        <w:t>法</w:t>
      </w:r>
      <w:bookmarkEnd w:id="162"/>
      <w:bookmarkEnd w:id="163"/>
      <w:bookmarkEnd w:id="164"/>
      <w:bookmarkEnd w:id="165"/>
      <w:bookmarkEnd w:id="166"/>
      <w:bookmarkStart w:id="167" w:name="_Toc209847065"/>
      <w:bookmarkStart w:id="168" w:name="_Toc101174146"/>
      <w:bookmarkStart w:id="169" w:name="_Toc101338358"/>
      <w:bookmarkStart w:id="170" w:name="_Toc101250640"/>
      <w:bookmarkStart w:id="171" w:name="_Toc430773924"/>
    </w:p>
    <w:p>
      <w:pPr>
        <w:pStyle w:val="4"/>
        <w:keepNext w:val="0"/>
        <w:keepLines w:val="0"/>
        <w:spacing w:beforeLines="100" w:afterLines="100" w:line="360" w:lineRule="auto"/>
        <w:ind w:firstLine="642" w:firstLineChars="200"/>
        <w:rPr>
          <w:rFonts w:ascii="宋体" w:hAnsi="宋体" w:eastAsia="宋体"/>
          <w:color w:val="auto"/>
        </w:rPr>
      </w:pPr>
      <w:bookmarkStart w:id="172" w:name="_Toc534620567"/>
      <w:bookmarkStart w:id="173" w:name="_Toc534620657"/>
      <w:bookmarkStart w:id="174" w:name="_Toc536633441"/>
      <w:bookmarkStart w:id="175" w:name="_Toc534622149"/>
      <w:bookmarkStart w:id="176" w:name="_Toc534623373"/>
      <w:bookmarkStart w:id="177" w:name="_Toc534270341"/>
      <w:r>
        <w:rPr>
          <w:rFonts w:hint="eastAsia" w:ascii="宋体" w:hAnsi="宋体" w:eastAsia="宋体"/>
          <w:color w:val="auto"/>
        </w:rPr>
        <w:t>1.总则</w:t>
      </w:r>
      <w:bookmarkEnd w:id="172"/>
      <w:bookmarkEnd w:id="173"/>
      <w:bookmarkEnd w:id="174"/>
      <w:bookmarkEnd w:id="175"/>
      <w:bookmarkEnd w:id="176"/>
      <w:bookmarkEnd w:id="177"/>
    </w:p>
    <w:p>
      <w:pPr>
        <w:spacing w:line="360" w:lineRule="auto"/>
        <w:ind w:firstLine="480" w:firstLineChars="200"/>
        <w:rPr>
          <w:rFonts w:ascii="宋体" w:hAnsi="宋体"/>
          <w:color w:val="auto"/>
          <w:sz w:val="24"/>
        </w:rPr>
      </w:pPr>
      <w:r>
        <w:rPr>
          <w:rFonts w:hint="eastAsia" w:ascii="宋体" w:hAnsi="宋体"/>
          <w:color w:val="auto"/>
          <w:sz w:val="24"/>
        </w:rPr>
        <w:t>1.1  根据《中华人民共和国政府采购法》、《中华人民共和国政府采购法实施条例》、《政府采购非招标采购方式管理办法》等法律制度，结合采购项目特点制定本谈判办法。</w:t>
      </w:r>
    </w:p>
    <w:p>
      <w:pPr>
        <w:spacing w:line="360" w:lineRule="auto"/>
        <w:ind w:firstLine="480" w:firstLineChars="200"/>
        <w:rPr>
          <w:rFonts w:ascii="宋体" w:hAnsi="宋体"/>
          <w:color w:val="auto"/>
          <w:sz w:val="24"/>
        </w:rPr>
      </w:pPr>
      <w:r>
        <w:rPr>
          <w:rFonts w:hint="eastAsia" w:ascii="宋体" w:hAnsi="宋体"/>
          <w:color w:val="auto"/>
          <w:sz w:val="24"/>
        </w:rPr>
        <w:t>1.2  谈判工作由采购机构负责组织。</w:t>
      </w:r>
    </w:p>
    <w:p>
      <w:pPr>
        <w:spacing w:line="360" w:lineRule="auto"/>
        <w:ind w:firstLine="480" w:firstLineChars="200"/>
        <w:rPr>
          <w:rFonts w:ascii="宋体" w:hAnsi="宋体"/>
          <w:color w:val="auto"/>
          <w:sz w:val="24"/>
        </w:rPr>
      </w:pPr>
      <w:r>
        <w:rPr>
          <w:rFonts w:hint="eastAsia" w:ascii="宋体" w:hAnsi="宋体"/>
          <w:color w:val="auto"/>
          <w:sz w:val="24"/>
        </w:rPr>
        <w:t>1.3  谈判工作应遵循公平、公正、科学及择优的原则，并以相同的谈判程序和标准对待所有的供应商。</w:t>
      </w:r>
    </w:p>
    <w:p>
      <w:pPr>
        <w:spacing w:line="360" w:lineRule="auto"/>
        <w:ind w:firstLine="480" w:firstLineChars="200"/>
        <w:rPr>
          <w:rFonts w:ascii="宋体" w:hAnsi="宋体"/>
          <w:color w:val="auto"/>
          <w:sz w:val="24"/>
        </w:rPr>
      </w:pPr>
      <w:r>
        <w:rPr>
          <w:rFonts w:hint="eastAsia" w:ascii="宋体" w:hAnsi="宋体"/>
          <w:color w:val="auto"/>
          <w:sz w:val="24"/>
        </w:rPr>
        <w:t>1.4  谈判小组按照谈判文件规定的谈判方法和标准进行谈判，并独立履行下列职责：</w:t>
      </w:r>
    </w:p>
    <w:p>
      <w:pPr>
        <w:spacing w:line="360" w:lineRule="auto"/>
        <w:ind w:firstLine="480" w:firstLineChars="200"/>
        <w:rPr>
          <w:rFonts w:ascii="宋体" w:hAnsi="宋体"/>
          <w:color w:val="auto"/>
          <w:sz w:val="24"/>
        </w:rPr>
      </w:pPr>
      <w:r>
        <w:rPr>
          <w:rFonts w:hint="eastAsia" w:ascii="宋体" w:hAnsi="宋体"/>
          <w:color w:val="auto"/>
          <w:sz w:val="24"/>
        </w:rPr>
        <w:t>（一）熟悉和理解谈判文件，确定谈判文件内容是否违反国家有关强制性规定或者谈判文件存在歧义、重大缺陷，根据需要书面要求采购代理机构对谈判文件作出解释；</w:t>
      </w:r>
    </w:p>
    <w:p>
      <w:pPr>
        <w:spacing w:line="360" w:lineRule="auto"/>
        <w:ind w:firstLine="480" w:firstLineChars="200"/>
        <w:rPr>
          <w:rFonts w:ascii="宋体" w:hAnsi="宋体"/>
          <w:color w:val="auto"/>
          <w:sz w:val="24"/>
        </w:rPr>
      </w:pPr>
      <w:r>
        <w:rPr>
          <w:rFonts w:hint="eastAsia" w:ascii="宋体" w:hAnsi="宋体"/>
          <w:color w:val="auto"/>
          <w:sz w:val="24"/>
        </w:rPr>
        <w:t>（二）审查供应商响应文件是否满足谈判文件要求，并作出公正评价；</w:t>
      </w:r>
    </w:p>
    <w:p>
      <w:pPr>
        <w:spacing w:line="360" w:lineRule="auto"/>
        <w:ind w:firstLine="480" w:firstLineChars="200"/>
        <w:rPr>
          <w:rFonts w:ascii="宋体" w:hAnsi="宋体"/>
          <w:color w:val="auto"/>
          <w:sz w:val="24"/>
        </w:rPr>
      </w:pPr>
      <w:r>
        <w:rPr>
          <w:rFonts w:hint="eastAsia" w:ascii="宋体" w:hAnsi="宋体"/>
          <w:color w:val="auto"/>
          <w:sz w:val="24"/>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ascii="宋体" w:hAnsi="宋体"/>
          <w:color w:val="auto"/>
          <w:sz w:val="24"/>
        </w:rPr>
      </w:pPr>
      <w:r>
        <w:rPr>
          <w:rFonts w:hint="eastAsia" w:ascii="宋体" w:hAnsi="宋体"/>
          <w:color w:val="auto"/>
          <w:sz w:val="24"/>
        </w:rPr>
        <w:t>（四）推荐成交供应商，或者受采购人委托确定成交供应商；</w:t>
      </w:r>
    </w:p>
    <w:p>
      <w:pPr>
        <w:spacing w:line="360" w:lineRule="auto"/>
        <w:ind w:firstLine="480" w:firstLineChars="200"/>
        <w:rPr>
          <w:rFonts w:ascii="宋体" w:hAnsi="宋体"/>
          <w:color w:val="auto"/>
          <w:sz w:val="24"/>
        </w:rPr>
      </w:pPr>
      <w:r>
        <w:rPr>
          <w:rFonts w:hint="eastAsia" w:ascii="宋体" w:hAnsi="宋体"/>
          <w:color w:val="auto"/>
          <w:sz w:val="24"/>
        </w:rPr>
        <w:t>（五）起草评审报告并进行签署；</w:t>
      </w:r>
    </w:p>
    <w:p>
      <w:pPr>
        <w:spacing w:line="360" w:lineRule="auto"/>
        <w:ind w:firstLine="480" w:firstLineChars="200"/>
        <w:rPr>
          <w:rFonts w:ascii="宋体" w:hAnsi="宋体"/>
          <w:color w:val="auto"/>
          <w:sz w:val="24"/>
        </w:rPr>
      </w:pPr>
      <w:r>
        <w:rPr>
          <w:rFonts w:hint="eastAsia" w:ascii="宋体" w:hAnsi="宋体"/>
          <w:color w:val="auto"/>
          <w:sz w:val="24"/>
        </w:rPr>
        <w:t>（六）向采购人、财政部门或者其他监督部门报告非法干预评审工作的行为；</w:t>
      </w:r>
    </w:p>
    <w:p>
      <w:pPr>
        <w:spacing w:line="360" w:lineRule="auto"/>
        <w:ind w:firstLine="480" w:firstLineChars="200"/>
        <w:rPr>
          <w:rFonts w:ascii="宋体" w:hAnsi="宋体"/>
          <w:color w:val="auto"/>
          <w:sz w:val="24"/>
        </w:rPr>
      </w:pPr>
      <w:r>
        <w:rPr>
          <w:rFonts w:hint="eastAsia" w:ascii="宋体" w:hAnsi="宋体"/>
          <w:color w:val="auto"/>
          <w:sz w:val="24"/>
        </w:rPr>
        <w:t>（七）法律、法规和规章规定的其他职责。</w:t>
      </w:r>
    </w:p>
    <w:p>
      <w:pPr>
        <w:spacing w:line="360" w:lineRule="auto"/>
        <w:ind w:firstLine="480" w:firstLineChars="200"/>
        <w:rPr>
          <w:rFonts w:ascii="宋体" w:hAnsi="宋体"/>
          <w:color w:val="auto"/>
          <w:sz w:val="24"/>
        </w:rPr>
      </w:pPr>
      <w:r>
        <w:rPr>
          <w:rFonts w:hint="eastAsia" w:ascii="宋体" w:hAnsi="宋体"/>
          <w:color w:val="auto"/>
          <w:sz w:val="24"/>
        </w:rPr>
        <w:t xml:space="preserve">1.5 </w:t>
      </w:r>
      <w:r>
        <w:rPr>
          <w:rFonts w:hint="eastAsia" w:ascii="宋体" w:hAnsi="宋体"/>
          <w:b/>
          <w:color w:val="auto"/>
          <w:sz w:val="24"/>
        </w:rPr>
        <w:t>（实质性要求）</w:t>
      </w:r>
      <w:r>
        <w:rPr>
          <w:rFonts w:hint="eastAsia" w:ascii="宋体" w:hAnsi="宋体"/>
          <w:color w:val="auto"/>
          <w:sz w:val="24"/>
        </w:rPr>
        <w:t>谈判过程独立、保密。供应商非法干预谈判过程的，其响应文件作无效处理。</w:t>
      </w:r>
    </w:p>
    <w:p>
      <w:pPr>
        <w:pStyle w:val="4"/>
        <w:keepNext w:val="0"/>
        <w:keepLines w:val="0"/>
        <w:spacing w:beforeLines="100" w:afterLines="100" w:line="360" w:lineRule="auto"/>
        <w:ind w:firstLine="642" w:firstLineChars="200"/>
        <w:rPr>
          <w:rFonts w:ascii="宋体" w:hAnsi="宋体" w:eastAsia="宋体"/>
          <w:color w:val="auto"/>
        </w:rPr>
      </w:pPr>
      <w:bookmarkStart w:id="178" w:name="_Toc534620658"/>
      <w:bookmarkStart w:id="179" w:name="_Toc536633442"/>
      <w:bookmarkStart w:id="180" w:name="_Toc534622150"/>
      <w:bookmarkStart w:id="181" w:name="_Toc534620568"/>
      <w:bookmarkStart w:id="182" w:name="_Toc122314537"/>
      <w:bookmarkStart w:id="183" w:name="_Toc534623374"/>
      <w:r>
        <w:rPr>
          <w:rFonts w:hint="eastAsia" w:ascii="宋体" w:hAnsi="宋体" w:eastAsia="宋体"/>
          <w:color w:val="auto"/>
        </w:rPr>
        <w:t>2. 谈判程序</w:t>
      </w:r>
      <w:bookmarkEnd w:id="178"/>
      <w:bookmarkEnd w:id="179"/>
      <w:bookmarkEnd w:id="180"/>
      <w:bookmarkEnd w:id="181"/>
      <w:bookmarkEnd w:id="182"/>
      <w:bookmarkEnd w:id="183"/>
    </w:p>
    <w:p>
      <w:pPr>
        <w:spacing w:line="360" w:lineRule="auto"/>
        <w:ind w:firstLine="480" w:firstLineChars="200"/>
        <w:rPr>
          <w:rFonts w:ascii="宋体" w:hAnsi="宋体"/>
          <w:color w:val="auto"/>
          <w:sz w:val="24"/>
        </w:rPr>
      </w:pPr>
      <w:r>
        <w:rPr>
          <w:rFonts w:hint="eastAsia" w:ascii="宋体" w:hAnsi="宋体"/>
          <w:color w:val="auto"/>
          <w:sz w:val="24"/>
        </w:rPr>
        <w:t>2.1 审查谈判文件和停止评审。</w:t>
      </w:r>
    </w:p>
    <w:p>
      <w:pPr>
        <w:spacing w:line="360" w:lineRule="auto"/>
        <w:ind w:firstLine="480" w:firstLineChars="200"/>
        <w:rPr>
          <w:rFonts w:ascii="宋体" w:hAnsi="宋体"/>
          <w:color w:val="auto"/>
          <w:sz w:val="24"/>
        </w:rPr>
      </w:pPr>
      <w:r>
        <w:rPr>
          <w:rFonts w:hint="eastAsia" w:ascii="宋体" w:hAnsi="宋体"/>
          <w:color w:val="auto"/>
          <w:sz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pPr>
        <w:spacing w:line="360" w:lineRule="auto"/>
        <w:ind w:firstLine="480" w:firstLineChars="200"/>
        <w:rPr>
          <w:rFonts w:ascii="宋体" w:hAnsi="宋体"/>
          <w:color w:val="auto"/>
          <w:sz w:val="24"/>
        </w:rPr>
      </w:pPr>
      <w:r>
        <w:rPr>
          <w:rFonts w:hint="eastAsia" w:ascii="宋体" w:hAnsi="宋体"/>
          <w:color w:val="auto"/>
          <w:sz w:val="24"/>
        </w:rPr>
        <w:t>2.1.2 本谈判文件有下列情形之一的，谈判小组应当停止评审：</w:t>
      </w:r>
    </w:p>
    <w:p>
      <w:pPr>
        <w:spacing w:line="360" w:lineRule="auto"/>
        <w:ind w:firstLine="480" w:firstLineChars="200"/>
        <w:rPr>
          <w:rFonts w:ascii="宋体" w:hAnsi="宋体"/>
          <w:color w:val="auto"/>
          <w:sz w:val="24"/>
        </w:rPr>
      </w:pPr>
      <w:r>
        <w:rPr>
          <w:rFonts w:hint="eastAsia" w:ascii="宋体" w:hAnsi="宋体"/>
          <w:color w:val="auto"/>
          <w:sz w:val="24"/>
        </w:rPr>
        <w:t>（1）谈判文件的规定存在歧义、重大缺陷，导致谈判工作无法进行的；</w:t>
      </w:r>
    </w:p>
    <w:p>
      <w:pPr>
        <w:spacing w:line="360" w:lineRule="auto"/>
        <w:ind w:firstLine="480" w:firstLineChars="200"/>
        <w:rPr>
          <w:rFonts w:ascii="宋体" w:hAnsi="宋体"/>
          <w:color w:val="auto"/>
          <w:sz w:val="24"/>
        </w:rPr>
      </w:pPr>
      <w:r>
        <w:rPr>
          <w:rFonts w:hint="eastAsia" w:ascii="宋体" w:hAnsi="宋体"/>
          <w:color w:val="auto"/>
          <w:sz w:val="24"/>
        </w:rPr>
        <w:t>（2）谈判文件明显以不合理条件对供应商实行差别待遇或者歧视待遇的；</w:t>
      </w:r>
    </w:p>
    <w:p>
      <w:pPr>
        <w:spacing w:line="360" w:lineRule="auto"/>
        <w:ind w:firstLine="480" w:firstLineChars="200"/>
        <w:rPr>
          <w:rFonts w:ascii="宋体" w:hAnsi="宋体"/>
          <w:color w:val="auto"/>
          <w:sz w:val="24"/>
        </w:rPr>
      </w:pPr>
      <w:r>
        <w:rPr>
          <w:rFonts w:hint="eastAsia" w:ascii="宋体" w:hAnsi="宋体"/>
          <w:color w:val="auto"/>
          <w:sz w:val="24"/>
        </w:rPr>
        <w:t>（3）采购项目属于国家规定的优先、强制采购范围，但是谈判文件未依法体现优先、强制采购相关规定的；</w:t>
      </w:r>
    </w:p>
    <w:p>
      <w:pPr>
        <w:spacing w:line="360" w:lineRule="auto"/>
        <w:ind w:firstLine="480" w:firstLineChars="200"/>
        <w:rPr>
          <w:rFonts w:ascii="宋体" w:hAnsi="宋体"/>
          <w:color w:val="auto"/>
          <w:sz w:val="24"/>
        </w:rPr>
      </w:pPr>
      <w:r>
        <w:rPr>
          <w:rFonts w:hint="eastAsia" w:ascii="宋体" w:hAnsi="宋体"/>
          <w:color w:val="auto"/>
          <w:sz w:val="24"/>
        </w:rPr>
        <w:t>（4）采购项目属于政府采购促进中小企业发展的范围，但是谈判文件未依法体现促进中小企业发展相关规定的；</w:t>
      </w:r>
    </w:p>
    <w:p>
      <w:pPr>
        <w:spacing w:line="360" w:lineRule="auto"/>
        <w:ind w:firstLine="480" w:firstLineChars="200"/>
        <w:rPr>
          <w:rFonts w:ascii="宋体" w:hAnsi="宋体"/>
          <w:color w:val="auto"/>
          <w:sz w:val="24"/>
        </w:rPr>
      </w:pPr>
      <w:r>
        <w:rPr>
          <w:rFonts w:hint="eastAsia" w:ascii="宋体" w:hAnsi="宋体"/>
          <w:color w:val="auto"/>
          <w:sz w:val="24"/>
        </w:rPr>
        <w:t>（5）谈判文件载明的成交原则不合法的；</w:t>
      </w:r>
    </w:p>
    <w:p>
      <w:pPr>
        <w:spacing w:line="360" w:lineRule="auto"/>
        <w:ind w:firstLine="480" w:firstLineChars="200"/>
        <w:rPr>
          <w:rFonts w:ascii="宋体" w:hAnsi="宋体"/>
          <w:color w:val="auto"/>
          <w:sz w:val="24"/>
        </w:rPr>
      </w:pPr>
      <w:r>
        <w:rPr>
          <w:rFonts w:hint="eastAsia" w:ascii="宋体" w:hAnsi="宋体"/>
          <w:color w:val="auto"/>
          <w:sz w:val="24"/>
        </w:rPr>
        <w:t>（6）谈判文件有违反国家其他有关强制性规定的情形。</w:t>
      </w:r>
    </w:p>
    <w:p>
      <w:pPr>
        <w:spacing w:line="360" w:lineRule="auto"/>
        <w:ind w:firstLine="480" w:firstLineChars="200"/>
        <w:rPr>
          <w:rFonts w:ascii="宋体" w:hAnsi="宋体"/>
          <w:color w:val="auto"/>
          <w:sz w:val="24"/>
        </w:rPr>
      </w:pPr>
      <w:r>
        <w:rPr>
          <w:rFonts w:hint="eastAsia" w:ascii="宋体" w:hAnsi="宋体"/>
          <w:color w:val="auto"/>
          <w:sz w:val="24"/>
        </w:rPr>
        <w:t>2.1.3 出现本条2.1.2规定应当停止评审情形的，谈判小组应当向采购人书面说明情况。除本条规定的情形外，谈判小组不得以任何方式和理由停止评审。</w:t>
      </w:r>
    </w:p>
    <w:p>
      <w:pPr>
        <w:spacing w:line="360" w:lineRule="auto"/>
        <w:ind w:firstLine="480" w:firstLineChars="200"/>
        <w:rPr>
          <w:rFonts w:ascii="宋体" w:hAnsi="宋体"/>
          <w:color w:val="auto"/>
          <w:sz w:val="24"/>
        </w:rPr>
      </w:pPr>
      <w:r>
        <w:rPr>
          <w:rFonts w:hint="eastAsia" w:ascii="宋体" w:hAnsi="宋体"/>
          <w:color w:val="auto"/>
          <w:sz w:val="24"/>
        </w:rPr>
        <w:t>2.2 资格性审查。</w:t>
      </w:r>
    </w:p>
    <w:p>
      <w:pPr>
        <w:spacing w:line="360" w:lineRule="auto"/>
        <w:ind w:firstLine="480" w:firstLineChars="200"/>
        <w:rPr>
          <w:rFonts w:ascii="宋体" w:hAnsi="宋体"/>
          <w:color w:val="auto"/>
          <w:sz w:val="24"/>
        </w:rPr>
      </w:pPr>
      <w:r>
        <w:rPr>
          <w:rFonts w:hint="eastAsia" w:ascii="宋体" w:hAnsi="宋体"/>
          <w:color w:val="auto"/>
          <w:sz w:val="24"/>
        </w:rPr>
        <w:t>2.2.1 本项目需要谈判小组进行资格性检查。谈判小组应依据法律法规和谈判文件第四章的规定，对资格性响应文件是否按照规定要求提供资格性证明材料、是否属于禁止参加谈判的供应商等进行审查，以确定供应商是否具备谈判资格。</w:t>
      </w:r>
    </w:p>
    <w:p>
      <w:pPr>
        <w:spacing w:line="360" w:lineRule="auto"/>
        <w:ind w:firstLine="480" w:firstLineChars="200"/>
        <w:rPr>
          <w:rFonts w:ascii="宋体" w:hAnsi="宋体"/>
          <w:color w:val="auto"/>
          <w:sz w:val="24"/>
        </w:rPr>
      </w:pPr>
      <w:r>
        <w:rPr>
          <w:rFonts w:hint="eastAsia" w:ascii="宋体" w:hAnsi="宋体"/>
          <w:color w:val="auto"/>
          <w:sz w:val="24"/>
        </w:rPr>
        <w:t>2.2.2 资格性审查结束后，谈判小组应当出具资格性审查表，没有通过资格审查的供应商，谈判小组应当在资格审查表中说明原因。</w:t>
      </w:r>
    </w:p>
    <w:p>
      <w:pPr>
        <w:spacing w:line="360" w:lineRule="auto"/>
        <w:ind w:firstLine="480" w:firstLineChars="200"/>
        <w:rPr>
          <w:rFonts w:ascii="宋体" w:hAnsi="宋体"/>
          <w:color w:val="auto"/>
          <w:sz w:val="24"/>
        </w:rPr>
      </w:pPr>
      <w:r>
        <w:rPr>
          <w:rFonts w:hint="eastAsia" w:ascii="宋体" w:hAnsi="宋体"/>
          <w:color w:val="auto"/>
          <w:sz w:val="24"/>
        </w:rPr>
        <w:t>2.2.3采购机构宣布未通过资格性审查的供应商名单时，应当告知供应商未通过审查的原因。</w:t>
      </w:r>
    </w:p>
    <w:p>
      <w:pPr>
        <w:spacing w:line="360" w:lineRule="auto"/>
        <w:ind w:firstLine="480" w:firstLineChars="200"/>
        <w:rPr>
          <w:rFonts w:ascii="宋体" w:hAnsi="宋体"/>
          <w:color w:val="auto"/>
          <w:sz w:val="24"/>
        </w:rPr>
      </w:pPr>
      <w:r>
        <w:rPr>
          <w:rFonts w:hint="eastAsia" w:ascii="宋体" w:hAnsi="宋体"/>
          <w:color w:val="auto"/>
          <w:sz w:val="24"/>
        </w:rPr>
        <w:t>2.3 符合性审查</w:t>
      </w:r>
    </w:p>
    <w:p>
      <w:pPr>
        <w:spacing w:line="360" w:lineRule="auto"/>
        <w:ind w:firstLine="480" w:firstLineChars="200"/>
        <w:rPr>
          <w:rFonts w:ascii="宋体" w:hAnsi="宋体"/>
          <w:color w:val="auto"/>
          <w:sz w:val="24"/>
        </w:rPr>
      </w:pPr>
      <w:r>
        <w:rPr>
          <w:rFonts w:hint="eastAsia" w:ascii="宋体" w:hAnsi="宋体"/>
          <w:color w:val="auto"/>
          <w:sz w:val="24"/>
        </w:rPr>
        <w:t>谈判开始前，谈判小组对供应商首次提交的响应文件（包括报价）进行审查，审查内容为谈判文件不允许实质性变动的实质性要求。经符合性审查不符合不可变动的实质性要求或应当作无效响应处理的，应当作无效响应处理。</w:t>
      </w:r>
    </w:p>
    <w:p>
      <w:pPr>
        <w:spacing w:line="360" w:lineRule="auto"/>
        <w:ind w:firstLine="480" w:firstLineChars="200"/>
        <w:rPr>
          <w:rFonts w:ascii="宋体" w:hAnsi="宋体"/>
          <w:color w:val="auto"/>
          <w:sz w:val="24"/>
        </w:rPr>
      </w:pPr>
      <w:r>
        <w:rPr>
          <w:rFonts w:hint="eastAsia" w:ascii="宋体" w:hAnsi="宋体"/>
          <w:color w:val="auto"/>
          <w:sz w:val="24"/>
        </w:rPr>
        <w:t>2.4 谈判。</w:t>
      </w:r>
    </w:p>
    <w:p>
      <w:pPr>
        <w:spacing w:line="360" w:lineRule="auto"/>
        <w:ind w:firstLine="480" w:firstLineChars="200"/>
        <w:rPr>
          <w:rFonts w:ascii="宋体" w:hAnsi="宋体"/>
          <w:color w:val="auto"/>
          <w:sz w:val="24"/>
        </w:rPr>
      </w:pPr>
      <w:r>
        <w:rPr>
          <w:rFonts w:hint="eastAsia" w:ascii="宋体" w:hAnsi="宋体"/>
          <w:color w:val="auto"/>
          <w:sz w:val="24"/>
        </w:rPr>
        <w:t>2.4.1 谈判小组所有成员集中与单一供应商分别进行谈判，并给予所有参加谈判的供应商平等的谈判机会。供应商可派1-2名代表参与谈判，至少1人应为法定代表人或其授权代表。谈判顺序以现场抽签的方式确定。谈判过程中，谈判小组可以根据谈判情况调整谈判轮次。</w:t>
      </w:r>
    </w:p>
    <w:p>
      <w:pPr>
        <w:spacing w:line="360" w:lineRule="auto"/>
        <w:ind w:firstLine="480" w:firstLineChars="200"/>
        <w:rPr>
          <w:rFonts w:ascii="宋体" w:hAnsi="宋体"/>
          <w:color w:val="auto"/>
          <w:sz w:val="24"/>
        </w:rPr>
      </w:pPr>
      <w:r>
        <w:rPr>
          <w:rFonts w:hint="eastAsia" w:ascii="宋体" w:hAnsi="宋体"/>
          <w:color w:val="auto"/>
          <w:sz w:val="24"/>
        </w:rPr>
        <w:t>2.4.2 每轮谈判开始前，谈判小组应根据谈判文件的规定，并结合各供应商的响应文件拟定谈判内容。</w:t>
      </w:r>
    </w:p>
    <w:p>
      <w:pPr>
        <w:spacing w:line="360" w:lineRule="auto"/>
        <w:ind w:firstLine="480" w:firstLineChars="200"/>
        <w:rPr>
          <w:rFonts w:ascii="宋体" w:hAnsi="宋体"/>
          <w:color w:val="auto"/>
          <w:sz w:val="24"/>
        </w:rPr>
      </w:pPr>
      <w:r>
        <w:rPr>
          <w:rFonts w:hint="eastAsia" w:ascii="宋体" w:hAnsi="宋体"/>
          <w:color w:val="auto"/>
          <w:sz w:val="24"/>
        </w:rPr>
        <w:t>2.4.3 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80" w:firstLineChars="200"/>
        <w:rPr>
          <w:rFonts w:ascii="宋体" w:hAnsi="宋体"/>
          <w:color w:val="auto"/>
          <w:sz w:val="24"/>
        </w:rPr>
      </w:pPr>
      <w:r>
        <w:rPr>
          <w:rFonts w:hint="eastAsia" w:ascii="宋体" w:hAnsi="宋体"/>
          <w:color w:val="auto"/>
          <w:sz w:val="24"/>
        </w:rPr>
        <w:t>2.4.4 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color w:val="auto"/>
          <w:sz w:val="24"/>
        </w:rPr>
      </w:pPr>
      <w:r>
        <w:rPr>
          <w:rFonts w:hint="eastAsia" w:ascii="宋体" w:hAnsi="宋体"/>
          <w:color w:val="auto"/>
          <w:sz w:val="24"/>
        </w:rPr>
        <w:t>2.4.5 谈判过程中，谈判文件变动的，供应商应当按照谈判文件的变动情况和谈判小组的要求重新提交响应文件，并由其法定代表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80" w:firstLineChars="200"/>
        <w:rPr>
          <w:rFonts w:ascii="宋体" w:hAnsi="宋体"/>
          <w:color w:val="auto"/>
          <w:sz w:val="24"/>
        </w:rPr>
      </w:pPr>
      <w:r>
        <w:rPr>
          <w:rFonts w:hint="eastAsia" w:ascii="宋体" w:hAnsi="宋体"/>
          <w:color w:val="auto"/>
          <w:sz w:val="24"/>
        </w:rPr>
        <w:t>2.4.6 谈判过程中，谈判的任何一方不得透露与谈判有关的其他供应商的技术资料、价格和其他信息。</w:t>
      </w:r>
    </w:p>
    <w:p>
      <w:pPr>
        <w:spacing w:line="360" w:lineRule="auto"/>
        <w:ind w:firstLine="480" w:firstLineChars="200"/>
        <w:rPr>
          <w:rFonts w:ascii="宋体" w:hAnsi="宋体"/>
          <w:color w:val="auto"/>
          <w:sz w:val="24"/>
        </w:rPr>
      </w:pPr>
      <w:r>
        <w:rPr>
          <w:rFonts w:hint="eastAsia" w:ascii="宋体" w:hAnsi="宋体"/>
          <w:color w:val="auto"/>
          <w:sz w:val="24"/>
        </w:rPr>
        <w:t>2.4.7 谈判过程中，谈判小组发现或者知晓供应商存在违法、违纪行为的，谈判小组应当将该供应商响应文件作无效处理。</w:t>
      </w:r>
    </w:p>
    <w:p>
      <w:pPr>
        <w:spacing w:line="360" w:lineRule="auto"/>
        <w:ind w:firstLine="480" w:firstLineChars="200"/>
        <w:rPr>
          <w:rFonts w:ascii="宋体" w:hAnsi="宋体"/>
          <w:color w:val="auto"/>
          <w:sz w:val="24"/>
        </w:rPr>
      </w:pPr>
      <w:r>
        <w:rPr>
          <w:rFonts w:hint="eastAsia" w:ascii="宋体" w:hAnsi="宋体"/>
          <w:color w:val="auto"/>
          <w:sz w:val="24"/>
        </w:rPr>
        <w:t xml:space="preserve">2.4.8 谈判完成后，谈判小组应出具谈判情况记录表，谈判情况记录表需包含谈判内容、谈判意见、实质性变动内容等。   </w:t>
      </w:r>
    </w:p>
    <w:p>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olor w:val="auto"/>
          <w:sz w:val="24"/>
          <w:lang w:eastAsia="zh-CN"/>
        </w:rPr>
        <w:t>本次谈判采用一次性报价</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 xml:space="preserve"> 推荐成交候选供应商。</w:t>
      </w:r>
      <w:r>
        <w:rPr>
          <w:rFonts w:ascii="宋体" w:hAnsi="宋体"/>
          <w:color w:val="auto"/>
          <w:sz w:val="24"/>
        </w:rPr>
        <w:t>谈判小组复核后，根据价格由低到高的顺序推荐成交候选人，响应文件满足谈判文件全部实质性要求且报价最低的供应商为第一成交候选供应商，价格次之的为第二成交候选供应商，依次类推</w:t>
      </w:r>
      <w:r>
        <w:rPr>
          <w:rFonts w:hint="eastAsia" w:ascii="宋体" w:hAnsi="宋体"/>
          <w:color w:val="auto"/>
          <w:sz w:val="24"/>
          <w:lang w:eastAsia="zh-CN"/>
        </w:rPr>
        <w:t>。供应商报价相同，成交候选供应商并列，由采购人随机抽取一家中选</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 xml:space="preserve"> 谈判小组复核。谈判小组应当进行评审复核，对拟推荐为成交候选供应商的、报价最低的、供应商资格审查未通过的、供应商响应文件作无效处理的重点复核。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 xml:space="preserve"> 采购组织单位现场复核评审结果。</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 评审结果汇总完成后，谈判小组拟出具谈判评审报告前，采购机构应当组织2名以上的本单位工作人员，在采购现场监督人员的监督之下，依据有关的法律制度和谈判文件对评审结果进行复核，出具复核报告。</w:t>
      </w:r>
      <w:r>
        <w:rPr>
          <w:rFonts w:ascii="宋体" w:hAnsi="宋体"/>
          <w:color w:val="auto"/>
          <w:sz w:val="24"/>
        </w:rPr>
        <w:t>存在资格性审查认定错误或价格计算错误的，</w:t>
      </w:r>
      <w:r>
        <w:rPr>
          <w:rFonts w:hint="eastAsia" w:ascii="宋体" w:hAnsi="宋体"/>
          <w:color w:val="auto"/>
          <w:sz w:val="24"/>
          <w:lang w:eastAsia="zh-CN"/>
        </w:rPr>
        <w:t>采购</w:t>
      </w:r>
      <w:r>
        <w:rPr>
          <w:rFonts w:ascii="宋体" w:hAnsi="宋体"/>
          <w:color w:val="auto"/>
          <w:sz w:val="24"/>
        </w:rPr>
        <w:t>机构应当根据情况书面建议谈判小组现场修改评审结果。</w:t>
      </w:r>
      <w:r>
        <w:rPr>
          <w:rFonts w:hint="eastAsia" w:ascii="宋体" w:hAnsi="宋体"/>
          <w:color w:val="auto"/>
          <w:sz w:val="24"/>
        </w:rPr>
        <w:t>存在本条上述情形的，由谈判小组自主决定是否采纳采购机构的书面建议，并承担独立评审责任。谈判小组采纳采购机构书面建议的，应当按照规定现场修改评审结果或者重新评审，并在谈判报告中详细记载有关事宜；不采纳采购机构书面建议的，应当书面说明理由。采购机构书面建议未被谈判小组采纳的，应当按照规定程序要求继续组织实施采购活动，不得擅自中止采购活动。采购机构</w:t>
      </w:r>
      <w:r>
        <w:rPr>
          <w:rFonts w:hint="eastAsia" w:asciiTheme="minorEastAsia" w:hAnsiTheme="minorEastAsia" w:eastAsiaTheme="minorEastAsia"/>
          <w:color w:val="auto"/>
          <w:sz w:val="24"/>
        </w:rPr>
        <w:t>认为谈判小组评审结果不合法的，应当书面报告采购项目</w:t>
      </w:r>
      <w:r>
        <w:rPr>
          <w:rFonts w:hint="eastAsia" w:asciiTheme="minorEastAsia" w:hAnsiTheme="minorEastAsia" w:eastAsiaTheme="minorEastAsia"/>
          <w:color w:val="auto"/>
          <w:sz w:val="24"/>
          <w:lang w:eastAsia="zh-CN"/>
        </w:rPr>
        <w:t>有关</w:t>
      </w:r>
      <w:r>
        <w:rPr>
          <w:rFonts w:hint="eastAsia" w:asciiTheme="minorEastAsia" w:hAnsiTheme="minorEastAsia" w:eastAsiaTheme="minorEastAsia"/>
          <w:color w:val="auto"/>
          <w:sz w:val="24"/>
        </w:rPr>
        <w:t>部门。</w:t>
      </w:r>
    </w:p>
    <w:p>
      <w:pPr>
        <w:spacing w:line="360" w:lineRule="auto"/>
        <w:ind w:firstLine="480" w:firstLineChars="200"/>
        <w:rPr>
          <w:rFonts w:ascii="宋体" w:hAnsi="宋体"/>
          <w:color w:val="auto"/>
          <w:sz w:val="24"/>
        </w:rPr>
      </w:pPr>
      <w:r>
        <w:rPr>
          <w:rFonts w:hint="eastAsia" w:ascii="宋体" w:hAnsi="宋体"/>
          <w:color w:val="auto"/>
          <w:sz w:val="24"/>
        </w:rPr>
        <w:t>采购机构复核过程中，谈判小组成员不得离开评审现场。</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 有下列情形之一的，不得现场修改评审结果：</w:t>
      </w:r>
    </w:p>
    <w:p>
      <w:pPr>
        <w:spacing w:line="360" w:lineRule="auto"/>
        <w:ind w:firstLine="480" w:firstLineChars="200"/>
        <w:rPr>
          <w:rFonts w:ascii="宋体" w:hAnsi="宋体"/>
          <w:color w:val="auto"/>
          <w:sz w:val="24"/>
        </w:rPr>
      </w:pPr>
      <w:r>
        <w:rPr>
          <w:rFonts w:hint="eastAsia" w:ascii="宋体" w:hAnsi="宋体"/>
          <w:color w:val="auto"/>
          <w:sz w:val="24"/>
        </w:rPr>
        <w:t>（1）谈判小组已经出具谈判报告并且离开评审现场的；</w:t>
      </w:r>
    </w:p>
    <w:p>
      <w:pPr>
        <w:spacing w:line="360" w:lineRule="auto"/>
        <w:ind w:firstLine="480" w:firstLineChars="200"/>
        <w:rPr>
          <w:rFonts w:ascii="宋体" w:hAnsi="宋体"/>
          <w:color w:val="auto"/>
          <w:sz w:val="24"/>
        </w:rPr>
      </w:pPr>
      <w:r>
        <w:rPr>
          <w:rFonts w:hint="eastAsia" w:ascii="宋体" w:hAnsi="宋体"/>
          <w:color w:val="auto"/>
          <w:sz w:val="24"/>
        </w:rPr>
        <w:t>（2）采购机构现场复核时，复核工作人员数量不足的；</w:t>
      </w:r>
    </w:p>
    <w:p>
      <w:pPr>
        <w:spacing w:line="360" w:lineRule="auto"/>
        <w:ind w:firstLine="480" w:firstLineChars="200"/>
        <w:rPr>
          <w:rFonts w:ascii="宋体" w:hAnsi="宋体"/>
          <w:color w:val="auto"/>
          <w:sz w:val="24"/>
        </w:rPr>
      </w:pPr>
      <w:r>
        <w:rPr>
          <w:rFonts w:hint="eastAsia" w:ascii="宋体" w:hAnsi="宋体"/>
          <w:color w:val="auto"/>
          <w:sz w:val="24"/>
        </w:rPr>
        <w:t>（3）采购机构现场复核时，没有采购监督人员现场监督的；</w:t>
      </w:r>
    </w:p>
    <w:p>
      <w:pPr>
        <w:spacing w:line="360" w:lineRule="auto"/>
        <w:ind w:firstLine="480" w:firstLineChars="200"/>
        <w:rPr>
          <w:rFonts w:ascii="宋体" w:hAnsi="宋体"/>
          <w:color w:val="auto"/>
          <w:sz w:val="24"/>
        </w:rPr>
      </w:pPr>
      <w:r>
        <w:rPr>
          <w:rFonts w:hint="eastAsia" w:ascii="宋体" w:hAnsi="宋体"/>
          <w:color w:val="auto"/>
          <w:sz w:val="24"/>
        </w:rPr>
        <w:t>（4）采购机构现场复核内容超出规定范围的；</w:t>
      </w:r>
    </w:p>
    <w:p>
      <w:pPr>
        <w:spacing w:line="360" w:lineRule="auto"/>
        <w:ind w:firstLine="480" w:firstLineChars="200"/>
        <w:rPr>
          <w:rFonts w:ascii="宋体" w:hAnsi="宋体"/>
          <w:color w:val="auto"/>
          <w:sz w:val="24"/>
        </w:rPr>
      </w:pPr>
      <w:r>
        <w:rPr>
          <w:rFonts w:hint="eastAsia" w:ascii="宋体" w:hAnsi="宋体"/>
          <w:color w:val="auto"/>
          <w:sz w:val="24"/>
        </w:rPr>
        <w:t>（5）采购机构未提供书面建议的。</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9</w:t>
      </w:r>
      <w:r>
        <w:rPr>
          <w:rFonts w:hint="eastAsia" w:ascii="宋体" w:hAnsi="宋体"/>
          <w:color w:val="auto"/>
          <w:sz w:val="24"/>
        </w:rPr>
        <w:t xml:space="preserve"> 编写谈判报告。谈判小组推荐成交候选供应商后，应向采购机构出具谈判报告。谈判报告应当包括以下主要内容：</w:t>
      </w:r>
    </w:p>
    <w:p>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（1）邀请供应商参加采购活动的具体方式和相关情况</w:t>
      </w:r>
      <w:r>
        <w:rPr>
          <w:rFonts w:hint="eastAsia" w:asciiTheme="minorEastAsia" w:hAnsiTheme="minorEastAsia" w:eastAsiaTheme="minorEastAsia"/>
          <w:color w:val="auto"/>
          <w:sz w:val="24"/>
        </w:rPr>
        <w:t>，以及参加采购活动的供应商名单；</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Theme="minorEastAsia" w:hAnsiTheme="minorEastAsia" w:eastAsiaTheme="minorEastAsia"/>
          <w:color w:val="auto"/>
          <w:sz w:val="24"/>
        </w:rPr>
        <w:t>谈判日期和地点，谈判小组成员名单</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（3）谈判情况记录和说明，包括对供应商的资格审查情况、供应商响应文件审查情况、谈判情况、报价情况等；</w:t>
      </w:r>
    </w:p>
    <w:p>
      <w:pPr>
        <w:spacing w:line="360" w:lineRule="auto"/>
        <w:ind w:firstLine="480" w:firstLineChars="200"/>
        <w:rPr>
          <w:rFonts w:ascii="宋体" w:hAnsi="宋体"/>
          <w:color w:val="auto"/>
          <w:sz w:val="24"/>
        </w:rPr>
      </w:pPr>
      <w:r>
        <w:rPr>
          <w:rFonts w:hint="eastAsia" w:ascii="宋体" w:hAnsi="宋体"/>
          <w:color w:val="auto"/>
          <w:sz w:val="24"/>
        </w:rPr>
        <w:t>（4）提出的成交候选供应商的排序名单及理由</w:t>
      </w:r>
      <w:r>
        <w:rPr>
          <w:rFonts w:hint="eastAsia" w:asciiTheme="minorEastAsia" w:hAnsiTheme="minorEastAsia" w:eastAsiaTheme="minorEastAsia"/>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0</w:t>
      </w:r>
      <w:r>
        <w:rPr>
          <w:rFonts w:hint="eastAsia" w:ascii="宋体" w:hAnsi="宋体"/>
          <w:color w:val="auto"/>
          <w:sz w:val="24"/>
        </w:rPr>
        <w:t xml:space="preserve"> 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 xml:space="preserve"> 供应商澄清、说明</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.2 谈判小组要求供应商澄清、说明或者更正响应文件应当以书面形式作出。供应商的澄清、说明或者更正应当由法定代表人或其授权代表签字或者加盖公章。</w:t>
      </w:r>
    </w:p>
    <w:p>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2</w:t>
      </w:r>
      <w:r>
        <w:rPr>
          <w:rFonts w:hint="eastAsia" w:ascii="宋体" w:hAnsi="宋体"/>
          <w:color w:val="auto"/>
          <w:sz w:val="24"/>
        </w:rPr>
        <w:t xml:space="preserve"> 终止谈判采购活动。</w:t>
      </w:r>
    </w:p>
    <w:p>
      <w:pPr>
        <w:spacing w:line="360" w:lineRule="auto"/>
        <w:ind w:firstLine="480" w:firstLineChars="200"/>
        <w:rPr>
          <w:rFonts w:ascii="宋体" w:hAnsi="宋体"/>
          <w:color w:val="auto"/>
          <w:sz w:val="24"/>
        </w:rPr>
      </w:pPr>
      <w:r>
        <w:rPr>
          <w:rFonts w:hint="eastAsia" w:ascii="宋体" w:hAnsi="宋体"/>
          <w:color w:val="auto"/>
          <w:sz w:val="24"/>
        </w:rPr>
        <w:t>出现下列情形之一的，采购人或者采购代理机构应当终止竞争性谈判采购活动，发布项目终止公告并说明原因，重新开展采购活动：</w:t>
      </w:r>
    </w:p>
    <w:p>
      <w:pPr>
        <w:spacing w:line="360" w:lineRule="auto"/>
        <w:ind w:firstLine="480" w:firstLineChars="200"/>
        <w:rPr>
          <w:rFonts w:ascii="宋体" w:hAnsi="宋体"/>
          <w:color w:val="auto"/>
          <w:sz w:val="24"/>
        </w:rPr>
      </w:pPr>
      <w:r>
        <w:rPr>
          <w:rFonts w:hint="eastAsia" w:ascii="宋体" w:hAnsi="宋体"/>
          <w:color w:val="auto"/>
          <w:sz w:val="24"/>
        </w:rPr>
        <w:t>（1）因情况变化，不再符合规定的竞争性谈判采购方式适用情形的；</w:t>
      </w:r>
    </w:p>
    <w:p>
      <w:pPr>
        <w:spacing w:line="360" w:lineRule="auto"/>
        <w:ind w:firstLine="480" w:firstLineChars="200"/>
        <w:rPr>
          <w:rFonts w:ascii="宋体" w:hAnsi="宋体"/>
          <w:color w:val="auto"/>
          <w:sz w:val="24"/>
        </w:rPr>
      </w:pPr>
      <w:r>
        <w:rPr>
          <w:rFonts w:hint="eastAsia" w:ascii="宋体" w:hAnsi="宋体"/>
          <w:color w:val="auto"/>
          <w:sz w:val="24"/>
        </w:rPr>
        <w:t>（2）出现影响采购公正的违法、违规行为的；</w:t>
      </w:r>
    </w:p>
    <w:bookmarkEnd w:id="167"/>
    <w:bookmarkEnd w:id="168"/>
    <w:bookmarkEnd w:id="169"/>
    <w:bookmarkEnd w:id="170"/>
    <w:p>
      <w:pPr>
        <w:pStyle w:val="4"/>
        <w:keepNext w:val="0"/>
        <w:keepLines w:val="0"/>
        <w:spacing w:beforeLines="100" w:afterLines="100" w:line="360" w:lineRule="auto"/>
        <w:ind w:firstLine="642" w:firstLineChars="200"/>
        <w:rPr>
          <w:rFonts w:ascii="宋体" w:hAnsi="宋体" w:eastAsia="宋体"/>
          <w:color w:val="auto"/>
        </w:rPr>
      </w:pPr>
      <w:bookmarkStart w:id="184" w:name="_Toc536633444"/>
      <w:bookmarkStart w:id="185" w:name="_Toc534620570"/>
      <w:bookmarkStart w:id="186" w:name="_Toc534620660"/>
      <w:bookmarkStart w:id="187" w:name="_Toc534623376"/>
      <w:bookmarkStart w:id="188" w:name="_Toc670602037"/>
      <w:bookmarkStart w:id="189" w:name="_Toc534622152"/>
      <w:r>
        <w:rPr>
          <w:rFonts w:hint="eastAsia" w:ascii="宋体" w:hAnsi="宋体" w:eastAsia="宋体"/>
          <w:color w:val="auto"/>
          <w:lang w:val="en-US" w:eastAsia="zh-CN"/>
        </w:rPr>
        <w:t>3</w:t>
      </w:r>
      <w:r>
        <w:rPr>
          <w:rFonts w:hint="eastAsia" w:ascii="宋体" w:hAnsi="宋体" w:eastAsia="宋体"/>
          <w:color w:val="auto"/>
        </w:rPr>
        <w:t>. 谈判纪律及注意事项</w:t>
      </w:r>
      <w:bookmarkEnd w:id="184"/>
      <w:bookmarkEnd w:id="185"/>
      <w:bookmarkEnd w:id="186"/>
      <w:bookmarkEnd w:id="187"/>
      <w:bookmarkEnd w:id="188"/>
      <w:bookmarkEnd w:id="189"/>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.1 谈判小组内部讨论的情况和意见必须保密，任何人不得以任何形式透露给供应商或与供应商有关的单位或个人。</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.2 在谈判过程中，供应商不得以任何形式对谈判小组成员进行旨在影响谈判结果的私下接触，否则将取消其参与谈判的资格。</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.3 对各供应商的商业秘密，谈判小组成员应予以保密，不得泄露给其他供应商。</w:t>
      </w:r>
    </w:p>
    <w:p>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.4 谈判小组独立评判，推荐成交候选人，并写出书面报告。</w:t>
      </w:r>
    </w:p>
    <w:p>
      <w:pPr>
        <w:pStyle w:val="4"/>
        <w:keepNext w:val="0"/>
        <w:keepLines w:val="0"/>
        <w:spacing w:beforeLines="100" w:afterLines="100" w:line="360" w:lineRule="auto"/>
        <w:ind w:firstLine="642" w:firstLineChars="200"/>
        <w:rPr>
          <w:rFonts w:ascii="宋体" w:hAnsi="宋体" w:eastAsia="宋体"/>
          <w:color w:val="auto"/>
        </w:rPr>
      </w:pPr>
      <w:bookmarkStart w:id="190" w:name="_Toc16612948"/>
      <w:bookmarkStart w:id="191" w:name="_Toc534906125"/>
      <w:r>
        <w:rPr>
          <w:rFonts w:hint="eastAsia" w:ascii="宋体" w:hAnsi="宋体" w:eastAsia="宋体"/>
          <w:color w:val="auto"/>
          <w:lang w:val="en-US" w:eastAsia="zh-CN"/>
        </w:rPr>
        <w:t>4</w:t>
      </w:r>
      <w:r>
        <w:rPr>
          <w:rFonts w:hint="eastAsia" w:ascii="宋体" w:hAnsi="宋体" w:eastAsia="宋体"/>
          <w:color w:val="auto"/>
        </w:rPr>
        <w:t>. 确定成交供应商</w:t>
      </w:r>
      <w:bookmarkEnd w:id="190"/>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.1 采购机构</w:t>
      </w:r>
      <w:r>
        <w:rPr>
          <w:rFonts w:hint="eastAsia" w:ascii="宋体" w:hAnsi="宋体"/>
          <w:color w:val="auto"/>
          <w:sz w:val="24"/>
          <w:lang w:eastAsia="zh-CN"/>
        </w:rPr>
        <w:t>采购人</w:t>
      </w:r>
      <w:r>
        <w:rPr>
          <w:rFonts w:hint="eastAsia" w:ascii="宋体" w:hAnsi="宋体"/>
          <w:color w:val="auto"/>
          <w:sz w:val="24"/>
        </w:rPr>
        <w:t>应当在评审结束后2个工作日内</w:t>
      </w:r>
      <w:r>
        <w:rPr>
          <w:rFonts w:hint="eastAsia" w:ascii="宋体" w:hAnsi="宋体"/>
          <w:color w:val="auto"/>
          <w:sz w:val="24"/>
          <w:lang w:eastAsia="zh-CN"/>
        </w:rPr>
        <w:t>对</w:t>
      </w:r>
      <w:r>
        <w:rPr>
          <w:rFonts w:hint="eastAsia" w:ascii="宋体" w:hAnsi="宋体"/>
          <w:color w:val="auto"/>
          <w:sz w:val="24"/>
        </w:rPr>
        <w:t>谈判</w:t>
      </w:r>
      <w:bookmarkStart w:id="192" w:name="_Toc430773925"/>
      <w:bookmarkStart w:id="193" w:name="_Toc101174147"/>
      <w:bookmarkStart w:id="194" w:name="_Toc209847066"/>
      <w:bookmarkStart w:id="195" w:name="_Toc101250642"/>
      <w:bookmarkStart w:id="196" w:name="_Toc101338360"/>
      <w:r>
        <w:rPr>
          <w:rFonts w:hint="eastAsia" w:ascii="宋体" w:hAnsi="宋体"/>
          <w:color w:val="auto"/>
          <w:sz w:val="24"/>
        </w:rPr>
        <w:t>报告</w:t>
      </w:r>
      <w:r>
        <w:rPr>
          <w:rFonts w:hint="eastAsia" w:ascii="宋体" w:hAnsi="宋体"/>
          <w:color w:val="auto"/>
          <w:sz w:val="24"/>
          <w:lang w:eastAsia="zh-CN"/>
        </w:rPr>
        <w:t>进行</w:t>
      </w:r>
      <w:r>
        <w:rPr>
          <w:rFonts w:hint="eastAsia" w:ascii="宋体" w:hAnsi="宋体"/>
          <w:color w:val="auto"/>
          <w:sz w:val="24"/>
        </w:rPr>
        <w:t>确认。</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.2 采购人应当在收到评审报告后5个工作日内,按谈判小组推荐的成交候选供应商按顺序确定成交供应商。</w:t>
      </w:r>
    </w:p>
    <w:bookmarkEnd w:id="192"/>
    <w:bookmarkEnd w:id="193"/>
    <w:bookmarkEnd w:id="194"/>
    <w:bookmarkEnd w:id="195"/>
    <w:bookmarkEnd w:id="196"/>
    <w:p>
      <w:pPr>
        <w:pStyle w:val="4"/>
        <w:keepNext w:val="0"/>
        <w:keepLines w:val="0"/>
        <w:spacing w:beforeLines="100" w:afterLines="100" w:line="360" w:lineRule="auto"/>
        <w:ind w:firstLine="642" w:firstLineChars="200"/>
        <w:rPr>
          <w:rFonts w:ascii="宋体" w:hAnsi="宋体" w:eastAsia="宋体"/>
          <w:color w:val="auto"/>
        </w:rPr>
      </w:pPr>
      <w:bookmarkStart w:id="197" w:name="_Toc534906126"/>
      <w:bookmarkStart w:id="198" w:name="_Toc1730769502"/>
      <w:r>
        <w:rPr>
          <w:rFonts w:hint="eastAsia" w:ascii="宋体" w:hAnsi="宋体" w:eastAsia="宋体"/>
          <w:color w:val="auto"/>
          <w:lang w:val="en-US" w:eastAsia="zh-CN"/>
        </w:rPr>
        <w:t>5</w:t>
      </w:r>
      <w:r>
        <w:rPr>
          <w:rFonts w:hint="eastAsia" w:ascii="宋体" w:hAnsi="宋体" w:eastAsia="宋体"/>
          <w:color w:val="auto"/>
        </w:rPr>
        <w:t>. 成交通知书</w:t>
      </w:r>
      <w:bookmarkEnd w:id="197"/>
      <w:bookmarkEnd w:id="198"/>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成交通知书为签订政府采购合同的依据之一，是合同的有效组成部分。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采购人按符合采购需求的合格供应商确定成交供应商，采购机构按照相关法律法规向成交供应商发出成交通知书。</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4 采购人和采购机构不对成交或未成交原因作出解释，也不退还响应文件。</w:t>
      </w:r>
    </w:p>
    <w:bookmarkEnd w:id="191"/>
    <w:p>
      <w:pPr>
        <w:pStyle w:val="4"/>
        <w:keepNext w:val="0"/>
        <w:keepLines w:val="0"/>
        <w:spacing w:beforeLines="200" w:afterLines="100" w:line="360" w:lineRule="auto"/>
        <w:ind w:firstLine="642" w:firstLineChars="200"/>
        <w:rPr>
          <w:rFonts w:ascii="宋体" w:hAnsi="宋体" w:eastAsia="宋体"/>
          <w:color w:val="auto"/>
        </w:rPr>
      </w:pPr>
      <w:bookmarkStart w:id="199" w:name="_Toc536633447"/>
      <w:bookmarkStart w:id="200" w:name="_Toc534623377"/>
      <w:bookmarkStart w:id="201" w:name="_Toc534620571"/>
      <w:bookmarkStart w:id="202" w:name="_Toc534622153"/>
      <w:bookmarkStart w:id="203" w:name="_Toc534620661"/>
      <w:bookmarkStart w:id="204" w:name="_Toc135258448"/>
      <w:r>
        <w:rPr>
          <w:rFonts w:hint="eastAsia" w:ascii="宋体" w:hAnsi="宋体" w:eastAsia="宋体"/>
          <w:color w:val="auto"/>
          <w:lang w:val="en-US" w:eastAsia="zh-CN"/>
        </w:rPr>
        <w:t>6</w:t>
      </w:r>
      <w:r>
        <w:rPr>
          <w:rFonts w:hint="eastAsia" w:ascii="宋体" w:hAnsi="宋体" w:eastAsia="宋体"/>
          <w:color w:val="auto"/>
        </w:rPr>
        <w:t>.</w:t>
      </w:r>
      <w:bookmarkEnd w:id="171"/>
      <w:r>
        <w:rPr>
          <w:rFonts w:hint="eastAsia" w:ascii="宋体" w:hAnsi="宋体" w:eastAsia="宋体"/>
          <w:color w:val="auto"/>
        </w:rPr>
        <w:t xml:space="preserve"> 谈判小组在政府采购活动中承担以下义务：</w:t>
      </w:r>
      <w:bookmarkEnd w:id="199"/>
      <w:bookmarkEnd w:id="200"/>
      <w:bookmarkEnd w:id="201"/>
      <w:bookmarkEnd w:id="202"/>
      <w:bookmarkEnd w:id="203"/>
      <w:bookmarkEnd w:id="204"/>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（一）遵守评审工作纪律；</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（二）按照客观、公正、审慎的原则，根据谈判文件规定的评审程序、评审方法和评审标准进行独立评审；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（三）不得泄露评审文件、评审情况和在评审过程中获悉的商业秘密；</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（四）及时报告评审过程中发现的采购人向评审专家做倾向性、误导性的解释或者说明，以及供应商行贿、提供虚假材料或者串通等违法行为；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（五）发现谈判文件内容违反国家有关强制性规定或者谈判文件存在歧义、重大缺陷导致评审工作无法进行时，停止评审并向采购人或者采购代理机构书面说明情况；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（六）及时向财政、监察等部门举报在评审过程中受到非法干预的情况；</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（七）配合答复处理供应商的询问、质疑和投诉等事项；</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（八）法律、法规和规章规定的其他义务。</w:t>
      </w:r>
    </w:p>
    <w:p>
      <w:pPr>
        <w:pStyle w:val="4"/>
        <w:keepNext w:val="0"/>
        <w:keepLines w:val="0"/>
        <w:spacing w:beforeLines="100" w:afterLines="100" w:line="360" w:lineRule="auto"/>
        <w:ind w:firstLine="642" w:firstLineChars="200"/>
        <w:rPr>
          <w:rFonts w:ascii="宋体" w:hAnsi="宋体" w:eastAsia="宋体"/>
          <w:color w:val="auto"/>
        </w:rPr>
      </w:pPr>
      <w:bookmarkStart w:id="205" w:name="_Toc256848704"/>
      <w:bookmarkStart w:id="206" w:name="_Toc534622154"/>
      <w:bookmarkStart w:id="207" w:name="_Toc536633448"/>
      <w:bookmarkStart w:id="208" w:name="_Toc534623378"/>
      <w:bookmarkStart w:id="209" w:name="_Toc534620662"/>
      <w:bookmarkStart w:id="210" w:name="_Toc534620572"/>
      <w:r>
        <w:rPr>
          <w:rFonts w:hint="eastAsia" w:ascii="宋体" w:hAnsi="宋体" w:eastAsia="宋体"/>
          <w:color w:val="auto"/>
          <w:lang w:val="en-US" w:eastAsia="zh-CN"/>
        </w:rPr>
        <w:t>7</w:t>
      </w:r>
      <w:r>
        <w:rPr>
          <w:rFonts w:hint="eastAsia" w:ascii="宋体" w:hAnsi="宋体" w:eastAsia="宋体"/>
          <w:color w:val="auto"/>
        </w:rPr>
        <w:t>. 评审专家在政府采购活动中应当遵守以下工作纪律：</w:t>
      </w:r>
      <w:bookmarkEnd w:id="205"/>
      <w:bookmarkEnd w:id="206"/>
      <w:bookmarkEnd w:id="207"/>
      <w:bookmarkEnd w:id="208"/>
      <w:bookmarkEnd w:id="209"/>
      <w:bookmarkEnd w:id="210"/>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（一）不得参加与自己有《中华人民共和国政府采购法实施条例》第九条规定的利害关系的政府采购项目的评审活动。发现参加了与自己有利害关系的评审活动，须主动提出回避，退出评审；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（二）评审前，应当将通讯工具或者相关电子设备交由采购代理机构统一保管；</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（六）评审现场服从采购代理机构工作人员的管理，接受现场监督人员的合法监督；</w:t>
      </w:r>
    </w:p>
    <w:p>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（七）遵守有关廉洁自律规定，不得私下接触供应商，不得收受供应商及有关业务单位和个人的财物或好处，不得接受采购代理机构的请托。</w:t>
      </w:r>
    </w:p>
    <w:p>
      <w:pPr>
        <w:pStyle w:val="4"/>
        <w:keepNext w:val="0"/>
        <w:keepLines w:val="0"/>
        <w:spacing w:beforeLines="100" w:afterLines="100" w:line="360" w:lineRule="auto"/>
        <w:jc w:val="center"/>
        <w:rPr>
          <w:rFonts w:ascii="宋体" w:hAnsi="宋体"/>
          <w:color w:val="auto"/>
          <w:sz w:val="36"/>
          <w:szCs w:val="36"/>
        </w:rPr>
      </w:pPr>
      <w:r>
        <w:rPr>
          <w:rFonts w:ascii="宋体" w:hAnsi="宋体"/>
          <w:color w:val="auto"/>
        </w:rPr>
        <w:br w:type="page"/>
      </w:r>
      <w:bookmarkStart w:id="211" w:name="_Toc534620663"/>
      <w:bookmarkStart w:id="212" w:name="_Toc534623379"/>
      <w:bookmarkStart w:id="213" w:name="_Toc534622155"/>
      <w:bookmarkStart w:id="214" w:name="_Toc534620573"/>
      <w:bookmarkStart w:id="215" w:name="_Toc1686831472"/>
      <w:r>
        <w:rPr>
          <w:rFonts w:hint="eastAsia" w:ascii="宋体" w:hAnsi="宋体" w:eastAsia="宋体"/>
          <w:color w:val="auto"/>
          <w:sz w:val="36"/>
          <w:szCs w:val="36"/>
        </w:rPr>
        <w:t>第</w:t>
      </w:r>
      <w:r>
        <w:rPr>
          <w:rFonts w:hint="eastAsia" w:ascii="宋体" w:hAnsi="宋体" w:eastAsia="宋体"/>
          <w:color w:val="auto"/>
          <w:sz w:val="36"/>
          <w:szCs w:val="36"/>
          <w:lang w:eastAsia="zh-CN"/>
        </w:rPr>
        <w:t>八</w:t>
      </w:r>
      <w:r>
        <w:rPr>
          <w:rFonts w:hint="eastAsia" w:ascii="宋体" w:hAnsi="宋体" w:eastAsia="宋体"/>
          <w:color w:val="auto"/>
          <w:sz w:val="36"/>
          <w:szCs w:val="36"/>
        </w:rPr>
        <w:t>章  政府采购合同</w:t>
      </w:r>
      <w:bookmarkEnd w:id="211"/>
      <w:bookmarkEnd w:id="212"/>
      <w:bookmarkEnd w:id="213"/>
      <w:bookmarkEnd w:id="214"/>
      <w:r>
        <w:rPr>
          <w:rFonts w:hint="eastAsia" w:ascii="宋体" w:hAnsi="宋体" w:eastAsia="宋体"/>
          <w:color w:val="auto"/>
          <w:sz w:val="36"/>
          <w:szCs w:val="36"/>
        </w:rPr>
        <w:t>主要条款（草案）</w:t>
      </w:r>
      <w:bookmarkEnd w:id="215"/>
    </w:p>
    <w:bookmarkEnd w:id="154"/>
    <w:bookmarkEnd w:id="155"/>
    <w:bookmarkEnd w:id="156"/>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合同编号：</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签订地点：</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签订时间：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月</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日。</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采购人（甲方）：</w:t>
      </w:r>
      <w:r>
        <w:rPr>
          <w:rFonts w:hint="eastAsia" w:ascii="宋体" w:hAnsi="宋体" w:cs="宋体"/>
          <w:color w:val="auto"/>
          <w:kern w:val="0"/>
          <w:sz w:val="24"/>
          <w:szCs w:val="22"/>
          <w:u w:val="single"/>
        </w:rPr>
        <w:t xml:space="preserve">                              </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供应商（乙方）：</w:t>
      </w:r>
      <w:r>
        <w:rPr>
          <w:rFonts w:hint="eastAsia" w:ascii="宋体" w:hAnsi="宋体" w:cs="宋体"/>
          <w:color w:val="auto"/>
          <w:kern w:val="0"/>
          <w:sz w:val="24"/>
          <w:szCs w:val="22"/>
          <w:u w:val="single"/>
        </w:rPr>
        <w:t xml:space="preserve">                              </w:t>
      </w:r>
      <w:r>
        <w:rPr>
          <w:rFonts w:hint="eastAsia" w:ascii="宋体" w:hAnsi="宋体" w:cs="宋体"/>
          <w:color w:val="auto"/>
          <w:kern w:val="0"/>
          <w:sz w:val="34"/>
          <w:szCs w:val="22"/>
        </w:rPr>
        <w:t xml:space="preserve">                                       </w:t>
      </w:r>
    </w:p>
    <w:p>
      <w:pPr>
        <w:adjustRightInd w:val="0"/>
        <w:snapToGrid w:val="0"/>
        <w:spacing w:line="360" w:lineRule="auto"/>
        <w:ind w:right="480" w:firstLine="480" w:firstLineChars="200"/>
        <w:rPr>
          <w:rFonts w:ascii="宋体" w:hAnsi="宋体" w:cs="宋体"/>
          <w:color w:val="auto"/>
          <w:kern w:val="0"/>
          <w:sz w:val="24"/>
          <w:szCs w:val="22"/>
        </w:rPr>
      </w:pPr>
      <w:bookmarkStart w:id="216" w:name="_Toc307823123"/>
      <w:bookmarkStart w:id="217" w:name="_Toc309113425"/>
      <w:bookmarkStart w:id="218" w:name="_Toc309113764"/>
      <w:bookmarkStart w:id="219" w:name="_Toc307501162"/>
      <w:bookmarkStart w:id="220" w:name="_Toc307565067"/>
    </w:p>
    <w:p>
      <w:pPr>
        <w:adjustRightInd w:val="0"/>
        <w:snapToGrid w:val="0"/>
        <w:spacing w:line="360" w:lineRule="auto"/>
        <w:ind w:right="480" w:firstLine="480" w:firstLineChars="200"/>
        <w:rPr>
          <w:rFonts w:ascii="宋体" w:hAnsi="宋体" w:cs="宋体"/>
          <w:color w:val="auto"/>
          <w:kern w:val="0"/>
          <w:sz w:val="24"/>
          <w:szCs w:val="22"/>
        </w:rPr>
      </w:pPr>
      <w:r>
        <w:rPr>
          <w:rFonts w:hint="eastAsia" w:ascii="宋体" w:hAnsi="宋体" w:cs="宋体"/>
          <w:color w:val="auto"/>
          <w:kern w:val="0"/>
          <w:sz w:val="24"/>
          <w:szCs w:val="22"/>
        </w:rPr>
        <w:t>根据《中华人民共和国政府采购法》、《中华人民共和国合同法》及“XXXX”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bookmarkEnd w:id="216"/>
    <w:bookmarkEnd w:id="217"/>
    <w:bookmarkEnd w:id="218"/>
    <w:bookmarkEnd w:id="219"/>
    <w:bookmarkEnd w:id="220"/>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第一条 项目基本情况</w:t>
      </w:r>
    </w:p>
    <w:p>
      <w:pPr>
        <w:spacing w:line="360" w:lineRule="auto"/>
        <w:ind w:firstLine="630"/>
        <w:rPr>
          <w:rFonts w:ascii="宋体" w:hAnsi="宋体" w:cs="宋体"/>
          <w:b/>
          <w:color w:val="auto"/>
          <w:kern w:val="0"/>
          <w:sz w:val="24"/>
          <w:szCs w:val="22"/>
        </w:rPr>
      </w:pP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第二条 合同期限</w:t>
      </w:r>
    </w:p>
    <w:p>
      <w:pPr>
        <w:spacing w:line="360" w:lineRule="auto"/>
        <w:ind w:firstLine="480" w:firstLineChars="200"/>
        <w:rPr>
          <w:rFonts w:ascii="宋体" w:hAnsi="宋体" w:cs="宋体"/>
          <w:color w:val="auto"/>
          <w:kern w:val="0"/>
          <w:sz w:val="24"/>
          <w:szCs w:val="22"/>
        </w:rPr>
      </w:pPr>
    </w:p>
    <w:p>
      <w:pPr>
        <w:tabs>
          <w:tab w:val="left" w:pos="360"/>
        </w:tabs>
        <w:spacing w:line="360" w:lineRule="auto"/>
        <w:ind w:left="360"/>
        <w:rPr>
          <w:rFonts w:ascii="宋体" w:hAnsi="宋体" w:cs="宋体"/>
          <w:b/>
          <w:color w:val="auto"/>
          <w:kern w:val="0"/>
          <w:sz w:val="24"/>
          <w:szCs w:val="22"/>
        </w:rPr>
      </w:pPr>
      <w:bookmarkStart w:id="221" w:name="_Toc239233914"/>
      <w:bookmarkStart w:id="222" w:name="_Toc211911348"/>
      <w:bookmarkStart w:id="223" w:name="_Toc212019594"/>
      <w:bookmarkStart w:id="224" w:name="_Toc282696226"/>
      <w:bookmarkStart w:id="225" w:name="_Toc211854449"/>
      <w:bookmarkStart w:id="226" w:name="_Toc232492928"/>
      <w:bookmarkStart w:id="227" w:name="_Toc239568418"/>
      <w:bookmarkStart w:id="228" w:name="_Toc283019214"/>
      <w:bookmarkStart w:id="229" w:name="_Toc238984975"/>
      <w:bookmarkStart w:id="230" w:name="_Toc247334841"/>
      <w:bookmarkStart w:id="231" w:name="_Toc237145406"/>
      <w:bookmarkStart w:id="232" w:name="_Toc225654644"/>
      <w:bookmarkStart w:id="233" w:name="_Toc225670751"/>
      <w:bookmarkStart w:id="234" w:name="_Toc225244852"/>
      <w:bookmarkStart w:id="235" w:name="_Toc251768862"/>
      <w:bookmarkStart w:id="236" w:name="_Toc185395249"/>
      <w:bookmarkStart w:id="237" w:name="_Toc241833903"/>
      <w:bookmarkStart w:id="238" w:name="_Toc286993786"/>
      <w:r>
        <w:rPr>
          <w:rFonts w:hint="eastAsia" w:ascii="宋体" w:hAnsi="宋体" w:cs="宋体"/>
          <w:b/>
          <w:color w:val="auto"/>
          <w:kern w:val="0"/>
          <w:sz w:val="24"/>
          <w:szCs w:val="22"/>
        </w:rPr>
        <w:t>第三条服务内容与质量标准</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1、XXXX；</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2、XXXX；</w:t>
      </w:r>
    </w:p>
    <w:p>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3、XXXX</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第四条 服务费用及支付方式</w:t>
      </w:r>
    </w:p>
    <w:p>
      <w:pPr>
        <w:spacing w:line="360" w:lineRule="auto"/>
        <w:ind w:left="200"/>
        <w:rPr>
          <w:rFonts w:ascii="宋体" w:hAnsi="宋体" w:cs="宋体"/>
          <w:b/>
          <w:color w:val="auto"/>
          <w:kern w:val="0"/>
          <w:sz w:val="24"/>
          <w:szCs w:val="22"/>
        </w:rPr>
      </w:pPr>
      <w:r>
        <w:rPr>
          <w:rFonts w:hint="eastAsia" w:ascii="宋体" w:hAnsi="宋体" w:cs="宋体"/>
          <w:b/>
          <w:color w:val="auto"/>
          <w:kern w:val="0"/>
          <w:sz w:val="24"/>
          <w:szCs w:val="22"/>
        </w:rPr>
        <w:t>（一）本项目服务费用由以下组成：</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3、XX万元。</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w:t>
      </w:r>
    </w:p>
    <w:p>
      <w:pPr>
        <w:tabs>
          <w:tab w:val="left" w:pos="780"/>
        </w:tabs>
        <w:spacing w:line="360" w:lineRule="auto"/>
        <w:ind w:firstLine="200"/>
        <w:rPr>
          <w:rFonts w:ascii="宋体" w:hAnsi="宋体" w:cs="宋体"/>
          <w:b/>
          <w:color w:val="auto"/>
          <w:kern w:val="0"/>
          <w:sz w:val="24"/>
          <w:szCs w:val="22"/>
        </w:rPr>
      </w:pPr>
      <w:r>
        <w:rPr>
          <w:rFonts w:hint="eastAsia" w:ascii="宋体" w:hAnsi="宋体" w:cs="宋体"/>
          <w:b/>
          <w:color w:val="auto"/>
          <w:kern w:val="0"/>
          <w:sz w:val="24"/>
          <w:szCs w:val="22"/>
        </w:rPr>
        <w:t>（二）服务费支付方式：</w:t>
      </w:r>
    </w:p>
    <w:p>
      <w:pPr>
        <w:spacing w:line="360" w:lineRule="auto"/>
        <w:ind w:left="360"/>
        <w:rPr>
          <w:rFonts w:ascii="宋体" w:cs="宋体" w:hAnsiTheme="minorHAnsi"/>
          <w:color w:val="auto"/>
          <w:kern w:val="0"/>
          <w:sz w:val="24"/>
        </w:rPr>
      </w:pPr>
      <w:r>
        <w:rPr>
          <w:rFonts w:ascii="宋体" w:cs="宋体" w:hAnsiTheme="minorHAnsi"/>
          <w:color w:val="auto"/>
          <w:kern w:val="0"/>
          <w:sz w:val="24"/>
        </w:rPr>
        <w:t>1</w:t>
      </w:r>
      <w:r>
        <w:rPr>
          <w:rFonts w:hint="eastAsia" w:ascii="宋体" w:cs="宋体" w:hAnsiTheme="minorHAnsi"/>
          <w:color w:val="auto"/>
          <w:kern w:val="0"/>
          <w:sz w:val="24"/>
        </w:rPr>
        <w:t>、</w:t>
      </w:r>
      <w:r>
        <w:rPr>
          <w:rFonts w:ascii="宋体" w:cs="宋体" w:hAnsiTheme="minorHAnsi"/>
          <w:color w:val="auto"/>
          <w:kern w:val="0"/>
          <w:sz w:val="24"/>
        </w:rPr>
        <w:t>XXXX</w:t>
      </w:r>
      <w:r>
        <w:rPr>
          <w:rFonts w:hint="eastAsia" w:ascii="宋体" w:cs="宋体" w:hAnsiTheme="minorHAnsi"/>
          <w:color w:val="auto"/>
          <w:kern w:val="0"/>
          <w:sz w:val="24"/>
        </w:rPr>
        <w:t>；</w:t>
      </w:r>
      <w:r>
        <w:rPr>
          <w:rFonts w:ascii="宋体" w:cs="宋体" w:hAnsiTheme="minorHAnsi"/>
          <w:color w:val="auto"/>
          <w:kern w:val="0"/>
          <w:sz w:val="24"/>
        </w:rPr>
        <w:t xml:space="preserve"> </w:t>
      </w:r>
    </w:p>
    <w:p>
      <w:pPr>
        <w:spacing w:line="360" w:lineRule="auto"/>
        <w:ind w:left="360"/>
        <w:rPr>
          <w:rFonts w:ascii="宋体" w:cs="宋体" w:hAnsiTheme="minorHAnsi"/>
          <w:color w:val="auto"/>
          <w:kern w:val="0"/>
          <w:sz w:val="24"/>
        </w:rPr>
      </w:pPr>
      <w:r>
        <w:rPr>
          <w:rFonts w:ascii="宋体" w:cs="宋体" w:hAnsiTheme="minorHAnsi"/>
          <w:color w:val="auto"/>
          <w:kern w:val="0"/>
          <w:sz w:val="24"/>
        </w:rPr>
        <w:t>2</w:t>
      </w:r>
      <w:r>
        <w:rPr>
          <w:rFonts w:hint="eastAsia" w:ascii="宋体" w:cs="宋体" w:hAnsiTheme="minorHAnsi"/>
          <w:color w:val="auto"/>
          <w:kern w:val="0"/>
          <w:sz w:val="24"/>
        </w:rPr>
        <w:t>、</w:t>
      </w:r>
      <w:r>
        <w:rPr>
          <w:rFonts w:ascii="宋体" w:cs="宋体" w:hAnsiTheme="minorHAnsi"/>
          <w:color w:val="auto"/>
          <w:kern w:val="0"/>
          <w:sz w:val="24"/>
        </w:rPr>
        <w:t xml:space="preserve">XXXX </w:t>
      </w:r>
      <w:r>
        <w:rPr>
          <w:rFonts w:hint="eastAsia" w:ascii="宋体" w:cs="宋体" w:hAnsiTheme="minorHAnsi"/>
          <w:color w:val="auto"/>
          <w:kern w:val="0"/>
          <w:sz w:val="24"/>
        </w:rPr>
        <w:t>。</w:t>
      </w:r>
      <w:r>
        <w:rPr>
          <w:rFonts w:ascii="宋体" w:cs="宋体" w:hAnsiTheme="minorHAnsi"/>
          <w:color w:val="auto"/>
          <w:kern w:val="0"/>
          <w:sz w:val="24"/>
        </w:rPr>
        <w:t xml:space="preserve"> </w:t>
      </w:r>
    </w:p>
    <w:p>
      <w:pPr>
        <w:spacing w:line="360" w:lineRule="auto"/>
        <w:ind w:left="360"/>
        <w:rPr>
          <w:rFonts w:ascii="宋体" w:hAnsi="宋体" w:cs="宋体"/>
          <w:b/>
          <w:color w:val="auto"/>
          <w:kern w:val="0"/>
          <w:sz w:val="24"/>
        </w:rPr>
      </w:pPr>
      <w:r>
        <w:rPr>
          <w:rFonts w:hint="eastAsia" w:ascii="宋体" w:cs="宋体" w:hAnsiTheme="minorHAnsi"/>
          <w:color w:val="auto"/>
          <w:kern w:val="0"/>
          <w:sz w:val="24"/>
        </w:rPr>
        <w:t>乙方须向甲方出具合法有效完整的完税发票及凭证资料进行支付结算。</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第五条 知识产权</w:t>
      </w:r>
    </w:p>
    <w:p>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乙方应保证所提供的服务或其任何一部分均不会侵犯任何第三方的专利权、商标权或著作权。</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第六条 无产权瑕疵条款</w:t>
      </w:r>
    </w:p>
    <w:p>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乙方保证所提供的服务的所有权完全属于乙方且无任何抵押、查封等产权瑕疵。如有产权瑕疵的，视为乙方违约。乙方应负担由此而产生的一切损失。</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第七条</w:t>
      </w:r>
      <w:r>
        <w:rPr>
          <w:rFonts w:ascii="宋体" w:hAnsi="宋体" w:cs="宋体"/>
          <w:b/>
          <w:color w:val="auto"/>
          <w:kern w:val="0"/>
          <w:sz w:val="24"/>
          <w:szCs w:val="22"/>
        </w:rPr>
        <w:t xml:space="preserve"> </w:t>
      </w:r>
      <w:r>
        <w:rPr>
          <w:rFonts w:hint="eastAsia" w:ascii="宋体" w:hAnsi="宋体" w:cs="宋体"/>
          <w:b/>
          <w:color w:val="auto"/>
          <w:kern w:val="0"/>
          <w:sz w:val="24"/>
          <w:szCs w:val="22"/>
        </w:rPr>
        <w:t>履约保证金</w:t>
      </w:r>
      <w:r>
        <w:rPr>
          <w:rFonts w:ascii="宋体" w:hAnsi="宋体" w:cs="宋体"/>
          <w:b/>
          <w:color w:val="auto"/>
          <w:kern w:val="0"/>
          <w:sz w:val="24"/>
          <w:szCs w:val="22"/>
        </w:rPr>
        <w:t xml:space="preserve"> </w:t>
      </w:r>
    </w:p>
    <w:p>
      <w:pPr>
        <w:tabs>
          <w:tab w:val="left" w:pos="360"/>
        </w:tabs>
        <w:spacing w:line="360" w:lineRule="auto"/>
        <w:ind w:left="360"/>
        <w:rPr>
          <w:rFonts w:ascii="宋体" w:hAnsi="宋体" w:cs="宋体"/>
          <w:color w:val="auto"/>
          <w:kern w:val="0"/>
          <w:sz w:val="24"/>
          <w:szCs w:val="22"/>
        </w:rPr>
      </w:pPr>
      <w:r>
        <w:rPr>
          <w:rFonts w:hint="eastAsia" w:ascii="宋体" w:hAnsi="宋体" w:cs="宋体"/>
          <w:color w:val="auto"/>
          <w:kern w:val="0"/>
          <w:sz w:val="24"/>
          <w:szCs w:val="22"/>
        </w:rPr>
        <w:t>无。</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第八条 甲方的权利和义务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2、实施过程中，因乙方不再具备相应资质等原因致使合同不再履行的，甲方有权解除合同。</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2、甲方有权依据双方签订的考评办法对乙方提供的服务进行定期考评。当考评结果未达到标准时，有权依据相关办法对乙方进行管理。</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3、负责检查监督乙方管理工作的实施及制度的执行情况。</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4、根据本合同规定，按时向乙方支付应付服务费用。</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5、国家法律、法规所规定由甲方承担的其它责任。</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第九条 乙方的权利和义务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1、对本合同规定的委托服务范围内的项目享有管理权及服务义务。</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宋体" w:hAnsi="宋体" w:cs="宋体"/>
          <w:color w:val="auto"/>
          <w:kern w:val="0"/>
          <w:sz w:val="24"/>
          <w:szCs w:val="22"/>
        </w:rPr>
      </w:pPr>
      <w:r>
        <w:rPr>
          <w:rFonts w:hint="eastAsia" w:ascii="宋体" w:hAnsi="宋体" w:cs="宋体"/>
          <w:color w:val="auto"/>
          <w:kern w:val="0"/>
          <w:sz w:val="24"/>
          <w:szCs w:val="22"/>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color w:val="auto"/>
          <w:kern w:val="0"/>
          <w:sz w:val="24"/>
          <w:szCs w:val="22"/>
        </w:rPr>
        <w:t>4、</w:t>
      </w:r>
      <w:r>
        <w:rPr>
          <w:rFonts w:hint="eastAsia" w:ascii="宋体" w:hAnsi="宋体" w:cs="宋体"/>
          <w:bCs/>
          <w:color w:val="auto"/>
          <w:kern w:val="0"/>
          <w:sz w:val="24"/>
          <w:szCs w:val="22"/>
        </w:rPr>
        <w:t>接受项目行业管理部门及政府有关部门的指导，接受甲方的监督。</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5、国家法律、法规所规定由乙方承担的其它责任。</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第十条 违约责任</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1、甲乙双方必须遵守本合同并执行合同中的各项规定，保证本合同的正常履行。</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3、如乙方违约将罚款合同金额10%，并报告</w:t>
      </w:r>
      <w:r>
        <w:rPr>
          <w:rFonts w:hint="eastAsia" w:ascii="宋体" w:hAnsi="宋体" w:cs="宋体"/>
          <w:bCs/>
          <w:color w:val="auto"/>
          <w:kern w:val="0"/>
          <w:sz w:val="24"/>
          <w:szCs w:val="22"/>
          <w:lang w:eastAsia="zh-CN"/>
        </w:rPr>
        <w:t>广元市水利局</w:t>
      </w:r>
      <w:r>
        <w:rPr>
          <w:rFonts w:hint="eastAsia" w:ascii="宋体" w:hAnsi="宋体" w:cs="宋体"/>
          <w:bCs/>
          <w:color w:val="auto"/>
          <w:kern w:val="0"/>
          <w:sz w:val="24"/>
          <w:szCs w:val="22"/>
        </w:rPr>
        <w:t>依法进行责任追究。</w:t>
      </w:r>
    </w:p>
    <w:p>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第十一条 不可抗力事件处理</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2、不可抗力事件发生后，应立即通知对方，并寄送有关权威机构出具的证明。</w:t>
      </w:r>
    </w:p>
    <w:p>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3、不可抗力事件延续XX天以上，双方应通过友好协商，确定是否继续履行合同。</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tabs>
          <w:tab w:val="left" w:pos="360"/>
        </w:tabs>
        <w:spacing w:line="360" w:lineRule="auto"/>
        <w:ind w:left="360"/>
        <w:rPr>
          <w:rFonts w:ascii="宋体" w:hAnsi="宋体" w:cs="宋体"/>
          <w:b/>
          <w:color w:val="auto"/>
          <w:kern w:val="0"/>
          <w:sz w:val="24"/>
          <w:szCs w:val="22"/>
        </w:rPr>
      </w:pPr>
      <w:bookmarkStart w:id="239" w:name="_Toc225670756"/>
      <w:bookmarkStart w:id="240" w:name="_Toc251768867"/>
      <w:bookmarkStart w:id="241" w:name="_Toc225244857"/>
      <w:bookmarkStart w:id="242" w:name="_Toc211854454"/>
      <w:bookmarkStart w:id="243" w:name="_Toc211911353"/>
      <w:bookmarkStart w:id="244" w:name="_Toc185395254"/>
      <w:bookmarkStart w:id="245" w:name="_Toc239233919"/>
      <w:bookmarkStart w:id="246" w:name="_Toc212019599"/>
      <w:bookmarkStart w:id="247" w:name="_Toc241833908"/>
      <w:bookmarkStart w:id="248" w:name="_Toc232492933"/>
      <w:bookmarkStart w:id="249" w:name="_Toc247334846"/>
      <w:bookmarkStart w:id="250" w:name="_Toc237145411"/>
      <w:bookmarkStart w:id="251" w:name="_Toc239568423"/>
      <w:bookmarkStart w:id="252" w:name="_Toc238984980"/>
      <w:bookmarkStart w:id="253" w:name="_Toc286993792"/>
      <w:bookmarkStart w:id="254" w:name="_Toc225654649"/>
      <w:r>
        <w:rPr>
          <w:rFonts w:hint="eastAsia" w:ascii="宋体" w:hAnsi="宋体" w:cs="宋体"/>
          <w:b/>
          <w:color w:val="auto"/>
          <w:kern w:val="0"/>
          <w:sz w:val="24"/>
          <w:szCs w:val="22"/>
        </w:rPr>
        <w:t>第十二条 解决合同纠纷的方式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spacing w:line="360" w:lineRule="auto"/>
        <w:ind w:firstLine="480" w:firstLineChars="200"/>
        <w:rPr>
          <w:rFonts w:ascii="宋体" w:hAnsi="宋体" w:cs="宋体"/>
          <w:color w:val="auto"/>
          <w:kern w:val="0"/>
          <w:sz w:val="24"/>
          <w:szCs w:val="22"/>
        </w:rPr>
      </w:pPr>
      <w:r>
        <w:rPr>
          <w:rFonts w:hint="eastAsia" w:ascii="宋体" w:hAnsi="宋体" w:cs="宋体"/>
          <w:bCs/>
          <w:color w:val="auto"/>
          <w:kern w:val="0"/>
          <w:sz w:val="24"/>
        </w:rPr>
        <w:t>1、在执行本合同中发生</w:t>
      </w:r>
      <w:r>
        <w:rPr>
          <w:rFonts w:hint="eastAsia" w:ascii="宋体" w:hAnsi="宋体" w:cs="宋体"/>
          <w:color w:val="auto"/>
          <w:kern w:val="0"/>
          <w:sz w:val="24"/>
          <w:szCs w:val="22"/>
        </w:rPr>
        <w:t>的或与本合同有关的争端，双方应通过友好协商解决，经协商在XX天内不能达成协议时，由甲方所在地人民法院诉讼管辖。</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2、诉讼费、律师费、保全费等应由败诉方负担。 </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3、在诉讼期间，除正在进行诉讼部分外，合同其他部分继续执行。  </w:t>
      </w:r>
    </w:p>
    <w:p>
      <w:pPr>
        <w:tabs>
          <w:tab w:val="left" w:pos="360"/>
        </w:tabs>
        <w:spacing w:line="360" w:lineRule="auto"/>
        <w:ind w:left="360"/>
        <w:rPr>
          <w:rFonts w:ascii="宋体" w:hAnsi="宋体" w:cs="宋体"/>
          <w:b/>
          <w:color w:val="auto"/>
          <w:kern w:val="0"/>
          <w:sz w:val="24"/>
          <w:szCs w:val="22"/>
        </w:rPr>
      </w:pPr>
      <w:bookmarkStart w:id="255" w:name="_Toc232492934"/>
      <w:bookmarkStart w:id="256" w:name="_Toc225670757"/>
      <w:bookmarkStart w:id="257" w:name="_Toc185395255"/>
      <w:bookmarkStart w:id="258" w:name="_Toc211854455"/>
      <w:bookmarkStart w:id="259" w:name="_Toc239568424"/>
      <w:bookmarkStart w:id="260" w:name="_Toc237145412"/>
      <w:bookmarkStart w:id="261" w:name="_Toc225244858"/>
      <w:bookmarkStart w:id="262" w:name="_Toc286993793"/>
      <w:bookmarkStart w:id="263" w:name="_Toc251768868"/>
      <w:bookmarkStart w:id="264" w:name="_Toc211911354"/>
      <w:bookmarkStart w:id="265" w:name="_Toc282696231"/>
      <w:bookmarkStart w:id="266" w:name="_Toc239233920"/>
      <w:bookmarkStart w:id="267" w:name="_Toc247334847"/>
      <w:bookmarkStart w:id="268" w:name="_Toc225654650"/>
      <w:bookmarkStart w:id="269" w:name="_Toc241833909"/>
      <w:bookmarkStart w:id="270" w:name="_Toc238984981"/>
      <w:bookmarkStart w:id="271" w:name="_Toc283019219"/>
      <w:bookmarkStart w:id="272" w:name="_Toc212019600"/>
      <w:r>
        <w:rPr>
          <w:rFonts w:hint="eastAsia" w:ascii="宋体" w:hAnsi="宋体" w:cs="宋体"/>
          <w:b/>
          <w:color w:val="auto"/>
          <w:kern w:val="0"/>
          <w:sz w:val="24"/>
          <w:szCs w:val="22"/>
        </w:rPr>
        <w:t>第十三条 合同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宋体" w:hAnsi="宋体" w:cs="宋体"/>
          <w:b/>
          <w:color w:val="auto"/>
          <w:kern w:val="0"/>
          <w:sz w:val="24"/>
          <w:szCs w:val="22"/>
        </w:rPr>
        <w:t>生效及其他</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1、合同经双方法定代表人或授权委托代理人签字并加盖单位公章后生效。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3、本合同一式XX份，自双方签章之日起起效。甲方XX份，乙方XX份，政府采购代理机构XX份，同级财政部门备案XX份，具有同等法律效力。</w:t>
      </w:r>
    </w:p>
    <w:p>
      <w:pPr>
        <w:spacing w:line="360" w:lineRule="auto"/>
        <w:ind w:firstLine="481" w:firstLineChars="200"/>
        <w:rPr>
          <w:rFonts w:ascii="宋体" w:hAnsi="宋体" w:cs="宋体"/>
          <w:b/>
          <w:color w:val="auto"/>
          <w:kern w:val="0"/>
          <w:sz w:val="24"/>
          <w:szCs w:val="22"/>
        </w:rPr>
      </w:pPr>
      <w:r>
        <w:rPr>
          <w:rFonts w:hint="eastAsia" w:ascii="宋体" w:hAnsi="宋体" w:cs="宋体"/>
          <w:b/>
          <w:color w:val="auto"/>
          <w:kern w:val="0"/>
          <w:sz w:val="24"/>
          <w:szCs w:val="22"/>
        </w:rPr>
        <w:t>第十四条 附件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1、项目采购文件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2、项目修改澄清文件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3、项目响应文件</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4、成交通知书</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5、其他</w:t>
      </w:r>
    </w:p>
    <w:p>
      <w:pPr>
        <w:spacing w:line="360" w:lineRule="auto"/>
        <w:ind w:firstLine="480" w:firstLineChars="200"/>
        <w:rPr>
          <w:rFonts w:ascii="宋体" w:hAnsi="宋体" w:cs="宋体"/>
          <w:color w:val="auto"/>
          <w:kern w:val="0"/>
          <w:sz w:val="24"/>
          <w:szCs w:val="22"/>
        </w:rPr>
      </w:pP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甲方：   (盖章)   </w:t>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 xml:space="preserve">       乙方：   (盖章)</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法定代表人(授权代表)：            法定代表人(授权代表)：</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地    址：                         地    址：</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开户银行：                         开户银行：</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账号：                             账号：</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电    话：                         电    话：</w:t>
      </w:r>
    </w:p>
    <w:p>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传    真：                         传    真：</w:t>
      </w:r>
    </w:p>
    <w:p>
      <w:pPr>
        <w:spacing w:line="360" w:lineRule="auto"/>
        <w:ind w:firstLine="420" w:firstLineChars="175"/>
        <w:rPr>
          <w:rFonts w:ascii="宋体" w:hAnsi="宋体" w:cs="宋体"/>
          <w:b/>
          <w:bCs/>
          <w:color w:val="auto"/>
          <w:sz w:val="24"/>
        </w:rPr>
      </w:pPr>
      <w:r>
        <w:rPr>
          <w:rFonts w:hint="eastAsia" w:ascii="宋体" w:hAnsi="宋体" w:cs="宋体"/>
          <w:color w:val="auto"/>
          <w:sz w:val="24"/>
        </w:rPr>
        <w:t xml:space="preserve">签约日期：XX年XX月XX日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签约日期：XX年XX月XX日</w:t>
      </w:r>
    </w:p>
    <w:p>
      <w:pPr>
        <w:pStyle w:val="52"/>
        <w:spacing w:line="360" w:lineRule="auto"/>
        <w:ind w:firstLine="480"/>
        <w:rPr>
          <w:rFonts w:asciiTheme="minorEastAsia" w:hAnsiTheme="minorEastAsia"/>
          <w:color w:val="auto"/>
        </w:rPr>
      </w:pPr>
    </w:p>
    <w:sectPr>
      <w:pgSz w:w="11907" w:h="16840"/>
      <w:pgMar w:top="1474" w:right="1418" w:bottom="1247" w:left="1418" w:header="1134" w:footer="851" w:gutter="17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Tms Rmn">
    <w:altName w:val="Noto Serif Bengali"/>
    <w:panose1 w:val="02020603040505020304"/>
    <w:charset w:val="00"/>
    <w:family w:val="roman"/>
    <w:pitch w:val="default"/>
    <w:sig w:usb0="00000000" w:usb1="00000000" w:usb2="00000000" w:usb3="00000000" w:csb0="00000001" w:csb1="00000000"/>
  </w:font>
  <w:font w:name="simsun">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algun Gothic">
    <w:altName w:val="NanumBarunGothic"/>
    <w:panose1 w:val="020B0503020000020004"/>
    <w:charset w:val="81"/>
    <w:family w:val="swiss"/>
    <w:pitch w:val="default"/>
    <w:sig w:usb0="00000000" w:usb1="00000000" w:usb2="00000012" w:usb3="00000000" w:csb0="00080001" w:csb1="00000000"/>
  </w:font>
  <w:font w:name="MS Mincho">
    <w:altName w:val="方正书宋_GBK"/>
    <w:panose1 w:val="02020609040205080304"/>
    <w:charset w:val="80"/>
    <w:family w:val="modern"/>
    <w:pitch w:val="default"/>
    <w:sig w:usb0="00000000" w:usb1="00000000" w:usb2="08000012" w:usb3="00000000" w:csb0="0002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fldChar w:fldCharType="begin"/>
    </w:r>
    <w:r>
      <w:instrText xml:space="preserve"> PAGE   \* MERGEFORMAT </w:instrText>
    </w:r>
    <w:r>
      <w:fldChar w:fldCharType="separate"/>
    </w:r>
    <w:r>
      <w:rPr>
        <w:lang w:val="zh-CN"/>
      </w:rPr>
      <w:t>49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fldChar w:fldCharType="begin"/>
    </w:r>
    <w:r>
      <w:instrText xml:space="preserve"> PAGE   \* MERGEFORMAT </w:instrText>
    </w:r>
    <w:r>
      <w:fldChar w:fldCharType="separate"/>
    </w:r>
    <w:r>
      <w:rPr>
        <w:lang w:val="zh-CN"/>
      </w:rPr>
      <w:t>51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52</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72</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D0E8"/>
    <w:multiLevelType w:val="singleLevel"/>
    <w:tmpl w:val="0145D0E8"/>
    <w:lvl w:ilvl="0" w:tentative="0">
      <w:start w:val="1"/>
      <w:numFmt w:val="decimal"/>
      <w:suff w:val="nothing"/>
      <w:lvlText w:val="（%1）"/>
      <w:lvlJc w:val="left"/>
    </w:lvl>
  </w:abstractNum>
  <w:abstractNum w:abstractNumId="1">
    <w:nsid w:val="49ACB0AA"/>
    <w:multiLevelType w:val="singleLevel"/>
    <w:tmpl w:val="49ACB0AA"/>
    <w:lvl w:ilvl="0" w:tentative="0">
      <w:start w:val="1"/>
      <w:numFmt w:val="decimal"/>
      <w:suff w:val="nothing"/>
      <w:lvlText w:val="（%1）"/>
      <w:lvlJc w:val="left"/>
    </w:lvl>
  </w:abstractNum>
  <w:abstractNum w:abstractNumId="2">
    <w:nsid w:val="6EC96368"/>
    <w:multiLevelType w:val="multilevel"/>
    <w:tmpl w:val="6EC9636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8FF2326"/>
    <w:multiLevelType w:val="multilevel"/>
    <w:tmpl w:val="78FF232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CC"/>
    <w:rsid w:val="00001660"/>
    <w:rsid w:val="00001ECD"/>
    <w:rsid w:val="0000355E"/>
    <w:rsid w:val="00003F19"/>
    <w:rsid w:val="00004B89"/>
    <w:rsid w:val="00006901"/>
    <w:rsid w:val="00011944"/>
    <w:rsid w:val="00013385"/>
    <w:rsid w:val="00013598"/>
    <w:rsid w:val="000139C4"/>
    <w:rsid w:val="000141E9"/>
    <w:rsid w:val="0001438F"/>
    <w:rsid w:val="00014483"/>
    <w:rsid w:val="00015334"/>
    <w:rsid w:val="0001548E"/>
    <w:rsid w:val="00015AD4"/>
    <w:rsid w:val="00016D31"/>
    <w:rsid w:val="000173B8"/>
    <w:rsid w:val="000176E8"/>
    <w:rsid w:val="00017E5E"/>
    <w:rsid w:val="000208A8"/>
    <w:rsid w:val="000209A3"/>
    <w:rsid w:val="00021F2A"/>
    <w:rsid w:val="00022084"/>
    <w:rsid w:val="000222FA"/>
    <w:rsid w:val="0002293A"/>
    <w:rsid w:val="000232AD"/>
    <w:rsid w:val="00023E17"/>
    <w:rsid w:val="000246A1"/>
    <w:rsid w:val="00024A16"/>
    <w:rsid w:val="0002530B"/>
    <w:rsid w:val="0002561A"/>
    <w:rsid w:val="00026E80"/>
    <w:rsid w:val="00030DE6"/>
    <w:rsid w:val="00031286"/>
    <w:rsid w:val="00031558"/>
    <w:rsid w:val="00032335"/>
    <w:rsid w:val="00032783"/>
    <w:rsid w:val="00033E39"/>
    <w:rsid w:val="0003419E"/>
    <w:rsid w:val="00035948"/>
    <w:rsid w:val="00037A8D"/>
    <w:rsid w:val="00040453"/>
    <w:rsid w:val="000408C4"/>
    <w:rsid w:val="00041A27"/>
    <w:rsid w:val="00041C07"/>
    <w:rsid w:val="00041FE4"/>
    <w:rsid w:val="00041FFE"/>
    <w:rsid w:val="00042D36"/>
    <w:rsid w:val="000451F8"/>
    <w:rsid w:val="000462B4"/>
    <w:rsid w:val="00046697"/>
    <w:rsid w:val="000466F9"/>
    <w:rsid w:val="0004677D"/>
    <w:rsid w:val="000475CD"/>
    <w:rsid w:val="00047873"/>
    <w:rsid w:val="00047C50"/>
    <w:rsid w:val="00050590"/>
    <w:rsid w:val="00051366"/>
    <w:rsid w:val="00051901"/>
    <w:rsid w:val="00051939"/>
    <w:rsid w:val="00051CCF"/>
    <w:rsid w:val="000523DF"/>
    <w:rsid w:val="000526C6"/>
    <w:rsid w:val="00052B12"/>
    <w:rsid w:val="00053337"/>
    <w:rsid w:val="00053F59"/>
    <w:rsid w:val="00054BA4"/>
    <w:rsid w:val="00055034"/>
    <w:rsid w:val="000553DA"/>
    <w:rsid w:val="00055C21"/>
    <w:rsid w:val="00055D97"/>
    <w:rsid w:val="000567A9"/>
    <w:rsid w:val="00056979"/>
    <w:rsid w:val="00057397"/>
    <w:rsid w:val="00061464"/>
    <w:rsid w:val="0006153D"/>
    <w:rsid w:val="00061E90"/>
    <w:rsid w:val="0006243C"/>
    <w:rsid w:val="0006264C"/>
    <w:rsid w:val="00063DF5"/>
    <w:rsid w:val="00063FEA"/>
    <w:rsid w:val="00064D79"/>
    <w:rsid w:val="000657E0"/>
    <w:rsid w:val="00065CC5"/>
    <w:rsid w:val="0006634F"/>
    <w:rsid w:val="00067226"/>
    <w:rsid w:val="0006738D"/>
    <w:rsid w:val="000700AA"/>
    <w:rsid w:val="00072140"/>
    <w:rsid w:val="00072210"/>
    <w:rsid w:val="00072574"/>
    <w:rsid w:val="000727F2"/>
    <w:rsid w:val="000731F0"/>
    <w:rsid w:val="000739F4"/>
    <w:rsid w:val="00073A67"/>
    <w:rsid w:val="00073B7E"/>
    <w:rsid w:val="00074138"/>
    <w:rsid w:val="000743DD"/>
    <w:rsid w:val="0007588A"/>
    <w:rsid w:val="00081A37"/>
    <w:rsid w:val="00082B75"/>
    <w:rsid w:val="000834B0"/>
    <w:rsid w:val="000839BF"/>
    <w:rsid w:val="00084183"/>
    <w:rsid w:val="00084683"/>
    <w:rsid w:val="0008602F"/>
    <w:rsid w:val="000865DC"/>
    <w:rsid w:val="000867B4"/>
    <w:rsid w:val="00086A4E"/>
    <w:rsid w:val="00087312"/>
    <w:rsid w:val="0009037C"/>
    <w:rsid w:val="00090600"/>
    <w:rsid w:val="00090A00"/>
    <w:rsid w:val="00091F34"/>
    <w:rsid w:val="0009293F"/>
    <w:rsid w:val="00092B4C"/>
    <w:rsid w:val="000932AA"/>
    <w:rsid w:val="00093A1A"/>
    <w:rsid w:val="00093ABA"/>
    <w:rsid w:val="000958DC"/>
    <w:rsid w:val="000962DA"/>
    <w:rsid w:val="00096715"/>
    <w:rsid w:val="000A0099"/>
    <w:rsid w:val="000A0C01"/>
    <w:rsid w:val="000A1518"/>
    <w:rsid w:val="000A15B2"/>
    <w:rsid w:val="000A1D01"/>
    <w:rsid w:val="000A26E0"/>
    <w:rsid w:val="000A2A84"/>
    <w:rsid w:val="000A32C6"/>
    <w:rsid w:val="000A3D02"/>
    <w:rsid w:val="000A3D62"/>
    <w:rsid w:val="000A3D83"/>
    <w:rsid w:val="000A4196"/>
    <w:rsid w:val="000A42C7"/>
    <w:rsid w:val="000A46DE"/>
    <w:rsid w:val="000A4B2E"/>
    <w:rsid w:val="000A4EA5"/>
    <w:rsid w:val="000A726F"/>
    <w:rsid w:val="000A7857"/>
    <w:rsid w:val="000B07DD"/>
    <w:rsid w:val="000B0E0C"/>
    <w:rsid w:val="000B0F4B"/>
    <w:rsid w:val="000B11F9"/>
    <w:rsid w:val="000B1C2C"/>
    <w:rsid w:val="000B58C4"/>
    <w:rsid w:val="000B649F"/>
    <w:rsid w:val="000B7FD8"/>
    <w:rsid w:val="000C00DD"/>
    <w:rsid w:val="000C0146"/>
    <w:rsid w:val="000C09AE"/>
    <w:rsid w:val="000C14D1"/>
    <w:rsid w:val="000C22DB"/>
    <w:rsid w:val="000C2622"/>
    <w:rsid w:val="000C2EFC"/>
    <w:rsid w:val="000C2F5C"/>
    <w:rsid w:val="000C3B13"/>
    <w:rsid w:val="000C405E"/>
    <w:rsid w:val="000C4129"/>
    <w:rsid w:val="000C4762"/>
    <w:rsid w:val="000C562F"/>
    <w:rsid w:val="000C5D2D"/>
    <w:rsid w:val="000C5FC0"/>
    <w:rsid w:val="000C6536"/>
    <w:rsid w:val="000D03B4"/>
    <w:rsid w:val="000D0F0A"/>
    <w:rsid w:val="000D16CF"/>
    <w:rsid w:val="000D16E9"/>
    <w:rsid w:val="000D1724"/>
    <w:rsid w:val="000D319D"/>
    <w:rsid w:val="000D331F"/>
    <w:rsid w:val="000D4073"/>
    <w:rsid w:val="000D472D"/>
    <w:rsid w:val="000D4E8D"/>
    <w:rsid w:val="000D4EFB"/>
    <w:rsid w:val="000D5F6B"/>
    <w:rsid w:val="000D705A"/>
    <w:rsid w:val="000D710C"/>
    <w:rsid w:val="000D71AA"/>
    <w:rsid w:val="000E09AF"/>
    <w:rsid w:val="000E0A69"/>
    <w:rsid w:val="000E361E"/>
    <w:rsid w:val="000E3DFF"/>
    <w:rsid w:val="000E583C"/>
    <w:rsid w:val="000E6476"/>
    <w:rsid w:val="000E69C5"/>
    <w:rsid w:val="000E6CD7"/>
    <w:rsid w:val="000F079D"/>
    <w:rsid w:val="000F0EBE"/>
    <w:rsid w:val="000F3C25"/>
    <w:rsid w:val="000F3D04"/>
    <w:rsid w:val="000F422B"/>
    <w:rsid w:val="000F45A9"/>
    <w:rsid w:val="000F4F96"/>
    <w:rsid w:val="000F6733"/>
    <w:rsid w:val="000F6854"/>
    <w:rsid w:val="00100B7D"/>
    <w:rsid w:val="00100C85"/>
    <w:rsid w:val="00100F94"/>
    <w:rsid w:val="00100FCD"/>
    <w:rsid w:val="0010167E"/>
    <w:rsid w:val="001016FC"/>
    <w:rsid w:val="00101CB5"/>
    <w:rsid w:val="00101F92"/>
    <w:rsid w:val="00102D50"/>
    <w:rsid w:val="001033D2"/>
    <w:rsid w:val="00104685"/>
    <w:rsid w:val="00104EF8"/>
    <w:rsid w:val="00105014"/>
    <w:rsid w:val="0010666F"/>
    <w:rsid w:val="001114EB"/>
    <w:rsid w:val="001116C7"/>
    <w:rsid w:val="00111F41"/>
    <w:rsid w:val="0011230A"/>
    <w:rsid w:val="00113103"/>
    <w:rsid w:val="00113C4F"/>
    <w:rsid w:val="00114966"/>
    <w:rsid w:val="00114BBD"/>
    <w:rsid w:val="00114DE5"/>
    <w:rsid w:val="00114EBA"/>
    <w:rsid w:val="001150A5"/>
    <w:rsid w:val="00115100"/>
    <w:rsid w:val="00115851"/>
    <w:rsid w:val="001167A6"/>
    <w:rsid w:val="0011743C"/>
    <w:rsid w:val="00117837"/>
    <w:rsid w:val="001208A1"/>
    <w:rsid w:val="001212C2"/>
    <w:rsid w:val="001215BD"/>
    <w:rsid w:val="001217D4"/>
    <w:rsid w:val="00122546"/>
    <w:rsid w:val="0012276E"/>
    <w:rsid w:val="001239E7"/>
    <w:rsid w:val="00123E53"/>
    <w:rsid w:val="00123FC0"/>
    <w:rsid w:val="00126265"/>
    <w:rsid w:val="00126D87"/>
    <w:rsid w:val="0013058A"/>
    <w:rsid w:val="00131F14"/>
    <w:rsid w:val="00132696"/>
    <w:rsid w:val="001329EB"/>
    <w:rsid w:val="0013423A"/>
    <w:rsid w:val="001345C8"/>
    <w:rsid w:val="00134644"/>
    <w:rsid w:val="001346B3"/>
    <w:rsid w:val="0013590F"/>
    <w:rsid w:val="00136485"/>
    <w:rsid w:val="00136D53"/>
    <w:rsid w:val="00141A54"/>
    <w:rsid w:val="00142470"/>
    <w:rsid w:val="0014425B"/>
    <w:rsid w:val="001446A1"/>
    <w:rsid w:val="001451F2"/>
    <w:rsid w:val="001464DD"/>
    <w:rsid w:val="00146914"/>
    <w:rsid w:val="001500D3"/>
    <w:rsid w:val="00150855"/>
    <w:rsid w:val="00150BFF"/>
    <w:rsid w:val="00151441"/>
    <w:rsid w:val="00151A2E"/>
    <w:rsid w:val="00152074"/>
    <w:rsid w:val="00153D4C"/>
    <w:rsid w:val="00153E13"/>
    <w:rsid w:val="00153FD3"/>
    <w:rsid w:val="0015453C"/>
    <w:rsid w:val="00154BE7"/>
    <w:rsid w:val="0015550E"/>
    <w:rsid w:val="00155A5C"/>
    <w:rsid w:val="00156466"/>
    <w:rsid w:val="00156533"/>
    <w:rsid w:val="001569A1"/>
    <w:rsid w:val="00156D44"/>
    <w:rsid w:val="00157349"/>
    <w:rsid w:val="001575FD"/>
    <w:rsid w:val="00161AEF"/>
    <w:rsid w:val="00161B25"/>
    <w:rsid w:val="00162078"/>
    <w:rsid w:val="001623D7"/>
    <w:rsid w:val="0016341A"/>
    <w:rsid w:val="00164279"/>
    <w:rsid w:val="001648CD"/>
    <w:rsid w:val="001652F8"/>
    <w:rsid w:val="00165833"/>
    <w:rsid w:val="00165BD5"/>
    <w:rsid w:val="00167ED2"/>
    <w:rsid w:val="00170C8C"/>
    <w:rsid w:val="001711FF"/>
    <w:rsid w:val="00171341"/>
    <w:rsid w:val="00172B29"/>
    <w:rsid w:val="001746B3"/>
    <w:rsid w:val="00175AEB"/>
    <w:rsid w:val="001762FD"/>
    <w:rsid w:val="001763A5"/>
    <w:rsid w:val="00177679"/>
    <w:rsid w:val="00177C16"/>
    <w:rsid w:val="001800CD"/>
    <w:rsid w:val="0018034D"/>
    <w:rsid w:val="00180A23"/>
    <w:rsid w:val="00180D0B"/>
    <w:rsid w:val="00180EA1"/>
    <w:rsid w:val="00182423"/>
    <w:rsid w:val="001836F5"/>
    <w:rsid w:val="0018382C"/>
    <w:rsid w:val="0018390E"/>
    <w:rsid w:val="00183F9B"/>
    <w:rsid w:val="00184706"/>
    <w:rsid w:val="00184A9C"/>
    <w:rsid w:val="00185A39"/>
    <w:rsid w:val="00185F2C"/>
    <w:rsid w:val="00186291"/>
    <w:rsid w:val="00186521"/>
    <w:rsid w:val="00186A43"/>
    <w:rsid w:val="00186AEA"/>
    <w:rsid w:val="001876EA"/>
    <w:rsid w:val="001878F6"/>
    <w:rsid w:val="00187C36"/>
    <w:rsid w:val="00187D88"/>
    <w:rsid w:val="00187EE8"/>
    <w:rsid w:val="0019037D"/>
    <w:rsid w:val="00192034"/>
    <w:rsid w:val="00193802"/>
    <w:rsid w:val="00193891"/>
    <w:rsid w:val="00193E56"/>
    <w:rsid w:val="00195762"/>
    <w:rsid w:val="001959B7"/>
    <w:rsid w:val="001961BF"/>
    <w:rsid w:val="00196A94"/>
    <w:rsid w:val="00196B7A"/>
    <w:rsid w:val="001974BF"/>
    <w:rsid w:val="0019756E"/>
    <w:rsid w:val="00197A49"/>
    <w:rsid w:val="001A0BE4"/>
    <w:rsid w:val="001A2452"/>
    <w:rsid w:val="001A2788"/>
    <w:rsid w:val="001A32A5"/>
    <w:rsid w:val="001A4407"/>
    <w:rsid w:val="001A4D34"/>
    <w:rsid w:val="001A67F1"/>
    <w:rsid w:val="001A6E20"/>
    <w:rsid w:val="001A761A"/>
    <w:rsid w:val="001B053F"/>
    <w:rsid w:val="001B0A04"/>
    <w:rsid w:val="001B0A87"/>
    <w:rsid w:val="001B0D95"/>
    <w:rsid w:val="001B1F0F"/>
    <w:rsid w:val="001B1FF9"/>
    <w:rsid w:val="001B22E9"/>
    <w:rsid w:val="001B28FE"/>
    <w:rsid w:val="001B334A"/>
    <w:rsid w:val="001B3E78"/>
    <w:rsid w:val="001B4B2D"/>
    <w:rsid w:val="001B7795"/>
    <w:rsid w:val="001C1279"/>
    <w:rsid w:val="001C1B65"/>
    <w:rsid w:val="001C2CAE"/>
    <w:rsid w:val="001C31D1"/>
    <w:rsid w:val="001C44A4"/>
    <w:rsid w:val="001C4A5B"/>
    <w:rsid w:val="001C5AF6"/>
    <w:rsid w:val="001C6686"/>
    <w:rsid w:val="001C669F"/>
    <w:rsid w:val="001C7D99"/>
    <w:rsid w:val="001D097E"/>
    <w:rsid w:val="001D0F62"/>
    <w:rsid w:val="001D16D6"/>
    <w:rsid w:val="001D2331"/>
    <w:rsid w:val="001D238A"/>
    <w:rsid w:val="001D26E0"/>
    <w:rsid w:val="001D3913"/>
    <w:rsid w:val="001D4733"/>
    <w:rsid w:val="001D560A"/>
    <w:rsid w:val="001D632F"/>
    <w:rsid w:val="001D7C0B"/>
    <w:rsid w:val="001E0521"/>
    <w:rsid w:val="001E0CB9"/>
    <w:rsid w:val="001E148C"/>
    <w:rsid w:val="001E312F"/>
    <w:rsid w:val="001E3B05"/>
    <w:rsid w:val="001E5BB0"/>
    <w:rsid w:val="001E6EBF"/>
    <w:rsid w:val="001E6EC9"/>
    <w:rsid w:val="001E6EF9"/>
    <w:rsid w:val="001F035E"/>
    <w:rsid w:val="001F1E7D"/>
    <w:rsid w:val="001F25FB"/>
    <w:rsid w:val="001F2E29"/>
    <w:rsid w:val="001F456F"/>
    <w:rsid w:val="001F492D"/>
    <w:rsid w:val="001F55A7"/>
    <w:rsid w:val="001F5B27"/>
    <w:rsid w:val="001F64F5"/>
    <w:rsid w:val="001F71E8"/>
    <w:rsid w:val="001F7305"/>
    <w:rsid w:val="001F79FC"/>
    <w:rsid w:val="001F7DBD"/>
    <w:rsid w:val="0020107A"/>
    <w:rsid w:val="00202388"/>
    <w:rsid w:val="00203068"/>
    <w:rsid w:val="002031E7"/>
    <w:rsid w:val="00205336"/>
    <w:rsid w:val="00206D18"/>
    <w:rsid w:val="002073D2"/>
    <w:rsid w:val="002077FE"/>
    <w:rsid w:val="0021013C"/>
    <w:rsid w:val="002120D0"/>
    <w:rsid w:val="002125E6"/>
    <w:rsid w:val="0021536E"/>
    <w:rsid w:val="00215638"/>
    <w:rsid w:val="00215C8E"/>
    <w:rsid w:val="0021668E"/>
    <w:rsid w:val="00220283"/>
    <w:rsid w:val="002205AB"/>
    <w:rsid w:val="00220710"/>
    <w:rsid w:val="0022247F"/>
    <w:rsid w:val="002231BF"/>
    <w:rsid w:val="00224333"/>
    <w:rsid w:val="00224CDC"/>
    <w:rsid w:val="0022510D"/>
    <w:rsid w:val="00226804"/>
    <w:rsid w:val="002270B2"/>
    <w:rsid w:val="00230304"/>
    <w:rsid w:val="002307E2"/>
    <w:rsid w:val="00230D10"/>
    <w:rsid w:val="00230FB1"/>
    <w:rsid w:val="002320BC"/>
    <w:rsid w:val="00232918"/>
    <w:rsid w:val="002332EA"/>
    <w:rsid w:val="00233F86"/>
    <w:rsid w:val="002342C9"/>
    <w:rsid w:val="002357F2"/>
    <w:rsid w:val="00236C8B"/>
    <w:rsid w:val="00241AF6"/>
    <w:rsid w:val="00242277"/>
    <w:rsid w:val="00244015"/>
    <w:rsid w:val="0024529B"/>
    <w:rsid w:val="002456EC"/>
    <w:rsid w:val="00245E6C"/>
    <w:rsid w:val="002470DA"/>
    <w:rsid w:val="00247BC4"/>
    <w:rsid w:val="0025006F"/>
    <w:rsid w:val="00250692"/>
    <w:rsid w:val="002509D0"/>
    <w:rsid w:val="00250B71"/>
    <w:rsid w:val="002510B3"/>
    <w:rsid w:val="0025111C"/>
    <w:rsid w:val="00252DDB"/>
    <w:rsid w:val="0025359C"/>
    <w:rsid w:val="002546A2"/>
    <w:rsid w:val="002554B2"/>
    <w:rsid w:val="00255D4B"/>
    <w:rsid w:val="002564DB"/>
    <w:rsid w:val="002572F4"/>
    <w:rsid w:val="00262A61"/>
    <w:rsid w:val="00262F43"/>
    <w:rsid w:val="00263965"/>
    <w:rsid w:val="00263B9A"/>
    <w:rsid w:val="00265C8F"/>
    <w:rsid w:val="00265F18"/>
    <w:rsid w:val="002665C5"/>
    <w:rsid w:val="002668D0"/>
    <w:rsid w:val="0027031A"/>
    <w:rsid w:val="002703E3"/>
    <w:rsid w:val="0027130F"/>
    <w:rsid w:val="00272326"/>
    <w:rsid w:val="0027252A"/>
    <w:rsid w:val="0027266B"/>
    <w:rsid w:val="002731EE"/>
    <w:rsid w:val="002745B0"/>
    <w:rsid w:val="0027477A"/>
    <w:rsid w:val="00274E1A"/>
    <w:rsid w:val="00276116"/>
    <w:rsid w:val="00276666"/>
    <w:rsid w:val="0027695C"/>
    <w:rsid w:val="00277396"/>
    <w:rsid w:val="00277B58"/>
    <w:rsid w:val="00280012"/>
    <w:rsid w:val="00280D8F"/>
    <w:rsid w:val="00281347"/>
    <w:rsid w:val="002828BF"/>
    <w:rsid w:val="00282AC7"/>
    <w:rsid w:val="00282ADB"/>
    <w:rsid w:val="002830B6"/>
    <w:rsid w:val="00284822"/>
    <w:rsid w:val="002856A9"/>
    <w:rsid w:val="002857AA"/>
    <w:rsid w:val="002861C8"/>
    <w:rsid w:val="00287206"/>
    <w:rsid w:val="00290326"/>
    <w:rsid w:val="0029048E"/>
    <w:rsid w:val="00290AEB"/>
    <w:rsid w:val="00291539"/>
    <w:rsid w:val="00291B77"/>
    <w:rsid w:val="00292632"/>
    <w:rsid w:val="002940B2"/>
    <w:rsid w:val="00294EBC"/>
    <w:rsid w:val="0029626C"/>
    <w:rsid w:val="00296591"/>
    <w:rsid w:val="0029672E"/>
    <w:rsid w:val="00297B8B"/>
    <w:rsid w:val="00297D0C"/>
    <w:rsid w:val="00297E79"/>
    <w:rsid w:val="002A0176"/>
    <w:rsid w:val="002A0B7A"/>
    <w:rsid w:val="002A0C3D"/>
    <w:rsid w:val="002A0C82"/>
    <w:rsid w:val="002A112F"/>
    <w:rsid w:val="002A1E56"/>
    <w:rsid w:val="002A25BD"/>
    <w:rsid w:val="002A32BE"/>
    <w:rsid w:val="002A4317"/>
    <w:rsid w:val="002A6200"/>
    <w:rsid w:val="002A7D03"/>
    <w:rsid w:val="002B0659"/>
    <w:rsid w:val="002B067F"/>
    <w:rsid w:val="002B06DF"/>
    <w:rsid w:val="002B155A"/>
    <w:rsid w:val="002B3263"/>
    <w:rsid w:val="002B32A7"/>
    <w:rsid w:val="002B3FE9"/>
    <w:rsid w:val="002B4920"/>
    <w:rsid w:val="002B5EB0"/>
    <w:rsid w:val="002B6D25"/>
    <w:rsid w:val="002B7D1D"/>
    <w:rsid w:val="002C0169"/>
    <w:rsid w:val="002C0185"/>
    <w:rsid w:val="002C0964"/>
    <w:rsid w:val="002C1584"/>
    <w:rsid w:val="002C2154"/>
    <w:rsid w:val="002C28D0"/>
    <w:rsid w:val="002C2A13"/>
    <w:rsid w:val="002C3905"/>
    <w:rsid w:val="002C67ED"/>
    <w:rsid w:val="002C7ABD"/>
    <w:rsid w:val="002C7DDE"/>
    <w:rsid w:val="002C7FC7"/>
    <w:rsid w:val="002D2A3C"/>
    <w:rsid w:val="002D2B57"/>
    <w:rsid w:val="002D2D1F"/>
    <w:rsid w:val="002D44CE"/>
    <w:rsid w:val="002D5654"/>
    <w:rsid w:val="002D5B8C"/>
    <w:rsid w:val="002D5D7E"/>
    <w:rsid w:val="002D6144"/>
    <w:rsid w:val="002D6435"/>
    <w:rsid w:val="002D67E3"/>
    <w:rsid w:val="002D73AE"/>
    <w:rsid w:val="002E031F"/>
    <w:rsid w:val="002E0621"/>
    <w:rsid w:val="002E0FF2"/>
    <w:rsid w:val="002E1456"/>
    <w:rsid w:val="002E2016"/>
    <w:rsid w:val="002E2AD7"/>
    <w:rsid w:val="002E2E76"/>
    <w:rsid w:val="002E372F"/>
    <w:rsid w:val="002E38A1"/>
    <w:rsid w:val="002E53EC"/>
    <w:rsid w:val="002E6755"/>
    <w:rsid w:val="002E7B45"/>
    <w:rsid w:val="002F0D48"/>
    <w:rsid w:val="002F3738"/>
    <w:rsid w:val="002F3919"/>
    <w:rsid w:val="002F5A38"/>
    <w:rsid w:val="002F5A64"/>
    <w:rsid w:val="002F797B"/>
    <w:rsid w:val="002F7E19"/>
    <w:rsid w:val="00301A63"/>
    <w:rsid w:val="00301C74"/>
    <w:rsid w:val="00302602"/>
    <w:rsid w:val="0030262F"/>
    <w:rsid w:val="00303C8B"/>
    <w:rsid w:val="00306772"/>
    <w:rsid w:val="003068CD"/>
    <w:rsid w:val="00306A59"/>
    <w:rsid w:val="00306EED"/>
    <w:rsid w:val="00306F89"/>
    <w:rsid w:val="00310A3B"/>
    <w:rsid w:val="00310D4D"/>
    <w:rsid w:val="00310ED8"/>
    <w:rsid w:val="00311669"/>
    <w:rsid w:val="0031253B"/>
    <w:rsid w:val="003131CC"/>
    <w:rsid w:val="00314009"/>
    <w:rsid w:val="00315252"/>
    <w:rsid w:val="00315A72"/>
    <w:rsid w:val="0031795E"/>
    <w:rsid w:val="00321BCE"/>
    <w:rsid w:val="00322FDB"/>
    <w:rsid w:val="003230A0"/>
    <w:rsid w:val="00323546"/>
    <w:rsid w:val="0032423B"/>
    <w:rsid w:val="003243DE"/>
    <w:rsid w:val="0032451F"/>
    <w:rsid w:val="003245A1"/>
    <w:rsid w:val="00324891"/>
    <w:rsid w:val="00324A88"/>
    <w:rsid w:val="0032601D"/>
    <w:rsid w:val="00326599"/>
    <w:rsid w:val="0032689A"/>
    <w:rsid w:val="00326951"/>
    <w:rsid w:val="00327823"/>
    <w:rsid w:val="003279F5"/>
    <w:rsid w:val="00327B03"/>
    <w:rsid w:val="00327EE5"/>
    <w:rsid w:val="00330FFF"/>
    <w:rsid w:val="00331906"/>
    <w:rsid w:val="00331FC6"/>
    <w:rsid w:val="0033261E"/>
    <w:rsid w:val="003331D2"/>
    <w:rsid w:val="0033331F"/>
    <w:rsid w:val="003344F4"/>
    <w:rsid w:val="00334A11"/>
    <w:rsid w:val="00334E83"/>
    <w:rsid w:val="00335714"/>
    <w:rsid w:val="00335A09"/>
    <w:rsid w:val="00335BD1"/>
    <w:rsid w:val="00337093"/>
    <w:rsid w:val="00341463"/>
    <w:rsid w:val="003419CA"/>
    <w:rsid w:val="00342078"/>
    <w:rsid w:val="003424C3"/>
    <w:rsid w:val="00343913"/>
    <w:rsid w:val="00343E79"/>
    <w:rsid w:val="00345AC3"/>
    <w:rsid w:val="00346A47"/>
    <w:rsid w:val="0035067D"/>
    <w:rsid w:val="00350F61"/>
    <w:rsid w:val="003513CC"/>
    <w:rsid w:val="00351DC0"/>
    <w:rsid w:val="00351E9C"/>
    <w:rsid w:val="00352441"/>
    <w:rsid w:val="00352BE5"/>
    <w:rsid w:val="003534C0"/>
    <w:rsid w:val="0035393E"/>
    <w:rsid w:val="00353B0D"/>
    <w:rsid w:val="00354318"/>
    <w:rsid w:val="00354A64"/>
    <w:rsid w:val="00354A79"/>
    <w:rsid w:val="00355149"/>
    <w:rsid w:val="00355FC0"/>
    <w:rsid w:val="00356142"/>
    <w:rsid w:val="00356329"/>
    <w:rsid w:val="00356AD1"/>
    <w:rsid w:val="0035743A"/>
    <w:rsid w:val="00361262"/>
    <w:rsid w:val="0036149A"/>
    <w:rsid w:val="00361C9E"/>
    <w:rsid w:val="003637E7"/>
    <w:rsid w:val="00363E8E"/>
    <w:rsid w:val="00363EC7"/>
    <w:rsid w:val="0036444D"/>
    <w:rsid w:val="00364647"/>
    <w:rsid w:val="00365524"/>
    <w:rsid w:val="00365F45"/>
    <w:rsid w:val="003666F0"/>
    <w:rsid w:val="00366BA1"/>
    <w:rsid w:val="00367829"/>
    <w:rsid w:val="00370078"/>
    <w:rsid w:val="0037029D"/>
    <w:rsid w:val="00370C8A"/>
    <w:rsid w:val="0037208A"/>
    <w:rsid w:val="003727E7"/>
    <w:rsid w:val="0037288F"/>
    <w:rsid w:val="00372E53"/>
    <w:rsid w:val="00372FF5"/>
    <w:rsid w:val="00373951"/>
    <w:rsid w:val="0037405F"/>
    <w:rsid w:val="00375F76"/>
    <w:rsid w:val="003762B9"/>
    <w:rsid w:val="0037714C"/>
    <w:rsid w:val="00381E2B"/>
    <w:rsid w:val="00382A01"/>
    <w:rsid w:val="00383BFA"/>
    <w:rsid w:val="003840FC"/>
    <w:rsid w:val="00384655"/>
    <w:rsid w:val="00384745"/>
    <w:rsid w:val="00384FE6"/>
    <w:rsid w:val="00385157"/>
    <w:rsid w:val="003851CE"/>
    <w:rsid w:val="00385EBA"/>
    <w:rsid w:val="00386948"/>
    <w:rsid w:val="00387EEB"/>
    <w:rsid w:val="0039178C"/>
    <w:rsid w:val="00391B46"/>
    <w:rsid w:val="003924E0"/>
    <w:rsid w:val="00392A3E"/>
    <w:rsid w:val="00394101"/>
    <w:rsid w:val="00395323"/>
    <w:rsid w:val="00395A66"/>
    <w:rsid w:val="0039654A"/>
    <w:rsid w:val="0039658A"/>
    <w:rsid w:val="00396685"/>
    <w:rsid w:val="003A2678"/>
    <w:rsid w:val="003A2A55"/>
    <w:rsid w:val="003A2C5A"/>
    <w:rsid w:val="003A3983"/>
    <w:rsid w:val="003A3BD8"/>
    <w:rsid w:val="003A44B1"/>
    <w:rsid w:val="003A44E4"/>
    <w:rsid w:val="003A44ED"/>
    <w:rsid w:val="003A4EB1"/>
    <w:rsid w:val="003A6E31"/>
    <w:rsid w:val="003A72A7"/>
    <w:rsid w:val="003A735A"/>
    <w:rsid w:val="003A7598"/>
    <w:rsid w:val="003B035C"/>
    <w:rsid w:val="003B06B1"/>
    <w:rsid w:val="003B07A2"/>
    <w:rsid w:val="003B0FE8"/>
    <w:rsid w:val="003B1AB5"/>
    <w:rsid w:val="003B1E98"/>
    <w:rsid w:val="003B22D9"/>
    <w:rsid w:val="003B3290"/>
    <w:rsid w:val="003B3755"/>
    <w:rsid w:val="003B38E1"/>
    <w:rsid w:val="003B4511"/>
    <w:rsid w:val="003B4805"/>
    <w:rsid w:val="003B4C27"/>
    <w:rsid w:val="003B5480"/>
    <w:rsid w:val="003B6F87"/>
    <w:rsid w:val="003B7255"/>
    <w:rsid w:val="003C0054"/>
    <w:rsid w:val="003C0082"/>
    <w:rsid w:val="003C0851"/>
    <w:rsid w:val="003C14AB"/>
    <w:rsid w:val="003C1E7C"/>
    <w:rsid w:val="003C1F8E"/>
    <w:rsid w:val="003C27A9"/>
    <w:rsid w:val="003C3EB4"/>
    <w:rsid w:val="003C4311"/>
    <w:rsid w:val="003C5714"/>
    <w:rsid w:val="003C668B"/>
    <w:rsid w:val="003C697D"/>
    <w:rsid w:val="003D0F0C"/>
    <w:rsid w:val="003D112D"/>
    <w:rsid w:val="003D1437"/>
    <w:rsid w:val="003D1F50"/>
    <w:rsid w:val="003D3212"/>
    <w:rsid w:val="003D3B7C"/>
    <w:rsid w:val="003D4DE4"/>
    <w:rsid w:val="003D629B"/>
    <w:rsid w:val="003D6FFA"/>
    <w:rsid w:val="003D72B6"/>
    <w:rsid w:val="003D77DE"/>
    <w:rsid w:val="003E0AE4"/>
    <w:rsid w:val="003E0D9F"/>
    <w:rsid w:val="003E19A0"/>
    <w:rsid w:val="003E2320"/>
    <w:rsid w:val="003E3231"/>
    <w:rsid w:val="003E3318"/>
    <w:rsid w:val="003E35F5"/>
    <w:rsid w:val="003E44CB"/>
    <w:rsid w:val="003E5B9A"/>
    <w:rsid w:val="003E5C6E"/>
    <w:rsid w:val="003E7DC5"/>
    <w:rsid w:val="003F0580"/>
    <w:rsid w:val="003F19B7"/>
    <w:rsid w:val="003F2938"/>
    <w:rsid w:val="003F4247"/>
    <w:rsid w:val="003F4644"/>
    <w:rsid w:val="003F4F88"/>
    <w:rsid w:val="003F501C"/>
    <w:rsid w:val="003F542B"/>
    <w:rsid w:val="003F6185"/>
    <w:rsid w:val="003F7462"/>
    <w:rsid w:val="003F7A81"/>
    <w:rsid w:val="00400273"/>
    <w:rsid w:val="00400310"/>
    <w:rsid w:val="00400415"/>
    <w:rsid w:val="00400908"/>
    <w:rsid w:val="00400F8F"/>
    <w:rsid w:val="00401075"/>
    <w:rsid w:val="00401B4B"/>
    <w:rsid w:val="004022B6"/>
    <w:rsid w:val="00403397"/>
    <w:rsid w:val="0040409F"/>
    <w:rsid w:val="00404202"/>
    <w:rsid w:val="00404477"/>
    <w:rsid w:val="004051F4"/>
    <w:rsid w:val="00405597"/>
    <w:rsid w:val="004056A0"/>
    <w:rsid w:val="0040667C"/>
    <w:rsid w:val="00406C2F"/>
    <w:rsid w:val="004071DA"/>
    <w:rsid w:val="00411DFA"/>
    <w:rsid w:val="0041210C"/>
    <w:rsid w:val="00412347"/>
    <w:rsid w:val="004126E3"/>
    <w:rsid w:val="00414D77"/>
    <w:rsid w:val="0041657D"/>
    <w:rsid w:val="00417073"/>
    <w:rsid w:val="00417626"/>
    <w:rsid w:val="00420862"/>
    <w:rsid w:val="00420880"/>
    <w:rsid w:val="00420F04"/>
    <w:rsid w:val="00420F05"/>
    <w:rsid w:val="00421009"/>
    <w:rsid w:val="004233F9"/>
    <w:rsid w:val="0042372A"/>
    <w:rsid w:val="00423DFB"/>
    <w:rsid w:val="0042552F"/>
    <w:rsid w:val="004259A8"/>
    <w:rsid w:val="00425ACB"/>
    <w:rsid w:val="00425E38"/>
    <w:rsid w:val="00426137"/>
    <w:rsid w:val="00427793"/>
    <w:rsid w:val="004277FA"/>
    <w:rsid w:val="00430020"/>
    <w:rsid w:val="004312E6"/>
    <w:rsid w:val="00431DC5"/>
    <w:rsid w:val="004347BF"/>
    <w:rsid w:val="00434EDB"/>
    <w:rsid w:val="00436108"/>
    <w:rsid w:val="004368E1"/>
    <w:rsid w:val="00436A1E"/>
    <w:rsid w:val="00437271"/>
    <w:rsid w:val="00437349"/>
    <w:rsid w:val="00437F68"/>
    <w:rsid w:val="00440010"/>
    <w:rsid w:val="00440E99"/>
    <w:rsid w:val="004412DC"/>
    <w:rsid w:val="00441691"/>
    <w:rsid w:val="004416E0"/>
    <w:rsid w:val="00441D5F"/>
    <w:rsid w:val="00442203"/>
    <w:rsid w:val="004440D6"/>
    <w:rsid w:val="0044451B"/>
    <w:rsid w:val="00446C23"/>
    <w:rsid w:val="00447598"/>
    <w:rsid w:val="00447F5D"/>
    <w:rsid w:val="004517F7"/>
    <w:rsid w:val="00451934"/>
    <w:rsid w:val="004522CD"/>
    <w:rsid w:val="004523C3"/>
    <w:rsid w:val="004533FB"/>
    <w:rsid w:val="00453DA2"/>
    <w:rsid w:val="00454103"/>
    <w:rsid w:val="00454F41"/>
    <w:rsid w:val="00455DFE"/>
    <w:rsid w:val="00456431"/>
    <w:rsid w:val="004569C9"/>
    <w:rsid w:val="00457964"/>
    <w:rsid w:val="00462691"/>
    <w:rsid w:val="004643AF"/>
    <w:rsid w:val="00464C62"/>
    <w:rsid w:val="00465867"/>
    <w:rsid w:val="00465A54"/>
    <w:rsid w:val="004677D8"/>
    <w:rsid w:val="004678E5"/>
    <w:rsid w:val="00467BFB"/>
    <w:rsid w:val="00470275"/>
    <w:rsid w:val="0047056E"/>
    <w:rsid w:val="00470A0B"/>
    <w:rsid w:val="00472927"/>
    <w:rsid w:val="00474121"/>
    <w:rsid w:val="004746B7"/>
    <w:rsid w:val="004747CB"/>
    <w:rsid w:val="0047497F"/>
    <w:rsid w:val="00474A2F"/>
    <w:rsid w:val="004753B1"/>
    <w:rsid w:val="00476556"/>
    <w:rsid w:val="00480228"/>
    <w:rsid w:val="004837E8"/>
    <w:rsid w:val="00484A3D"/>
    <w:rsid w:val="0048581D"/>
    <w:rsid w:val="004859C3"/>
    <w:rsid w:val="00485EDF"/>
    <w:rsid w:val="00486E2E"/>
    <w:rsid w:val="00490A1F"/>
    <w:rsid w:val="004924E2"/>
    <w:rsid w:val="0049282E"/>
    <w:rsid w:val="00493673"/>
    <w:rsid w:val="0049425B"/>
    <w:rsid w:val="00494369"/>
    <w:rsid w:val="004959A6"/>
    <w:rsid w:val="004967DA"/>
    <w:rsid w:val="004972CD"/>
    <w:rsid w:val="00497C2E"/>
    <w:rsid w:val="004A0510"/>
    <w:rsid w:val="004A11B8"/>
    <w:rsid w:val="004A19D0"/>
    <w:rsid w:val="004A2B4F"/>
    <w:rsid w:val="004A33E6"/>
    <w:rsid w:val="004A3A74"/>
    <w:rsid w:val="004A4749"/>
    <w:rsid w:val="004A59A2"/>
    <w:rsid w:val="004A6596"/>
    <w:rsid w:val="004A6E94"/>
    <w:rsid w:val="004A7ED0"/>
    <w:rsid w:val="004B0620"/>
    <w:rsid w:val="004B1CB6"/>
    <w:rsid w:val="004B2E17"/>
    <w:rsid w:val="004B31F5"/>
    <w:rsid w:val="004B361B"/>
    <w:rsid w:val="004B3907"/>
    <w:rsid w:val="004B42C6"/>
    <w:rsid w:val="004B46E7"/>
    <w:rsid w:val="004B4E67"/>
    <w:rsid w:val="004B4EF2"/>
    <w:rsid w:val="004B56B6"/>
    <w:rsid w:val="004B58B4"/>
    <w:rsid w:val="004B66E2"/>
    <w:rsid w:val="004B6A3D"/>
    <w:rsid w:val="004B6AA2"/>
    <w:rsid w:val="004B6B5A"/>
    <w:rsid w:val="004B7913"/>
    <w:rsid w:val="004B7CD4"/>
    <w:rsid w:val="004C14A4"/>
    <w:rsid w:val="004C1A76"/>
    <w:rsid w:val="004C2147"/>
    <w:rsid w:val="004C2568"/>
    <w:rsid w:val="004C2D18"/>
    <w:rsid w:val="004C3B47"/>
    <w:rsid w:val="004C3CC5"/>
    <w:rsid w:val="004C4C36"/>
    <w:rsid w:val="004C4D13"/>
    <w:rsid w:val="004C4D33"/>
    <w:rsid w:val="004C5A8D"/>
    <w:rsid w:val="004C5AEF"/>
    <w:rsid w:val="004C7472"/>
    <w:rsid w:val="004C77A5"/>
    <w:rsid w:val="004C7C47"/>
    <w:rsid w:val="004D1623"/>
    <w:rsid w:val="004D17B5"/>
    <w:rsid w:val="004D1CAF"/>
    <w:rsid w:val="004D1D4C"/>
    <w:rsid w:val="004D2D2B"/>
    <w:rsid w:val="004D2D7D"/>
    <w:rsid w:val="004D438D"/>
    <w:rsid w:val="004D6AA0"/>
    <w:rsid w:val="004D6EA3"/>
    <w:rsid w:val="004D7C5A"/>
    <w:rsid w:val="004E095F"/>
    <w:rsid w:val="004E0DC1"/>
    <w:rsid w:val="004E2742"/>
    <w:rsid w:val="004E2BA2"/>
    <w:rsid w:val="004E38DC"/>
    <w:rsid w:val="004E3AD2"/>
    <w:rsid w:val="004E4ECE"/>
    <w:rsid w:val="004E77BC"/>
    <w:rsid w:val="004E7C5E"/>
    <w:rsid w:val="004F053A"/>
    <w:rsid w:val="004F2BA1"/>
    <w:rsid w:val="004F30A4"/>
    <w:rsid w:val="004F3446"/>
    <w:rsid w:val="004F37A3"/>
    <w:rsid w:val="004F3A2F"/>
    <w:rsid w:val="004F47AC"/>
    <w:rsid w:val="004F4A10"/>
    <w:rsid w:val="004F50DF"/>
    <w:rsid w:val="004F5BA0"/>
    <w:rsid w:val="004F6640"/>
    <w:rsid w:val="004F6D0A"/>
    <w:rsid w:val="004F7516"/>
    <w:rsid w:val="00500450"/>
    <w:rsid w:val="00501D77"/>
    <w:rsid w:val="005023EE"/>
    <w:rsid w:val="005028A5"/>
    <w:rsid w:val="005032E8"/>
    <w:rsid w:val="00503AA1"/>
    <w:rsid w:val="00503CA8"/>
    <w:rsid w:val="005046CB"/>
    <w:rsid w:val="00504AEA"/>
    <w:rsid w:val="00505AFC"/>
    <w:rsid w:val="00505EA8"/>
    <w:rsid w:val="0050639A"/>
    <w:rsid w:val="005104EA"/>
    <w:rsid w:val="0051137A"/>
    <w:rsid w:val="00511759"/>
    <w:rsid w:val="00511C4D"/>
    <w:rsid w:val="005120AF"/>
    <w:rsid w:val="00512F35"/>
    <w:rsid w:val="00515F84"/>
    <w:rsid w:val="00516155"/>
    <w:rsid w:val="00516884"/>
    <w:rsid w:val="00516992"/>
    <w:rsid w:val="00516E92"/>
    <w:rsid w:val="00517721"/>
    <w:rsid w:val="0051796C"/>
    <w:rsid w:val="0052149F"/>
    <w:rsid w:val="00521B26"/>
    <w:rsid w:val="00522278"/>
    <w:rsid w:val="005225AC"/>
    <w:rsid w:val="005234C2"/>
    <w:rsid w:val="005235B8"/>
    <w:rsid w:val="00523933"/>
    <w:rsid w:val="00523E39"/>
    <w:rsid w:val="00524715"/>
    <w:rsid w:val="00525C56"/>
    <w:rsid w:val="00525D6E"/>
    <w:rsid w:val="00526742"/>
    <w:rsid w:val="00526D4A"/>
    <w:rsid w:val="0052721E"/>
    <w:rsid w:val="005275DB"/>
    <w:rsid w:val="0053063D"/>
    <w:rsid w:val="005315A7"/>
    <w:rsid w:val="005315E8"/>
    <w:rsid w:val="00534655"/>
    <w:rsid w:val="005353CA"/>
    <w:rsid w:val="0053654A"/>
    <w:rsid w:val="005379D8"/>
    <w:rsid w:val="00537DFF"/>
    <w:rsid w:val="00542966"/>
    <w:rsid w:val="00542E97"/>
    <w:rsid w:val="00543420"/>
    <w:rsid w:val="005437F7"/>
    <w:rsid w:val="0054439D"/>
    <w:rsid w:val="005455D7"/>
    <w:rsid w:val="0054613F"/>
    <w:rsid w:val="00546F02"/>
    <w:rsid w:val="0054726C"/>
    <w:rsid w:val="00547477"/>
    <w:rsid w:val="00550637"/>
    <w:rsid w:val="00550C15"/>
    <w:rsid w:val="00551E54"/>
    <w:rsid w:val="00551F07"/>
    <w:rsid w:val="00552A5B"/>
    <w:rsid w:val="00552AAE"/>
    <w:rsid w:val="00552E9A"/>
    <w:rsid w:val="00552F5A"/>
    <w:rsid w:val="00553A9F"/>
    <w:rsid w:val="00553C31"/>
    <w:rsid w:val="0055402A"/>
    <w:rsid w:val="00555666"/>
    <w:rsid w:val="005557AE"/>
    <w:rsid w:val="00555F03"/>
    <w:rsid w:val="005563F8"/>
    <w:rsid w:val="00556F9E"/>
    <w:rsid w:val="0055769A"/>
    <w:rsid w:val="0055784D"/>
    <w:rsid w:val="005603D7"/>
    <w:rsid w:val="00560776"/>
    <w:rsid w:val="005608CF"/>
    <w:rsid w:val="005641DC"/>
    <w:rsid w:val="005651F2"/>
    <w:rsid w:val="005658A2"/>
    <w:rsid w:val="00566BF2"/>
    <w:rsid w:val="00566C37"/>
    <w:rsid w:val="00567382"/>
    <w:rsid w:val="00567D92"/>
    <w:rsid w:val="00567FBF"/>
    <w:rsid w:val="0057020D"/>
    <w:rsid w:val="005710B2"/>
    <w:rsid w:val="005715A3"/>
    <w:rsid w:val="00572615"/>
    <w:rsid w:val="005754FE"/>
    <w:rsid w:val="005758DC"/>
    <w:rsid w:val="00575EC8"/>
    <w:rsid w:val="005770E1"/>
    <w:rsid w:val="00577D3B"/>
    <w:rsid w:val="005816DE"/>
    <w:rsid w:val="00581FB9"/>
    <w:rsid w:val="00582FB0"/>
    <w:rsid w:val="00583ED8"/>
    <w:rsid w:val="0058438F"/>
    <w:rsid w:val="00584768"/>
    <w:rsid w:val="00584F7A"/>
    <w:rsid w:val="005851AD"/>
    <w:rsid w:val="00585965"/>
    <w:rsid w:val="00585C10"/>
    <w:rsid w:val="00585D18"/>
    <w:rsid w:val="0058630E"/>
    <w:rsid w:val="0058677B"/>
    <w:rsid w:val="0058691E"/>
    <w:rsid w:val="00586DE8"/>
    <w:rsid w:val="005873E6"/>
    <w:rsid w:val="005876D8"/>
    <w:rsid w:val="00587B22"/>
    <w:rsid w:val="00590091"/>
    <w:rsid w:val="0059018C"/>
    <w:rsid w:val="00591013"/>
    <w:rsid w:val="0059168E"/>
    <w:rsid w:val="00591D1A"/>
    <w:rsid w:val="00591E80"/>
    <w:rsid w:val="00591F7F"/>
    <w:rsid w:val="0059341D"/>
    <w:rsid w:val="0059553F"/>
    <w:rsid w:val="00595B7E"/>
    <w:rsid w:val="005A0586"/>
    <w:rsid w:val="005A0A1E"/>
    <w:rsid w:val="005A1647"/>
    <w:rsid w:val="005A1CBA"/>
    <w:rsid w:val="005A1F42"/>
    <w:rsid w:val="005A5A14"/>
    <w:rsid w:val="005A5B77"/>
    <w:rsid w:val="005A616A"/>
    <w:rsid w:val="005A61DE"/>
    <w:rsid w:val="005A6B6C"/>
    <w:rsid w:val="005A6EE5"/>
    <w:rsid w:val="005A7F00"/>
    <w:rsid w:val="005B0EA2"/>
    <w:rsid w:val="005B0F9A"/>
    <w:rsid w:val="005B16D0"/>
    <w:rsid w:val="005B1B0E"/>
    <w:rsid w:val="005B2D82"/>
    <w:rsid w:val="005B3818"/>
    <w:rsid w:val="005B4A9B"/>
    <w:rsid w:val="005B4B72"/>
    <w:rsid w:val="005B52B1"/>
    <w:rsid w:val="005B5AEB"/>
    <w:rsid w:val="005B632E"/>
    <w:rsid w:val="005C000F"/>
    <w:rsid w:val="005C0220"/>
    <w:rsid w:val="005C08FA"/>
    <w:rsid w:val="005C0FF2"/>
    <w:rsid w:val="005C10F2"/>
    <w:rsid w:val="005C329C"/>
    <w:rsid w:val="005C3E17"/>
    <w:rsid w:val="005C3F5D"/>
    <w:rsid w:val="005C7217"/>
    <w:rsid w:val="005C75BB"/>
    <w:rsid w:val="005C7AA2"/>
    <w:rsid w:val="005C7F86"/>
    <w:rsid w:val="005D11A1"/>
    <w:rsid w:val="005D1258"/>
    <w:rsid w:val="005D1439"/>
    <w:rsid w:val="005D19F4"/>
    <w:rsid w:val="005D2681"/>
    <w:rsid w:val="005D280C"/>
    <w:rsid w:val="005D2B28"/>
    <w:rsid w:val="005D3DE5"/>
    <w:rsid w:val="005D42E1"/>
    <w:rsid w:val="005D5CFF"/>
    <w:rsid w:val="005D6703"/>
    <w:rsid w:val="005D684B"/>
    <w:rsid w:val="005D691C"/>
    <w:rsid w:val="005D6DAB"/>
    <w:rsid w:val="005D72BC"/>
    <w:rsid w:val="005D7715"/>
    <w:rsid w:val="005D7BAC"/>
    <w:rsid w:val="005D7E15"/>
    <w:rsid w:val="005E0927"/>
    <w:rsid w:val="005E0EB8"/>
    <w:rsid w:val="005E1042"/>
    <w:rsid w:val="005E287F"/>
    <w:rsid w:val="005E290B"/>
    <w:rsid w:val="005E435F"/>
    <w:rsid w:val="005E56ED"/>
    <w:rsid w:val="005E61DB"/>
    <w:rsid w:val="005E7422"/>
    <w:rsid w:val="005F038E"/>
    <w:rsid w:val="005F2618"/>
    <w:rsid w:val="005F28F4"/>
    <w:rsid w:val="005F39AC"/>
    <w:rsid w:val="005F6B77"/>
    <w:rsid w:val="005F711B"/>
    <w:rsid w:val="006003EE"/>
    <w:rsid w:val="00601283"/>
    <w:rsid w:val="006032BD"/>
    <w:rsid w:val="00605136"/>
    <w:rsid w:val="0060560B"/>
    <w:rsid w:val="00606299"/>
    <w:rsid w:val="006063A3"/>
    <w:rsid w:val="00606464"/>
    <w:rsid w:val="00606E5C"/>
    <w:rsid w:val="0060753A"/>
    <w:rsid w:val="00610DCC"/>
    <w:rsid w:val="006111BE"/>
    <w:rsid w:val="00611919"/>
    <w:rsid w:val="006120A9"/>
    <w:rsid w:val="00612B04"/>
    <w:rsid w:val="00612BE6"/>
    <w:rsid w:val="00612C73"/>
    <w:rsid w:val="00612C9E"/>
    <w:rsid w:val="006135BE"/>
    <w:rsid w:val="00614082"/>
    <w:rsid w:val="00614B06"/>
    <w:rsid w:val="00614DE1"/>
    <w:rsid w:val="006169D0"/>
    <w:rsid w:val="00616C8F"/>
    <w:rsid w:val="00616EAA"/>
    <w:rsid w:val="00616F20"/>
    <w:rsid w:val="006173FF"/>
    <w:rsid w:val="0062060B"/>
    <w:rsid w:val="00620DAA"/>
    <w:rsid w:val="00621870"/>
    <w:rsid w:val="00623C3E"/>
    <w:rsid w:val="006241F4"/>
    <w:rsid w:val="00626234"/>
    <w:rsid w:val="00626F27"/>
    <w:rsid w:val="0062750D"/>
    <w:rsid w:val="00627813"/>
    <w:rsid w:val="00627935"/>
    <w:rsid w:val="00630270"/>
    <w:rsid w:val="00630CE7"/>
    <w:rsid w:val="00632882"/>
    <w:rsid w:val="00633123"/>
    <w:rsid w:val="00633FA7"/>
    <w:rsid w:val="006345DE"/>
    <w:rsid w:val="006350BB"/>
    <w:rsid w:val="00635437"/>
    <w:rsid w:val="00635F76"/>
    <w:rsid w:val="00636EB5"/>
    <w:rsid w:val="0064023F"/>
    <w:rsid w:val="006402E6"/>
    <w:rsid w:val="00641D8C"/>
    <w:rsid w:val="0064295B"/>
    <w:rsid w:val="00643045"/>
    <w:rsid w:val="00644561"/>
    <w:rsid w:val="0064486A"/>
    <w:rsid w:val="0064574D"/>
    <w:rsid w:val="00645C78"/>
    <w:rsid w:val="00646470"/>
    <w:rsid w:val="00646570"/>
    <w:rsid w:val="00647C43"/>
    <w:rsid w:val="006501AD"/>
    <w:rsid w:val="006502DF"/>
    <w:rsid w:val="00650CA1"/>
    <w:rsid w:val="00650EC4"/>
    <w:rsid w:val="00651063"/>
    <w:rsid w:val="006510D1"/>
    <w:rsid w:val="00651896"/>
    <w:rsid w:val="006522AB"/>
    <w:rsid w:val="00652426"/>
    <w:rsid w:val="00653D58"/>
    <w:rsid w:val="006540B4"/>
    <w:rsid w:val="006546D9"/>
    <w:rsid w:val="0065519A"/>
    <w:rsid w:val="00655D7D"/>
    <w:rsid w:val="00657123"/>
    <w:rsid w:val="0065793E"/>
    <w:rsid w:val="0066061F"/>
    <w:rsid w:val="00661DB1"/>
    <w:rsid w:val="00662034"/>
    <w:rsid w:val="006622F0"/>
    <w:rsid w:val="00662776"/>
    <w:rsid w:val="00665609"/>
    <w:rsid w:val="00666233"/>
    <w:rsid w:val="006666FB"/>
    <w:rsid w:val="00666D76"/>
    <w:rsid w:val="0066748C"/>
    <w:rsid w:val="0066780A"/>
    <w:rsid w:val="00667C90"/>
    <w:rsid w:val="00667F67"/>
    <w:rsid w:val="006708E4"/>
    <w:rsid w:val="00670BD0"/>
    <w:rsid w:val="006717E5"/>
    <w:rsid w:val="006733AC"/>
    <w:rsid w:val="006738C0"/>
    <w:rsid w:val="00674000"/>
    <w:rsid w:val="006747D0"/>
    <w:rsid w:val="00676580"/>
    <w:rsid w:val="00676BDE"/>
    <w:rsid w:val="006776B1"/>
    <w:rsid w:val="00677EB4"/>
    <w:rsid w:val="00680D56"/>
    <w:rsid w:val="00680E92"/>
    <w:rsid w:val="00680EB1"/>
    <w:rsid w:val="00680F34"/>
    <w:rsid w:val="00680F87"/>
    <w:rsid w:val="006815B2"/>
    <w:rsid w:val="00681652"/>
    <w:rsid w:val="006816D6"/>
    <w:rsid w:val="00682060"/>
    <w:rsid w:val="006820AD"/>
    <w:rsid w:val="006825D3"/>
    <w:rsid w:val="006826F0"/>
    <w:rsid w:val="00682A5F"/>
    <w:rsid w:val="00682AC8"/>
    <w:rsid w:val="00682BF1"/>
    <w:rsid w:val="00683B04"/>
    <w:rsid w:val="0068510B"/>
    <w:rsid w:val="006860BD"/>
    <w:rsid w:val="006867FC"/>
    <w:rsid w:val="00686EF5"/>
    <w:rsid w:val="00687E71"/>
    <w:rsid w:val="006902C6"/>
    <w:rsid w:val="00690343"/>
    <w:rsid w:val="00690566"/>
    <w:rsid w:val="00691435"/>
    <w:rsid w:val="0069289B"/>
    <w:rsid w:val="00692A40"/>
    <w:rsid w:val="00692E98"/>
    <w:rsid w:val="00693EA5"/>
    <w:rsid w:val="00694356"/>
    <w:rsid w:val="006959B9"/>
    <w:rsid w:val="00695A3E"/>
    <w:rsid w:val="006A0565"/>
    <w:rsid w:val="006A0C8E"/>
    <w:rsid w:val="006A357E"/>
    <w:rsid w:val="006A45A1"/>
    <w:rsid w:val="006A4E33"/>
    <w:rsid w:val="006A4F31"/>
    <w:rsid w:val="006A6791"/>
    <w:rsid w:val="006A7FB3"/>
    <w:rsid w:val="006A7FB6"/>
    <w:rsid w:val="006B12A9"/>
    <w:rsid w:val="006B2816"/>
    <w:rsid w:val="006B2B81"/>
    <w:rsid w:val="006B301B"/>
    <w:rsid w:val="006B3179"/>
    <w:rsid w:val="006B3693"/>
    <w:rsid w:val="006B417D"/>
    <w:rsid w:val="006B43B6"/>
    <w:rsid w:val="006B61D1"/>
    <w:rsid w:val="006B6634"/>
    <w:rsid w:val="006B728F"/>
    <w:rsid w:val="006B7390"/>
    <w:rsid w:val="006B73C5"/>
    <w:rsid w:val="006B7567"/>
    <w:rsid w:val="006B791C"/>
    <w:rsid w:val="006B7F76"/>
    <w:rsid w:val="006C0E08"/>
    <w:rsid w:val="006C24BA"/>
    <w:rsid w:val="006C2713"/>
    <w:rsid w:val="006C28C6"/>
    <w:rsid w:val="006C296F"/>
    <w:rsid w:val="006C34E1"/>
    <w:rsid w:val="006C434D"/>
    <w:rsid w:val="006C54C8"/>
    <w:rsid w:val="006C5CD3"/>
    <w:rsid w:val="006C5DBB"/>
    <w:rsid w:val="006C70BC"/>
    <w:rsid w:val="006D1830"/>
    <w:rsid w:val="006D1852"/>
    <w:rsid w:val="006D2D0E"/>
    <w:rsid w:val="006D3C2E"/>
    <w:rsid w:val="006D3DC3"/>
    <w:rsid w:val="006D4E10"/>
    <w:rsid w:val="006D539E"/>
    <w:rsid w:val="006D5790"/>
    <w:rsid w:val="006D634E"/>
    <w:rsid w:val="006D73C5"/>
    <w:rsid w:val="006D7AEE"/>
    <w:rsid w:val="006E0459"/>
    <w:rsid w:val="006E0F4A"/>
    <w:rsid w:val="006E15FD"/>
    <w:rsid w:val="006E1B6F"/>
    <w:rsid w:val="006E1F2C"/>
    <w:rsid w:val="006E280B"/>
    <w:rsid w:val="006E2BAA"/>
    <w:rsid w:val="006E31F1"/>
    <w:rsid w:val="006E3610"/>
    <w:rsid w:val="006E3645"/>
    <w:rsid w:val="006E3819"/>
    <w:rsid w:val="006E3977"/>
    <w:rsid w:val="006E3EA3"/>
    <w:rsid w:val="006E4886"/>
    <w:rsid w:val="006E509B"/>
    <w:rsid w:val="006E52AF"/>
    <w:rsid w:val="006E57C3"/>
    <w:rsid w:val="006E5B7C"/>
    <w:rsid w:val="006E5D7F"/>
    <w:rsid w:val="006E6343"/>
    <w:rsid w:val="006E6C7E"/>
    <w:rsid w:val="006E7778"/>
    <w:rsid w:val="006F1897"/>
    <w:rsid w:val="006F19FC"/>
    <w:rsid w:val="006F27B7"/>
    <w:rsid w:val="006F5489"/>
    <w:rsid w:val="006F6C06"/>
    <w:rsid w:val="006F6C39"/>
    <w:rsid w:val="006F6F4D"/>
    <w:rsid w:val="006F72D9"/>
    <w:rsid w:val="006F74F3"/>
    <w:rsid w:val="006F7C16"/>
    <w:rsid w:val="006F7F83"/>
    <w:rsid w:val="00700FDE"/>
    <w:rsid w:val="00701060"/>
    <w:rsid w:val="00703469"/>
    <w:rsid w:val="00703CB9"/>
    <w:rsid w:val="00703E8A"/>
    <w:rsid w:val="00705EC0"/>
    <w:rsid w:val="00706597"/>
    <w:rsid w:val="007068BA"/>
    <w:rsid w:val="00707B59"/>
    <w:rsid w:val="00710A76"/>
    <w:rsid w:val="0071161C"/>
    <w:rsid w:val="00712E46"/>
    <w:rsid w:val="00712ECF"/>
    <w:rsid w:val="00712F37"/>
    <w:rsid w:val="00712FF3"/>
    <w:rsid w:val="00713334"/>
    <w:rsid w:val="00714879"/>
    <w:rsid w:val="007159D8"/>
    <w:rsid w:val="00715CC6"/>
    <w:rsid w:val="00716115"/>
    <w:rsid w:val="00716B69"/>
    <w:rsid w:val="00716BBC"/>
    <w:rsid w:val="00717DB9"/>
    <w:rsid w:val="007210BF"/>
    <w:rsid w:val="007211A6"/>
    <w:rsid w:val="00721582"/>
    <w:rsid w:val="00721705"/>
    <w:rsid w:val="00721914"/>
    <w:rsid w:val="00721D7C"/>
    <w:rsid w:val="00723576"/>
    <w:rsid w:val="007236E6"/>
    <w:rsid w:val="0072427E"/>
    <w:rsid w:val="0073057D"/>
    <w:rsid w:val="00730609"/>
    <w:rsid w:val="00731DA2"/>
    <w:rsid w:val="0073276D"/>
    <w:rsid w:val="00734122"/>
    <w:rsid w:val="007351ED"/>
    <w:rsid w:val="007352A4"/>
    <w:rsid w:val="007356CA"/>
    <w:rsid w:val="00736330"/>
    <w:rsid w:val="00736FE3"/>
    <w:rsid w:val="00737F15"/>
    <w:rsid w:val="0074082A"/>
    <w:rsid w:val="007423F5"/>
    <w:rsid w:val="0074240B"/>
    <w:rsid w:val="00742877"/>
    <w:rsid w:val="00742A5D"/>
    <w:rsid w:val="0074393D"/>
    <w:rsid w:val="00743991"/>
    <w:rsid w:val="00743B35"/>
    <w:rsid w:val="00746A4D"/>
    <w:rsid w:val="00746AD4"/>
    <w:rsid w:val="00750B7E"/>
    <w:rsid w:val="00750DAB"/>
    <w:rsid w:val="007515C4"/>
    <w:rsid w:val="007522B7"/>
    <w:rsid w:val="0075277D"/>
    <w:rsid w:val="007540CC"/>
    <w:rsid w:val="00755A08"/>
    <w:rsid w:val="00756231"/>
    <w:rsid w:val="00756FC9"/>
    <w:rsid w:val="00757287"/>
    <w:rsid w:val="00757D3C"/>
    <w:rsid w:val="007604E9"/>
    <w:rsid w:val="00761169"/>
    <w:rsid w:val="007616FE"/>
    <w:rsid w:val="00762466"/>
    <w:rsid w:val="00763ECA"/>
    <w:rsid w:val="00763F24"/>
    <w:rsid w:val="00764145"/>
    <w:rsid w:val="00764146"/>
    <w:rsid w:val="007646F7"/>
    <w:rsid w:val="00764BF3"/>
    <w:rsid w:val="00764DB9"/>
    <w:rsid w:val="00765921"/>
    <w:rsid w:val="00765FEE"/>
    <w:rsid w:val="0076635D"/>
    <w:rsid w:val="007663CC"/>
    <w:rsid w:val="00766A8D"/>
    <w:rsid w:val="00766C89"/>
    <w:rsid w:val="00766D98"/>
    <w:rsid w:val="007673B6"/>
    <w:rsid w:val="007674EA"/>
    <w:rsid w:val="007707AA"/>
    <w:rsid w:val="007735A2"/>
    <w:rsid w:val="00774962"/>
    <w:rsid w:val="007756A5"/>
    <w:rsid w:val="00775CFA"/>
    <w:rsid w:val="00775F64"/>
    <w:rsid w:val="0077655D"/>
    <w:rsid w:val="00776908"/>
    <w:rsid w:val="00776970"/>
    <w:rsid w:val="0077765A"/>
    <w:rsid w:val="00777FC5"/>
    <w:rsid w:val="0078000F"/>
    <w:rsid w:val="00780A13"/>
    <w:rsid w:val="00780DCA"/>
    <w:rsid w:val="00781660"/>
    <w:rsid w:val="007818C9"/>
    <w:rsid w:val="00781A2E"/>
    <w:rsid w:val="00781F63"/>
    <w:rsid w:val="007825CA"/>
    <w:rsid w:val="00782920"/>
    <w:rsid w:val="00782C13"/>
    <w:rsid w:val="007865E1"/>
    <w:rsid w:val="007866F2"/>
    <w:rsid w:val="0078765B"/>
    <w:rsid w:val="00790515"/>
    <w:rsid w:val="00790535"/>
    <w:rsid w:val="00790706"/>
    <w:rsid w:val="007908C5"/>
    <w:rsid w:val="00792631"/>
    <w:rsid w:val="007944F2"/>
    <w:rsid w:val="00794817"/>
    <w:rsid w:val="007953C7"/>
    <w:rsid w:val="00795631"/>
    <w:rsid w:val="007963C3"/>
    <w:rsid w:val="00797E54"/>
    <w:rsid w:val="007A009E"/>
    <w:rsid w:val="007A01F7"/>
    <w:rsid w:val="007A0A7F"/>
    <w:rsid w:val="007A0F8C"/>
    <w:rsid w:val="007A11D9"/>
    <w:rsid w:val="007A13C0"/>
    <w:rsid w:val="007A2A20"/>
    <w:rsid w:val="007A2AC5"/>
    <w:rsid w:val="007A34B2"/>
    <w:rsid w:val="007A3B5E"/>
    <w:rsid w:val="007A4081"/>
    <w:rsid w:val="007A4490"/>
    <w:rsid w:val="007A4EE5"/>
    <w:rsid w:val="007A4F56"/>
    <w:rsid w:val="007A5802"/>
    <w:rsid w:val="007A6723"/>
    <w:rsid w:val="007A6C49"/>
    <w:rsid w:val="007A6DE1"/>
    <w:rsid w:val="007A7069"/>
    <w:rsid w:val="007A70D1"/>
    <w:rsid w:val="007A7526"/>
    <w:rsid w:val="007A7C36"/>
    <w:rsid w:val="007B100D"/>
    <w:rsid w:val="007B1854"/>
    <w:rsid w:val="007B283B"/>
    <w:rsid w:val="007B2F12"/>
    <w:rsid w:val="007B5447"/>
    <w:rsid w:val="007B55B0"/>
    <w:rsid w:val="007B5E51"/>
    <w:rsid w:val="007B5FA8"/>
    <w:rsid w:val="007B6900"/>
    <w:rsid w:val="007B7884"/>
    <w:rsid w:val="007C0294"/>
    <w:rsid w:val="007C12CC"/>
    <w:rsid w:val="007C3145"/>
    <w:rsid w:val="007C3B0F"/>
    <w:rsid w:val="007C3FA3"/>
    <w:rsid w:val="007C4ED7"/>
    <w:rsid w:val="007C563E"/>
    <w:rsid w:val="007C6221"/>
    <w:rsid w:val="007C6284"/>
    <w:rsid w:val="007C72F7"/>
    <w:rsid w:val="007D0EAB"/>
    <w:rsid w:val="007D11E2"/>
    <w:rsid w:val="007D2B50"/>
    <w:rsid w:val="007D39E5"/>
    <w:rsid w:val="007D425A"/>
    <w:rsid w:val="007D4567"/>
    <w:rsid w:val="007D54E9"/>
    <w:rsid w:val="007D57DE"/>
    <w:rsid w:val="007D5A19"/>
    <w:rsid w:val="007D5E50"/>
    <w:rsid w:val="007D646B"/>
    <w:rsid w:val="007D7E0F"/>
    <w:rsid w:val="007E10CF"/>
    <w:rsid w:val="007E193D"/>
    <w:rsid w:val="007E31A6"/>
    <w:rsid w:val="007E37B8"/>
    <w:rsid w:val="007E37E9"/>
    <w:rsid w:val="007E407A"/>
    <w:rsid w:val="007E4716"/>
    <w:rsid w:val="007E4AA5"/>
    <w:rsid w:val="007E4F90"/>
    <w:rsid w:val="007E5C03"/>
    <w:rsid w:val="007E6F72"/>
    <w:rsid w:val="007E70A7"/>
    <w:rsid w:val="007E7D58"/>
    <w:rsid w:val="007F00ED"/>
    <w:rsid w:val="007F0443"/>
    <w:rsid w:val="007F0660"/>
    <w:rsid w:val="007F10E4"/>
    <w:rsid w:val="007F12DD"/>
    <w:rsid w:val="007F18A2"/>
    <w:rsid w:val="007F2009"/>
    <w:rsid w:val="007F2474"/>
    <w:rsid w:val="007F3381"/>
    <w:rsid w:val="007F5187"/>
    <w:rsid w:val="007F5FAD"/>
    <w:rsid w:val="007F620C"/>
    <w:rsid w:val="007F6D36"/>
    <w:rsid w:val="007F6FC1"/>
    <w:rsid w:val="008004E8"/>
    <w:rsid w:val="0080168C"/>
    <w:rsid w:val="00801B04"/>
    <w:rsid w:val="00801B05"/>
    <w:rsid w:val="008025D3"/>
    <w:rsid w:val="008042A5"/>
    <w:rsid w:val="00804AD6"/>
    <w:rsid w:val="00805176"/>
    <w:rsid w:val="00806441"/>
    <w:rsid w:val="008067DA"/>
    <w:rsid w:val="00806D1B"/>
    <w:rsid w:val="00806E62"/>
    <w:rsid w:val="00807A32"/>
    <w:rsid w:val="00807BB1"/>
    <w:rsid w:val="008102C8"/>
    <w:rsid w:val="00810600"/>
    <w:rsid w:val="00810C97"/>
    <w:rsid w:val="008127C3"/>
    <w:rsid w:val="008134EF"/>
    <w:rsid w:val="008139F7"/>
    <w:rsid w:val="00813B77"/>
    <w:rsid w:val="00814180"/>
    <w:rsid w:val="008159D7"/>
    <w:rsid w:val="0081678D"/>
    <w:rsid w:val="00816AC0"/>
    <w:rsid w:val="0081715B"/>
    <w:rsid w:val="0081750A"/>
    <w:rsid w:val="00817C5D"/>
    <w:rsid w:val="00817D26"/>
    <w:rsid w:val="00817F70"/>
    <w:rsid w:val="008204D0"/>
    <w:rsid w:val="00820E37"/>
    <w:rsid w:val="008213E1"/>
    <w:rsid w:val="0082146A"/>
    <w:rsid w:val="00821A14"/>
    <w:rsid w:val="00821FBB"/>
    <w:rsid w:val="008265AD"/>
    <w:rsid w:val="008266FA"/>
    <w:rsid w:val="00826760"/>
    <w:rsid w:val="0082770E"/>
    <w:rsid w:val="00830484"/>
    <w:rsid w:val="00830A98"/>
    <w:rsid w:val="00831298"/>
    <w:rsid w:val="00831330"/>
    <w:rsid w:val="00831AF4"/>
    <w:rsid w:val="00835E74"/>
    <w:rsid w:val="0083636F"/>
    <w:rsid w:val="008373DB"/>
    <w:rsid w:val="00837BC6"/>
    <w:rsid w:val="00837F2C"/>
    <w:rsid w:val="00840B26"/>
    <w:rsid w:val="00840D1C"/>
    <w:rsid w:val="00841CA6"/>
    <w:rsid w:val="00843267"/>
    <w:rsid w:val="00843A50"/>
    <w:rsid w:val="00843C8D"/>
    <w:rsid w:val="00844361"/>
    <w:rsid w:val="00844B91"/>
    <w:rsid w:val="00845524"/>
    <w:rsid w:val="00845FA4"/>
    <w:rsid w:val="00846B4C"/>
    <w:rsid w:val="00847024"/>
    <w:rsid w:val="0084721F"/>
    <w:rsid w:val="00847236"/>
    <w:rsid w:val="0084755F"/>
    <w:rsid w:val="00847DB2"/>
    <w:rsid w:val="0085000F"/>
    <w:rsid w:val="00850478"/>
    <w:rsid w:val="008510BC"/>
    <w:rsid w:val="00851335"/>
    <w:rsid w:val="00851643"/>
    <w:rsid w:val="00851C3C"/>
    <w:rsid w:val="00851D92"/>
    <w:rsid w:val="00852BC0"/>
    <w:rsid w:val="00852C47"/>
    <w:rsid w:val="00852E08"/>
    <w:rsid w:val="00853448"/>
    <w:rsid w:val="00853A63"/>
    <w:rsid w:val="00855B24"/>
    <w:rsid w:val="00857EA5"/>
    <w:rsid w:val="00861046"/>
    <w:rsid w:val="00861D2F"/>
    <w:rsid w:val="0086249A"/>
    <w:rsid w:val="00862A2B"/>
    <w:rsid w:val="00862CE4"/>
    <w:rsid w:val="00863B9D"/>
    <w:rsid w:val="00863D0E"/>
    <w:rsid w:val="008641CE"/>
    <w:rsid w:val="00864704"/>
    <w:rsid w:val="00865464"/>
    <w:rsid w:val="008654C1"/>
    <w:rsid w:val="00865541"/>
    <w:rsid w:val="00866BB2"/>
    <w:rsid w:val="0087069A"/>
    <w:rsid w:val="008708ED"/>
    <w:rsid w:val="0087135D"/>
    <w:rsid w:val="00874451"/>
    <w:rsid w:val="00875714"/>
    <w:rsid w:val="00876819"/>
    <w:rsid w:val="00877038"/>
    <w:rsid w:val="00882E0C"/>
    <w:rsid w:val="008834FA"/>
    <w:rsid w:val="00883994"/>
    <w:rsid w:val="008852C6"/>
    <w:rsid w:val="00885426"/>
    <w:rsid w:val="00885488"/>
    <w:rsid w:val="00887745"/>
    <w:rsid w:val="00887A37"/>
    <w:rsid w:val="0089446A"/>
    <w:rsid w:val="008944AF"/>
    <w:rsid w:val="00894991"/>
    <w:rsid w:val="00895782"/>
    <w:rsid w:val="0089587E"/>
    <w:rsid w:val="00895DAA"/>
    <w:rsid w:val="008970D5"/>
    <w:rsid w:val="008972FC"/>
    <w:rsid w:val="0089762B"/>
    <w:rsid w:val="00897B8F"/>
    <w:rsid w:val="008A00E3"/>
    <w:rsid w:val="008A0B92"/>
    <w:rsid w:val="008A1079"/>
    <w:rsid w:val="008A1875"/>
    <w:rsid w:val="008A2804"/>
    <w:rsid w:val="008A2A32"/>
    <w:rsid w:val="008A3B23"/>
    <w:rsid w:val="008A3E63"/>
    <w:rsid w:val="008A4078"/>
    <w:rsid w:val="008A4CF2"/>
    <w:rsid w:val="008A51A9"/>
    <w:rsid w:val="008A54EE"/>
    <w:rsid w:val="008A54F6"/>
    <w:rsid w:val="008A6ECA"/>
    <w:rsid w:val="008A7E5E"/>
    <w:rsid w:val="008B0085"/>
    <w:rsid w:val="008B0504"/>
    <w:rsid w:val="008B05FF"/>
    <w:rsid w:val="008B10D8"/>
    <w:rsid w:val="008B137E"/>
    <w:rsid w:val="008B1CA6"/>
    <w:rsid w:val="008B20CA"/>
    <w:rsid w:val="008B2B51"/>
    <w:rsid w:val="008B346E"/>
    <w:rsid w:val="008B37D6"/>
    <w:rsid w:val="008B4E2A"/>
    <w:rsid w:val="008B5136"/>
    <w:rsid w:val="008B68FD"/>
    <w:rsid w:val="008B7496"/>
    <w:rsid w:val="008B7D99"/>
    <w:rsid w:val="008B7DFB"/>
    <w:rsid w:val="008C0731"/>
    <w:rsid w:val="008C248D"/>
    <w:rsid w:val="008C2E09"/>
    <w:rsid w:val="008C32D0"/>
    <w:rsid w:val="008C3677"/>
    <w:rsid w:val="008C3970"/>
    <w:rsid w:val="008C44F4"/>
    <w:rsid w:val="008C48F8"/>
    <w:rsid w:val="008C65FB"/>
    <w:rsid w:val="008C727A"/>
    <w:rsid w:val="008D0590"/>
    <w:rsid w:val="008D06E1"/>
    <w:rsid w:val="008D3C61"/>
    <w:rsid w:val="008D4334"/>
    <w:rsid w:val="008D4DE9"/>
    <w:rsid w:val="008D5BDE"/>
    <w:rsid w:val="008D6485"/>
    <w:rsid w:val="008D706D"/>
    <w:rsid w:val="008E1553"/>
    <w:rsid w:val="008E17C5"/>
    <w:rsid w:val="008E1ADA"/>
    <w:rsid w:val="008E1C35"/>
    <w:rsid w:val="008E2427"/>
    <w:rsid w:val="008E3308"/>
    <w:rsid w:val="008E37B1"/>
    <w:rsid w:val="008E46ED"/>
    <w:rsid w:val="008E4D26"/>
    <w:rsid w:val="008E5112"/>
    <w:rsid w:val="008E512D"/>
    <w:rsid w:val="008E5176"/>
    <w:rsid w:val="008E587D"/>
    <w:rsid w:val="008E5891"/>
    <w:rsid w:val="008E5F09"/>
    <w:rsid w:val="008E67CE"/>
    <w:rsid w:val="008F136A"/>
    <w:rsid w:val="008F1A08"/>
    <w:rsid w:val="008F1DDA"/>
    <w:rsid w:val="008F2108"/>
    <w:rsid w:val="008F2873"/>
    <w:rsid w:val="008F29A9"/>
    <w:rsid w:val="008F2AF8"/>
    <w:rsid w:val="008F39B8"/>
    <w:rsid w:val="008F40AA"/>
    <w:rsid w:val="008F413B"/>
    <w:rsid w:val="008F6B8B"/>
    <w:rsid w:val="008F6FD9"/>
    <w:rsid w:val="00901748"/>
    <w:rsid w:val="009018E5"/>
    <w:rsid w:val="009019CF"/>
    <w:rsid w:val="00901C1E"/>
    <w:rsid w:val="00902CF4"/>
    <w:rsid w:val="0090478A"/>
    <w:rsid w:val="009056D3"/>
    <w:rsid w:val="00905841"/>
    <w:rsid w:val="00905D35"/>
    <w:rsid w:val="00906057"/>
    <w:rsid w:val="00907D77"/>
    <w:rsid w:val="0091046D"/>
    <w:rsid w:val="00910F99"/>
    <w:rsid w:val="0091347C"/>
    <w:rsid w:val="00914BDD"/>
    <w:rsid w:val="00914CBA"/>
    <w:rsid w:val="00915903"/>
    <w:rsid w:val="00916557"/>
    <w:rsid w:val="0091761E"/>
    <w:rsid w:val="0092002A"/>
    <w:rsid w:val="00920FF1"/>
    <w:rsid w:val="009213CD"/>
    <w:rsid w:val="00921695"/>
    <w:rsid w:val="009221E3"/>
    <w:rsid w:val="0092358B"/>
    <w:rsid w:val="009235E0"/>
    <w:rsid w:val="00923CF5"/>
    <w:rsid w:val="0092435B"/>
    <w:rsid w:val="00924A8B"/>
    <w:rsid w:val="0092521F"/>
    <w:rsid w:val="00925280"/>
    <w:rsid w:val="0092555F"/>
    <w:rsid w:val="009269C5"/>
    <w:rsid w:val="00926E97"/>
    <w:rsid w:val="0092700A"/>
    <w:rsid w:val="00927144"/>
    <w:rsid w:val="009306D2"/>
    <w:rsid w:val="00931F6A"/>
    <w:rsid w:val="00932A46"/>
    <w:rsid w:val="0093300F"/>
    <w:rsid w:val="00933B77"/>
    <w:rsid w:val="00933D99"/>
    <w:rsid w:val="00933E01"/>
    <w:rsid w:val="009346ED"/>
    <w:rsid w:val="00935053"/>
    <w:rsid w:val="0093520D"/>
    <w:rsid w:val="00935680"/>
    <w:rsid w:val="00936026"/>
    <w:rsid w:val="0093790A"/>
    <w:rsid w:val="00940E95"/>
    <w:rsid w:val="00941484"/>
    <w:rsid w:val="009417EE"/>
    <w:rsid w:val="00942012"/>
    <w:rsid w:val="00945A9B"/>
    <w:rsid w:val="00946348"/>
    <w:rsid w:val="0094643D"/>
    <w:rsid w:val="00946516"/>
    <w:rsid w:val="00947CBE"/>
    <w:rsid w:val="00951C0F"/>
    <w:rsid w:val="00951F7C"/>
    <w:rsid w:val="00953119"/>
    <w:rsid w:val="009531EC"/>
    <w:rsid w:val="00953AB4"/>
    <w:rsid w:val="00953F45"/>
    <w:rsid w:val="00954A78"/>
    <w:rsid w:val="0096028D"/>
    <w:rsid w:val="009609C7"/>
    <w:rsid w:val="00960E0F"/>
    <w:rsid w:val="0096117E"/>
    <w:rsid w:val="009618EC"/>
    <w:rsid w:val="0096198E"/>
    <w:rsid w:val="00961BBD"/>
    <w:rsid w:val="0096295D"/>
    <w:rsid w:val="00964025"/>
    <w:rsid w:val="00964479"/>
    <w:rsid w:val="00966E0E"/>
    <w:rsid w:val="009672DC"/>
    <w:rsid w:val="00967A47"/>
    <w:rsid w:val="00970393"/>
    <w:rsid w:val="0097195D"/>
    <w:rsid w:val="009721A4"/>
    <w:rsid w:val="009727F4"/>
    <w:rsid w:val="00972975"/>
    <w:rsid w:val="00973FEF"/>
    <w:rsid w:val="009752EE"/>
    <w:rsid w:val="00976FB3"/>
    <w:rsid w:val="0097763D"/>
    <w:rsid w:val="00977F1D"/>
    <w:rsid w:val="00980BEC"/>
    <w:rsid w:val="00980F49"/>
    <w:rsid w:val="0098255F"/>
    <w:rsid w:val="0098261E"/>
    <w:rsid w:val="00982994"/>
    <w:rsid w:val="00983122"/>
    <w:rsid w:val="00983766"/>
    <w:rsid w:val="009844F8"/>
    <w:rsid w:val="009846D8"/>
    <w:rsid w:val="0098675D"/>
    <w:rsid w:val="00987223"/>
    <w:rsid w:val="00987F3D"/>
    <w:rsid w:val="009906C8"/>
    <w:rsid w:val="00990E2B"/>
    <w:rsid w:val="00991403"/>
    <w:rsid w:val="00993BE7"/>
    <w:rsid w:val="0099514C"/>
    <w:rsid w:val="00995EB0"/>
    <w:rsid w:val="00996CE3"/>
    <w:rsid w:val="00996F0B"/>
    <w:rsid w:val="009A07C7"/>
    <w:rsid w:val="009A0958"/>
    <w:rsid w:val="009A1105"/>
    <w:rsid w:val="009A147F"/>
    <w:rsid w:val="009A1FE1"/>
    <w:rsid w:val="009A3C2B"/>
    <w:rsid w:val="009A4BD5"/>
    <w:rsid w:val="009A4DCC"/>
    <w:rsid w:val="009A4F79"/>
    <w:rsid w:val="009A5259"/>
    <w:rsid w:val="009A6169"/>
    <w:rsid w:val="009A636B"/>
    <w:rsid w:val="009A6CC8"/>
    <w:rsid w:val="009A6E07"/>
    <w:rsid w:val="009A7416"/>
    <w:rsid w:val="009B0445"/>
    <w:rsid w:val="009B0536"/>
    <w:rsid w:val="009B19B3"/>
    <w:rsid w:val="009B21A3"/>
    <w:rsid w:val="009B2B43"/>
    <w:rsid w:val="009B44B6"/>
    <w:rsid w:val="009B520F"/>
    <w:rsid w:val="009B5C0F"/>
    <w:rsid w:val="009B6998"/>
    <w:rsid w:val="009C1175"/>
    <w:rsid w:val="009C17E0"/>
    <w:rsid w:val="009C21A8"/>
    <w:rsid w:val="009C3DCD"/>
    <w:rsid w:val="009C58FC"/>
    <w:rsid w:val="009C5BF5"/>
    <w:rsid w:val="009C60B4"/>
    <w:rsid w:val="009D004A"/>
    <w:rsid w:val="009D0197"/>
    <w:rsid w:val="009D183E"/>
    <w:rsid w:val="009D19AE"/>
    <w:rsid w:val="009D1FA3"/>
    <w:rsid w:val="009D2805"/>
    <w:rsid w:val="009D3609"/>
    <w:rsid w:val="009D4CB4"/>
    <w:rsid w:val="009D66FD"/>
    <w:rsid w:val="009D7994"/>
    <w:rsid w:val="009E11A0"/>
    <w:rsid w:val="009E140F"/>
    <w:rsid w:val="009E1712"/>
    <w:rsid w:val="009E1B2E"/>
    <w:rsid w:val="009E224B"/>
    <w:rsid w:val="009E3237"/>
    <w:rsid w:val="009E3830"/>
    <w:rsid w:val="009E3963"/>
    <w:rsid w:val="009E439A"/>
    <w:rsid w:val="009E46B1"/>
    <w:rsid w:val="009E7AD9"/>
    <w:rsid w:val="009F0B0B"/>
    <w:rsid w:val="009F1071"/>
    <w:rsid w:val="009F1FFE"/>
    <w:rsid w:val="009F2219"/>
    <w:rsid w:val="009F31B2"/>
    <w:rsid w:val="009F38B7"/>
    <w:rsid w:val="009F39BB"/>
    <w:rsid w:val="009F40F5"/>
    <w:rsid w:val="009F45E3"/>
    <w:rsid w:val="009F4C53"/>
    <w:rsid w:val="009F4F43"/>
    <w:rsid w:val="009F60DF"/>
    <w:rsid w:val="009F695E"/>
    <w:rsid w:val="00A01E0C"/>
    <w:rsid w:val="00A030EA"/>
    <w:rsid w:val="00A0367C"/>
    <w:rsid w:val="00A03B54"/>
    <w:rsid w:val="00A03E9A"/>
    <w:rsid w:val="00A03F2D"/>
    <w:rsid w:val="00A03FC2"/>
    <w:rsid w:val="00A041CC"/>
    <w:rsid w:val="00A04720"/>
    <w:rsid w:val="00A04C2D"/>
    <w:rsid w:val="00A04DCF"/>
    <w:rsid w:val="00A066BF"/>
    <w:rsid w:val="00A075EF"/>
    <w:rsid w:val="00A0776C"/>
    <w:rsid w:val="00A100BF"/>
    <w:rsid w:val="00A10793"/>
    <w:rsid w:val="00A111C6"/>
    <w:rsid w:val="00A121E0"/>
    <w:rsid w:val="00A1225B"/>
    <w:rsid w:val="00A1253B"/>
    <w:rsid w:val="00A1266D"/>
    <w:rsid w:val="00A130E7"/>
    <w:rsid w:val="00A13AF7"/>
    <w:rsid w:val="00A13D9A"/>
    <w:rsid w:val="00A15140"/>
    <w:rsid w:val="00A15522"/>
    <w:rsid w:val="00A155BA"/>
    <w:rsid w:val="00A17860"/>
    <w:rsid w:val="00A21609"/>
    <w:rsid w:val="00A2224B"/>
    <w:rsid w:val="00A22389"/>
    <w:rsid w:val="00A23008"/>
    <w:rsid w:val="00A24090"/>
    <w:rsid w:val="00A24C7F"/>
    <w:rsid w:val="00A25B97"/>
    <w:rsid w:val="00A25BBF"/>
    <w:rsid w:val="00A26CE3"/>
    <w:rsid w:val="00A305AF"/>
    <w:rsid w:val="00A307E8"/>
    <w:rsid w:val="00A3179E"/>
    <w:rsid w:val="00A32507"/>
    <w:rsid w:val="00A33051"/>
    <w:rsid w:val="00A331CA"/>
    <w:rsid w:val="00A33805"/>
    <w:rsid w:val="00A33ECD"/>
    <w:rsid w:val="00A343F7"/>
    <w:rsid w:val="00A34DB9"/>
    <w:rsid w:val="00A3546D"/>
    <w:rsid w:val="00A35C67"/>
    <w:rsid w:val="00A35DEB"/>
    <w:rsid w:val="00A360DC"/>
    <w:rsid w:val="00A365D7"/>
    <w:rsid w:val="00A36E24"/>
    <w:rsid w:val="00A3709F"/>
    <w:rsid w:val="00A3731C"/>
    <w:rsid w:val="00A3757E"/>
    <w:rsid w:val="00A40262"/>
    <w:rsid w:val="00A40333"/>
    <w:rsid w:val="00A40BCF"/>
    <w:rsid w:val="00A40FA5"/>
    <w:rsid w:val="00A4163E"/>
    <w:rsid w:val="00A41B9B"/>
    <w:rsid w:val="00A42BBA"/>
    <w:rsid w:val="00A43070"/>
    <w:rsid w:val="00A438E2"/>
    <w:rsid w:val="00A450A0"/>
    <w:rsid w:val="00A450A6"/>
    <w:rsid w:val="00A4520A"/>
    <w:rsid w:val="00A46D08"/>
    <w:rsid w:val="00A46F12"/>
    <w:rsid w:val="00A47CB3"/>
    <w:rsid w:val="00A51100"/>
    <w:rsid w:val="00A51A79"/>
    <w:rsid w:val="00A5261F"/>
    <w:rsid w:val="00A53021"/>
    <w:rsid w:val="00A53A2C"/>
    <w:rsid w:val="00A53FB3"/>
    <w:rsid w:val="00A55909"/>
    <w:rsid w:val="00A55D3B"/>
    <w:rsid w:val="00A55E91"/>
    <w:rsid w:val="00A56307"/>
    <w:rsid w:val="00A56417"/>
    <w:rsid w:val="00A56710"/>
    <w:rsid w:val="00A57448"/>
    <w:rsid w:val="00A60824"/>
    <w:rsid w:val="00A61E40"/>
    <w:rsid w:val="00A62C6D"/>
    <w:rsid w:val="00A63B78"/>
    <w:rsid w:val="00A63C8C"/>
    <w:rsid w:val="00A65E0F"/>
    <w:rsid w:val="00A65E47"/>
    <w:rsid w:val="00A66011"/>
    <w:rsid w:val="00A663CF"/>
    <w:rsid w:val="00A66554"/>
    <w:rsid w:val="00A67908"/>
    <w:rsid w:val="00A708C8"/>
    <w:rsid w:val="00A70FA9"/>
    <w:rsid w:val="00A71CF4"/>
    <w:rsid w:val="00A71F05"/>
    <w:rsid w:val="00A71F21"/>
    <w:rsid w:val="00A71F44"/>
    <w:rsid w:val="00A737B7"/>
    <w:rsid w:val="00A73850"/>
    <w:rsid w:val="00A74F85"/>
    <w:rsid w:val="00A7687B"/>
    <w:rsid w:val="00A76A05"/>
    <w:rsid w:val="00A7722D"/>
    <w:rsid w:val="00A77774"/>
    <w:rsid w:val="00A8044D"/>
    <w:rsid w:val="00A80B2E"/>
    <w:rsid w:val="00A84105"/>
    <w:rsid w:val="00A8489E"/>
    <w:rsid w:val="00A85309"/>
    <w:rsid w:val="00A858C3"/>
    <w:rsid w:val="00A85B90"/>
    <w:rsid w:val="00A864FB"/>
    <w:rsid w:val="00A87F68"/>
    <w:rsid w:val="00A90688"/>
    <w:rsid w:val="00A911C3"/>
    <w:rsid w:val="00A91E34"/>
    <w:rsid w:val="00A93D75"/>
    <w:rsid w:val="00A93F81"/>
    <w:rsid w:val="00A94B75"/>
    <w:rsid w:val="00A94EC9"/>
    <w:rsid w:val="00A95353"/>
    <w:rsid w:val="00A95A4D"/>
    <w:rsid w:val="00A96239"/>
    <w:rsid w:val="00A9632D"/>
    <w:rsid w:val="00A9634D"/>
    <w:rsid w:val="00A96C2B"/>
    <w:rsid w:val="00A96EB8"/>
    <w:rsid w:val="00A97016"/>
    <w:rsid w:val="00A9712C"/>
    <w:rsid w:val="00A97321"/>
    <w:rsid w:val="00A978E5"/>
    <w:rsid w:val="00A97D51"/>
    <w:rsid w:val="00A97E48"/>
    <w:rsid w:val="00A97EBF"/>
    <w:rsid w:val="00AA04F9"/>
    <w:rsid w:val="00AA0889"/>
    <w:rsid w:val="00AA1332"/>
    <w:rsid w:val="00AA13B3"/>
    <w:rsid w:val="00AA1BA3"/>
    <w:rsid w:val="00AA23BA"/>
    <w:rsid w:val="00AA2E6B"/>
    <w:rsid w:val="00AA4870"/>
    <w:rsid w:val="00AA4A6D"/>
    <w:rsid w:val="00AA561F"/>
    <w:rsid w:val="00AA569D"/>
    <w:rsid w:val="00AA69E2"/>
    <w:rsid w:val="00AA7075"/>
    <w:rsid w:val="00AA7784"/>
    <w:rsid w:val="00AB0D3B"/>
    <w:rsid w:val="00AB10AF"/>
    <w:rsid w:val="00AB11E7"/>
    <w:rsid w:val="00AB2FDD"/>
    <w:rsid w:val="00AB4722"/>
    <w:rsid w:val="00AB55D0"/>
    <w:rsid w:val="00AB56FB"/>
    <w:rsid w:val="00AB60F8"/>
    <w:rsid w:val="00AB6EB6"/>
    <w:rsid w:val="00AB71FE"/>
    <w:rsid w:val="00AB7F11"/>
    <w:rsid w:val="00AC2D2E"/>
    <w:rsid w:val="00AC301A"/>
    <w:rsid w:val="00AC3246"/>
    <w:rsid w:val="00AC3317"/>
    <w:rsid w:val="00AC35D7"/>
    <w:rsid w:val="00AC611F"/>
    <w:rsid w:val="00AC6B73"/>
    <w:rsid w:val="00AC6F1A"/>
    <w:rsid w:val="00AC74AE"/>
    <w:rsid w:val="00AD0BEE"/>
    <w:rsid w:val="00AD0BFD"/>
    <w:rsid w:val="00AD192B"/>
    <w:rsid w:val="00AD1C21"/>
    <w:rsid w:val="00AD234F"/>
    <w:rsid w:val="00AD2862"/>
    <w:rsid w:val="00AD438F"/>
    <w:rsid w:val="00AD4766"/>
    <w:rsid w:val="00AD5358"/>
    <w:rsid w:val="00AD5688"/>
    <w:rsid w:val="00AD7006"/>
    <w:rsid w:val="00AD7780"/>
    <w:rsid w:val="00AD78F1"/>
    <w:rsid w:val="00AE02D5"/>
    <w:rsid w:val="00AE0937"/>
    <w:rsid w:val="00AE0A4F"/>
    <w:rsid w:val="00AE2347"/>
    <w:rsid w:val="00AE3109"/>
    <w:rsid w:val="00AE32A1"/>
    <w:rsid w:val="00AE4129"/>
    <w:rsid w:val="00AE529B"/>
    <w:rsid w:val="00AE649F"/>
    <w:rsid w:val="00AE6E76"/>
    <w:rsid w:val="00AE75E4"/>
    <w:rsid w:val="00AF02AD"/>
    <w:rsid w:val="00AF2607"/>
    <w:rsid w:val="00AF291D"/>
    <w:rsid w:val="00AF2922"/>
    <w:rsid w:val="00AF30DD"/>
    <w:rsid w:val="00AF41EA"/>
    <w:rsid w:val="00AF581C"/>
    <w:rsid w:val="00AF5958"/>
    <w:rsid w:val="00AF5C27"/>
    <w:rsid w:val="00AF613D"/>
    <w:rsid w:val="00AF6A7E"/>
    <w:rsid w:val="00AF7313"/>
    <w:rsid w:val="00AF7D20"/>
    <w:rsid w:val="00B01D46"/>
    <w:rsid w:val="00B03F3C"/>
    <w:rsid w:val="00B04913"/>
    <w:rsid w:val="00B04A3B"/>
    <w:rsid w:val="00B04E09"/>
    <w:rsid w:val="00B04FE8"/>
    <w:rsid w:val="00B05431"/>
    <w:rsid w:val="00B05DE1"/>
    <w:rsid w:val="00B06D5A"/>
    <w:rsid w:val="00B06E7A"/>
    <w:rsid w:val="00B070AB"/>
    <w:rsid w:val="00B100DA"/>
    <w:rsid w:val="00B101BF"/>
    <w:rsid w:val="00B10B5E"/>
    <w:rsid w:val="00B11E8E"/>
    <w:rsid w:val="00B1216D"/>
    <w:rsid w:val="00B12582"/>
    <w:rsid w:val="00B12DAE"/>
    <w:rsid w:val="00B14606"/>
    <w:rsid w:val="00B154C8"/>
    <w:rsid w:val="00B15640"/>
    <w:rsid w:val="00B1738C"/>
    <w:rsid w:val="00B1783C"/>
    <w:rsid w:val="00B203E7"/>
    <w:rsid w:val="00B2058B"/>
    <w:rsid w:val="00B21AC2"/>
    <w:rsid w:val="00B21BC8"/>
    <w:rsid w:val="00B21BE0"/>
    <w:rsid w:val="00B21D03"/>
    <w:rsid w:val="00B21D57"/>
    <w:rsid w:val="00B23BF3"/>
    <w:rsid w:val="00B2492B"/>
    <w:rsid w:val="00B26138"/>
    <w:rsid w:val="00B26143"/>
    <w:rsid w:val="00B26B85"/>
    <w:rsid w:val="00B26C5E"/>
    <w:rsid w:val="00B276FB"/>
    <w:rsid w:val="00B27B15"/>
    <w:rsid w:val="00B3084C"/>
    <w:rsid w:val="00B329DF"/>
    <w:rsid w:val="00B33BE6"/>
    <w:rsid w:val="00B34A5D"/>
    <w:rsid w:val="00B35DD3"/>
    <w:rsid w:val="00B35EC4"/>
    <w:rsid w:val="00B36128"/>
    <w:rsid w:val="00B361A5"/>
    <w:rsid w:val="00B36583"/>
    <w:rsid w:val="00B372DE"/>
    <w:rsid w:val="00B37394"/>
    <w:rsid w:val="00B40331"/>
    <w:rsid w:val="00B4045D"/>
    <w:rsid w:val="00B4292D"/>
    <w:rsid w:val="00B42D14"/>
    <w:rsid w:val="00B46951"/>
    <w:rsid w:val="00B51378"/>
    <w:rsid w:val="00B52E35"/>
    <w:rsid w:val="00B5320A"/>
    <w:rsid w:val="00B53E3D"/>
    <w:rsid w:val="00B54808"/>
    <w:rsid w:val="00B54A80"/>
    <w:rsid w:val="00B5583D"/>
    <w:rsid w:val="00B56268"/>
    <w:rsid w:val="00B57119"/>
    <w:rsid w:val="00B5738F"/>
    <w:rsid w:val="00B60291"/>
    <w:rsid w:val="00B60727"/>
    <w:rsid w:val="00B60834"/>
    <w:rsid w:val="00B608B2"/>
    <w:rsid w:val="00B6223C"/>
    <w:rsid w:val="00B62426"/>
    <w:rsid w:val="00B63521"/>
    <w:rsid w:val="00B63F94"/>
    <w:rsid w:val="00B64DE9"/>
    <w:rsid w:val="00B65206"/>
    <w:rsid w:val="00B65E56"/>
    <w:rsid w:val="00B66D3D"/>
    <w:rsid w:val="00B66FFA"/>
    <w:rsid w:val="00B67759"/>
    <w:rsid w:val="00B7069F"/>
    <w:rsid w:val="00B7078B"/>
    <w:rsid w:val="00B70F40"/>
    <w:rsid w:val="00B71560"/>
    <w:rsid w:val="00B71758"/>
    <w:rsid w:val="00B719C5"/>
    <w:rsid w:val="00B71E95"/>
    <w:rsid w:val="00B72A2F"/>
    <w:rsid w:val="00B72DD1"/>
    <w:rsid w:val="00B73120"/>
    <w:rsid w:val="00B741EA"/>
    <w:rsid w:val="00B7599E"/>
    <w:rsid w:val="00B761BB"/>
    <w:rsid w:val="00B77687"/>
    <w:rsid w:val="00B80DFC"/>
    <w:rsid w:val="00B80EDE"/>
    <w:rsid w:val="00B84254"/>
    <w:rsid w:val="00B843F5"/>
    <w:rsid w:val="00B84936"/>
    <w:rsid w:val="00B859B8"/>
    <w:rsid w:val="00B8611F"/>
    <w:rsid w:val="00B86EB9"/>
    <w:rsid w:val="00B87988"/>
    <w:rsid w:val="00B87B37"/>
    <w:rsid w:val="00B87D49"/>
    <w:rsid w:val="00B90574"/>
    <w:rsid w:val="00B906B1"/>
    <w:rsid w:val="00B90ABB"/>
    <w:rsid w:val="00B90CBD"/>
    <w:rsid w:val="00B92E98"/>
    <w:rsid w:val="00B9528F"/>
    <w:rsid w:val="00B9529C"/>
    <w:rsid w:val="00B9543F"/>
    <w:rsid w:val="00B9553B"/>
    <w:rsid w:val="00B9598A"/>
    <w:rsid w:val="00B977A7"/>
    <w:rsid w:val="00BA1FCB"/>
    <w:rsid w:val="00BA3397"/>
    <w:rsid w:val="00BA4EBE"/>
    <w:rsid w:val="00BA528B"/>
    <w:rsid w:val="00BA5AC6"/>
    <w:rsid w:val="00BA5E82"/>
    <w:rsid w:val="00BA606B"/>
    <w:rsid w:val="00BA632B"/>
    <w:rsid w:val="00BA6F4B"/>
    <w:rsid w:val="00BA744B"/>
    <w:rsid w:val="00BA78B0"/>
    <w:rsid w:val="00BA7DC3"/>
    <w:rsid w:val="00BB15F0"/>
    <w:rsid w:val="00BB1708"/>
    <w:rsid w:val="00BB1C9C"/>
    <w:rsid w:val="00BB3ECA"/>
    <w:rsid w:val="00BB40B8"/>
    <w:rsid w:val="00BB471C"/>
    <w:rsid w:val="00BB5881"/>
    <w:rsid w:val="00BB5F5E"/>
    <w:rsid w:val="00BB5FEB"/>
    <w:rsid w:val="00BB61E6"/>
    <w:rsid w:val="00BB62E8"/>
    <w:rsid w:val="00BB6415"/>
    <w:rsid w:val="00BB67F5"/>
    <w:rsid w:val="00BB767C"/>
    <w:rsid w:val="00BB7BA2"/>
    <w:rsid w:val="00BC045F"/>
    <w:rsid w:val="00BC0E8F"/>
    <w:rsid w:val="00BC12CD"/>
    <w:rsid w:val="00BC144C"/>
    <w:rsid w:val="00BC16D2"/>
    <w:rsid w:val="00BC1890"/>
    <w:rsid w:val="00BC1A7B"/>
    <w:rsid w:val="00BC229A"/>
    <w:rsid w:val="00BC28C0"/>
    <w:rsid w:val="00BC30CA"/>
    <w:rsid w:val="00BC31E6"/>
    <w:rsid w:val="00BC5C4C"/>
    <w:rsid w:val="00BC6B83"/>
    <w:rsid w:val="00BC6DAD"/>
    <w:rsid w:val="00BD0799"/>
    <w:rsid w:val="00BD1145"/>
    <w:rsid w:val="00BD150E"/>
    <w:rsid w:val="00BD2189"/>
    <w:rsid w:val="00BD2936"/>
    <w:rsid w:val="00BD2D64"/>
    <w:rsid w:val="00BD380C"/>
    <w:rsid w:val="00BD40F4"/>
    <w:rsid w:val="00BD56A3"/>
    <w:rsid w:val="00BD5772"/>
    <w:rsid w:val="00BD5BDB"/>
    <w:rsid w:val="00BD6605"/>
    <w:rsid w:val="00BD7565"/>
    <w:rsid w:val="00BE0247"/>
    <w:rsid w:val="00BE1164"/>
    <w:rsid w:val="00BE174B"/>
    <w:rsid w:val="00BE24CD"/>
    <w:rsid w:val="00BE2A3D"/>
    <w:rsid w:val="00BE2C56"/>
    <w:rsid w:val="00BE2ED4"/>
    <w:rsid w:val="00BE341B"/>
    <w:rsid w:val="00BE3477"/>
    <w:rsid w:val="00BE3611"/>
    <w:rsid w:val="00BE366A"/>
    <w:rsid w:val="00BE41B8"/>
    <w:rsid w:val="00BE5099"/>
    <w:rsid w:val="00BE53FC"/>
    <w:rsid w:val="00BE573A"/>
    <w:rsid w:val="00BE5D3C"/>
    <w:rsid w:val="00BE63C9"/>
    <w:rsid w:val="00BE65E6"/>
    <w:rsid w:val="00BE669E"/>
    <w:rsid w:val="00BE7690"/>
    <w:rsid w:val="00BE79E6"/>
    <w:rsid w:val="00BF1EB5"/>
    <w:rsid w:val="00BF2A99"/>
    <w:rsid w:val="00BF2B76"/>
    <w:rsid w:val="00BF2D32"/>
    <w:rsid w:val="00BF2F16"/>
    <w:rsid w:val="00BF303D"/>
    <w:rsid w:val="00BF3D62"/>
    <w:rsid w:val="00BF3FF4"/>
    <w:rsid w:val="00BF4D4A"/>
    <w:rsid w:val="00BF513B"/>
    <w:rsid w:val="00BF5678"/>
    <w:rsid w:val="00BF57B7"/>
    <w:rsid w:val="00BF6518"/>
    <w:rsid w:val="00BF7456"/>
    <w:rsid w:val="00BF7FC6"/>
    <w:rsid w:val="00C01964"/>
    <w:rsid w:val="00C01DA2"/>
    <w:rsid w:val="00C020F9"/>
    <w:rsid w:val="00C0383A"/>
    <w:rsid w:val="00C03FE1"/>
    <w:rsid w:val="00C048B1"/>
    <w:rsid w:val="00C05010"/>
    <w:rsid w:val="00C0539B"/>
    <w:rsid w:val="00C056EE"/>
    <w:rsid w:val="00C05C8D"/>
    <w:rsid w:val="00C05CB7"/>
    <w:rsid w:val="00C0621F"/>
    <w:rsid w:val="00C07B14"/>
    <w:rsid w:val="00C07D6C"/>
    <w:rsid w:val="00C1063E"/>
    <w:rsid w:val="00C10713"/>
    <w:rsid w:val="00C11639"/>
    <w:rsid w:val="00C117A2"/>
    <w:rsid w:val="00C120F6"/>
    <w:rsid w:val="00C131FB"/>
    <w:rsid w:val="00C14415"/>
    <w:rsid w:val="00C14498"/>
    <w:rsid w:val="00C14734"/>
    <w:rsid w:val="00C15341"/>
    <w:rsid w:val="00C16852"/>
    <w:rsid w:val="00C20E1F"/>
    <w:rsid w:val="00C21258"/>
    <w:rsid w:val="00C215E3"/>
    <w:rsid w:val="00C234E3"/>
    <w:rsid w:val="00C2614C"/>
    <w:rsid w:val="00C26644"/>
    <w:rsid w:val="00C32302"/>
    <w:rsid w:val="00C32C79"/>
    <w:rsid w:val="00C33565"/>
    <w:rsid w:val="00C35303"/>
    <w:rsid w:val="00C35992"/>
    <w:rsid w:val="00C366B3"/>
    <w:rsid w:val="00C37429"/>
    <w:rsid w:val="00C37EC9"/>
    <w:rsid w:val="00C401C8"/>
    <w:rsid w:val="00C40928"/>
    <w:rsid w:val="00C411E5"/>
    <w:rsid w:val="00C41764"/>
    <w:rsid w:val="00C417AD"/>
    <w:rsid w:val="00C41E59"/>
    <w:rsid w:val="00C422FC"/>
    <w:rsid w:val="00C42396"/>
    <w:rsid w:val="00C42495"/>
    <w:rsid w:val="00C424C7"/>
    <w:rsid w:val="00C42564"/>
    <w:rsid w:val="00C452B7"/>
    <w:rsid w:val="00C45A12"/>
    <w:rsid w:val="00C45F26"/>
    <w:rsid w:val="00C469F4"/>
    <w:rsid w:val="00C46DC8"/>
    <w:rsid w:val="00C46EB2"/>
    <w:rsid w:val="00C47E4A"/>
    <w:rsid w:val="00C500B1"/>
    <w:rsid w:val="00C500DE"/>
    <w:rsid w:val="00C516FF"/>
    <w:rsid w:val="00C51B02"/>
    <w:rsid w:val="00C51F56"/>
    <w:rsid w:val="00C53BA5"/>
    <w:rsid w:val="00C53E7F"/>
    <w:rsid w:val="00C53F5E"/>
    <w:rsid w:val="00C543EA"/>
    <w:rsid w:val="00C56C4B"/>
    <w:rsid w:val="00C57538"/>
    <w:rsid w:val="00C577CE"/>
    <w:rsid w:val="00C60BB5"/>
    <w:rsid w:val="00C62AD8"/>
    <w:rsid w:val="00C62FBC"/>
    <w:rsid w:val="00C630C0"/>
    <w:rsid w:val="00C64076"/>
    <w:rsid w:val="00C6457E"/>
    <w:rsid w:val="00C64992"/>
    <w:rsid w:val="00C65878"/>
    <w:rsid w:val="00C65E3A"/>
    <w:rsid w:val="00C65FAA"/>
    <w:rsid w:val="00C661D2"/>
    <w:rsid w:val="00C670B4"/>
    <w:rsid w:val="00C67344"/>
    <w:rsid w:val="00C6749A"/>
    <w:rsid w:val="00C70591"/>
    <w:rsid w:val="00C70F54"/>
    <w:rsid w:val="00C71215"/>
    <w:rsid w:val="00C7317A"/>
    <w:rsid w:val="00C73E97"/>
    <w:rsid w:val="00C74418"/>
    <w:rsid w:val="00C74A60"/>
    <w:rsid w:val="00C76857"/>
    <w:rsid w:val="00C77B4B"/>
    <w:rsid w:val="00C77FD7"/>
    <w:rsid w:val="00C80029"/>
    <w:rsid w:val="00C80B50"/>
    <w:rsid w:val="00C81ECD"/>
    <w:rsid w:val="00C82E5C"/>
    <w:rsid w:val="00C834BA"/>
    <w:rsid w:val="00C83D35"/>
    <w:rsid w:val="00C84EF2"/>
    <w:rsid w:val="00C8530A"/>
    <w:rsid w:val="00C8595C"/>
    <w:rsid w:val="00C87CFF"/>
    <w:rsid w:val="00C904F3"/>
    <w:rsid w:val="00C91EEF"/>
    <w:rsid w:val="00C92285"/>
    <w:rsid w:val="00C92B04"/>
    <w:rsid w:val="00C93302"/>
    <w:rsid w:val="00C94CD5"/>
    <w:rsid w:val="00C95E59"/>
    <w:rsid w:val="00C96223"/>
    <w:rsid w:val="00C96476"/>
    <w:rsid w:val="00C966E5"/>
    <w:rsid w:val="00C9746E"/>
    <w:rsid w:val="00C97D01"/>
    <w:rsid w:val="00CA07E5"/>
    <w:rsid w:val="00CA124D"/>
    <w:rsid w:val="00CA2F94"/>
    <w:rsid w:val="00CA363C"/>
    <w:rsid w:val="00CA4A27"/>
    <w:rsid w:val="00CA4AD8"/>
    <w:rsid w:val="00CA4B81"/>
    <w:rsid w:val="00CA5643"/>
    <w:rsid w:val="00CA5CD4"/>
    <w:rsid w:val="00CA6C87"/>
    <w:rsid w:val="00CA6F57"/>
    <w:rsid w:val="00CB022A"/>
    <w:rsid w:val="00CB0602"/>
    <w:rsid w:val="00CB0632"/>
    <w:rsid w:val="00CB0B1A"/>
    <w:rsid w:val="00CB2706"/>
    <w:rsid w:val="00CB32BB"/>
    <w:rsid w:val="00CB473F"/>
    <w:rsid w:val="00CB523B"/>
    <w:rsid w:val="00CB53CC"/>
    <w:rsid w:val="00CB56AD"/>
    <w:rsid w:val="00CB6088"/>
    <w:rsid w:val="00CB77AC"/>
    <w:rsid w:val="00CB780B"/>
    <w:rsid w:val="00CC02B6"/>
    <w:rsid w:val="00CC04FA"/>
    <w:rsid w:val="00CC0515"/>
    <w:rsid w:val="00CC0BA0"/>
    <w:rsid w:val="00CC1E28"/>
    <w:rsid w:val="00CC1EDA"/>
    <w:rsid w:val="00CC218A"/>
    <w:rsid w:val="00CC3230"/>
    <w:rsid w:val="00CC385A"/>
    <w:rsid w:val="00CC4394"/>
    <w:rsid w:val="00CC44AE"/>
    <w:rsid w:val="00CC5671"/>
    <w:rsid w:val="00CC68F4"/>
    <w:rsid w:val="00CC770D"/>
    <w:rsid w:val="00CD143A"/>
    <w:rsid w:val="00CD1E58"/>
    <w:rsid w:val="00CD2258"/>
    <w:rsid w:val="00CD326A"/>
    <w:rsid w:val="00CD3365"/>
    <w:rsid w:val="00CD367A"/>
    <w:rsid w:val="00CD3DCF"/>
    <w:rsid w:val="00CD471E"/>
    <w:rsid w:val="00CD482D"/>
    <w:rsid w:val="00CD48A2"/>
    <w:rsid w:val="00CD4FD0"/>
    <w:rsid w:val="00CD7A14"/>
    <w:rsid w:val="00CE004D"/>
    <w:rsid w:val="00CE0708"/>
    <w:rsid w:val="00CE0CF6"/>
    <w:rsid w:val="00CE0E5F"/>
    <w:rsid w:val="00CE187A"/>
    <w:rsid w:val="00CE203D"/>
    <w:rsid w:val="00CE22BA"/>
    <w:rsid w:val="00CE2FCF"/>
    <w:rsid w:val="00CE318F"/>
    <w:rsid w:val="00CE34E5"/>
    <w:rsid w:val="00CE5461"/>
    <w:rsid w:val="00CE6A50"/>
    <w:rsid w:val="00CE6B10"/>
    <w:rsid w:val="00CE6C4B"/>
    <w:rsid w:val="00CE6D6F"/>
    <w:rsid w:val="00CE75CB"/>
    <w:rsid w:val="00CF0F3E"/>
    <w:rsid w:val="00CF2241"/>
    <w:rsid w:val="00CF28CF"/>
    <w:rsid w:val="00CF2A88"/>
    <w:rsid w:val="00CF36D8"/>
    <w:rsid w:val="00CF438E"/>
    <w:rsid w:val="00CF43C8"/>
    <w:rsid w:val="00CF46D5"/>
    <w:rsid w:val="00CF4736"/>
    <w:rsid w:val="00CF4B34"/>
    <w:rsid w:val="00CF7ADB"/>
    <w:rsid w:val="00D0033D"/>
    <w:rsid w:val="00D006B0"/>
    <w:rsid w:val="00D008D6"/>
    <w:rsid w:val="00D00BE4"/>
    <w:rsid w:val="00D00E4C"/>
    <w:rsid w:val="00D02560"/>
    <w:rsid w:val="00D02CCE"/>
    <w:rsid w:val="00D03B71"/>
    <w:rsid w:val="00D04121"/>
    <w:rsid w:val="00D041A3"/>
    <w:rsid w:val="00D051E7"/>
    <w:rsid w:val="00D061EF"/>
    <w:rsid w:val="00D0793C"/>
    <w:rsid w:val="00D07B26"/>
    <w:rsid w:val="00D111BB"/>
    <w:rsid w:val="00D1246C"/>
    <w:rsid w:val="00D12661"/>
    <w:rsid w:val="00D13DF8"/>
    <w:rsid w:val="00D13E2C"/>
    <w:rsid w:val="00D14FF6"/>
    <w:rsid w:val="00D1530E"/>
    <w:rsid w:val="00D15457"/>
    <w:rsid w:val="00D155CF"/>
    <w:rsid w:val="00D157E3"/>
    <w:rsid w:val="00D1702F"/>
    <w:rsid w:val="00D17061"/>
    <w:rsid w:val="00D170E0"/>
    <w:rsid w:val="00D17E3A"/>
    <w:rsid w:val="00D20EEA"/>
    <w:rsid w:val="00D229F0"/>
    <w:rsid w:val="00D23291"/>
    <w:rsid w:val="00D23533"/>
    <w:rsid w:val="00D249F4"/>
    <w:rsid w:val="00D24B67"/>
    <w:rsid w:val="00D25C54"/>
    <w:rsid w:val="00D261AA"/>
    <w:rsid w:val="00D276EF"/>
    <w:rsid w:val="00D3122F"/>
    <w:rsid w:val="00D3210B"/>
    <w:rsid w:val="00D338D3"/>
    <w:rsid w:val="00D33F03"/>
    <w:rsid w:val="00D35765"/>
    <w:rsid w:val="00D35B9A"/>
    <w:rsid w:val="00D360C6"/>
    <w:rsid w:val="00D36123"/>
    <w:rsid w:val="00D362BE"/>
    <w:rsid w:val="00D365C0"/>
    <w:rsid w:val="00D366A2"/>
    <w:rsid w:val="00D37002"/>
    <w:rsid w:val="00D40B48"/>
    <w:rsid w:val="00D41425"/>
    <w:rsid w:val="00D42D0E"/>
    <w:rsid w:val="00D42ECB"/>
    <w:rsid w:val="00D43BD3"/>
    <w:rsid w:val="00D440EC"/>
    <w:rsid w:val="00D445DC"/>
    <w:rsid w:val="00D45287"/>
    <w:rsid w:val="00D4573D"/>
    <w:rsid w:val="00D45C2B"/>
    <w:rsid w:val="00D46EEB"/>
    <w:rsid w:val="00D475F2"/>
    <w:rsid w:val="00D4768A"/>
    <w:rsid w:val="00D50683"/>
    <w:rsid w:val="00D5094C"/>
    <w:rsid w:val="00D519FF"/>
    <w:rsid w:val="00D5274E"/>
    <w:rsid w:val="00D53693"/>
    <w:rsid w:val="00D537A9"/>
    <w:rsid w:val="00D54669"/>
    <w:rsid w:val="00D547AC"/>
    <w:rsid w:val="00D5490A"/>
    <w:rsid w:val="00D54DA3"/>
    <w:rsid w:val="00D54DD6"/>
    <w:rsid w:val="00D55357"/>
    <w:rsid w:val="00D557A0"/>
    <w:rsid w:val="00D562FA"/>
    <w:rsid w:val="00D567DE"/>
    <w:rsid w:val="00D56BD7"/>
    <w:rsid w:val="00D56D20"/>
    <w:rsid w:val="00D57156"/>
    <w:rsid w:val="00D577C4"/>
    <w:rsid w:val="00D57D70"/>
    <w:rsid w:val="00D57F54"/>
    <w:rsid w:val="00D60A82"/>
    <w:rsid w:val="00D60B77"/>
    <w:rsid w:val="00D60C07"/>
    <w:rsid w:val="00D61169"/>
    <w:rsid w:val="00D6122C"/>
    <w:rsid w:val="00D61F43"/>
    <w:rsid w:val="00D623F4"/>
    <w:rsid w:val="00D634F9"/>
    <w:rsid w:val="00D63F07"/>
    <w:rsid w:val="00D64C8C"/>
    <w:rsid w:val="00D654F0"/>
    <w:rsid w:val="00D65A9C"/>
    <w:rsid w:val="00D664D5"/>
    <w:rsid w:val="00D66C0A"/>
    <w:rsid w:val="00D70A47"/>
    <w:rsid w:val="00D714A6"/>
    <w:rsid w:val="00D72E5B"/>
    <w:rsid w:val="00D745C3"/>
    <w:rsid w:val="00D74D5E"/>
    <w:rsid w:val="00D75D8E"/>
    <w:rsid w:val="00D760A8"/>
    <w:rsid w:val="00D76FB8"/>
    <w:rsid w:val="00D80435"/>
    <w:rsid w:val="00D8053D"/>
    <w:rsid w:val="00D80B1A"/>
    <w:rsid w:val="00D828CE"/>
    <w:rsid w:val="00D83F62"/>
    <w:rsid w:val="00D84552"/>
    <w:rsid w:val="00D85C6B"/>
    <w:rsid w:val="00D86DAC"/>
    <w:rsid w:val="00D87136"/>
    <w:rsid w:val="00D907C6"/>
    <w:rsid w:val="00D90AB2"/>
    <w:rsid w:val="00D90AE9"/>
    <w:rsid w:val="00D90CAD"/>
    <w:rsid w:val="00D91B3F"/>
    <w:rsid w:val="00D922C8"/>
    <w:rsid w:val="00D92A5C"/>
    <w:rsid w:val="00D93747"/>
    <w:rsid w:val="00D93C60"/>
    <w:rsid w:val="00D93FCC"/>
    <w:rsid w:val="00D9418E"/>
    <w:rsid w:val="00D94365"/>
    <w:rsid w:val="00D94388"/>
    <w:rsid w:val="00D944F3"/>
    <w:rsid w:val="00D94D80"/>
    <w:rsid w:val="00D9534E"/>
    <w:rsid w:val="00D953B2"/>
    <w:rsid w:val="00D955F1"/>
    <w:rsid w:val="00D9658F"/>
    <w:rsid w:val="00D977E2"/>
    <w:rsid w:val="00DA06BD"/>
    <w:rsid w:val="00DA2236"/>
    <w:rsid w:val="00DA237E"/>
    <w:rsid w:val="00DA2485"/>
    <w:rsid w:val="00DA2D32"/>
    <w:rsid w:val="00DA2F1E"/>
    <w:rsid w:val="00DA3338"/>
    <w:rsid w:val="00DA4581"/>
    <w:rsid w:val="00DA4B47"/>
    <w:rsid w:val="00DA4D00"/>
    <w:rsid w:val="00DA5AEE"/>
    <w:rsid w:val="00DA5BD3"/>
    <w:rsid w:val="00DA5FB5"/>
    <w:rsid w:val="00DA6020"/>
    <w:rsid w:val="00DB0A3D"/>
    <w:rsid w:val="00DB1409"/>
    <w:rsid w:val="00DB2E08"/>
    <w:rsid w:val="00DB307A"/>
    <w:rsid w:val="00DB441E"/>
    <w:rsid w:val="00DB4DA3"/>
    <w:rsid w:val="00DB50AF"/>
    <w:rsid w:val="00DB7247"/>
    <w:rsid w:val="00DC0C47"/>
    <w:rsid w:val="00DC0F29"/>
    <w:rsid w:val="00DC1D5F"/>
    <w:rsid w:val="00DC1FAD"/>
    <w:rsid w:val="00DC20F9"/>
    <w:rsid w:val="00DC4412"/>
    <w:rsid w:val="00DC46F4"/>
    <w:rsid w:val="00DC56ED"/>
    <w:rsid w:val="00DC73B8"/>
    <w:rsid w:val="00DC7F24"/>
    <w:rsid w:val="00DD08E7"/>
    <w:rsid w:val="00DD3416"/>
    <w:rsid w:val="00DD4B57"/>
    <w:rsid w:val="00DD52DE"/>
    <w:rsid w:val="00DD554B"/>
    <w:rsid w:val="00DD7107"/>
    <w:rsid w:val="00DD7B5C"/>
    <w:rsid w:val="00DE10FC"/>
    <w:rsid w:val="00DE2365"/>
    <w:rsid w:val="00DE28C4"/>
    <w:rsid w:val="00DE29A8"/>
    <w:rsid w:val="00DE2ABA"/>
    <w:rsid w:val="00DE3ED8"/>
    <w:rsid w:val="00DE4225"/>
    <w:rsid w:val="00DE521F"/>
    <w:rsid w:val="00DE5268"/>
    <w:rsid w:val="00DE5A25"/>
    <w:rsid w:val="00DE6006"/>
    <w:rsid w:val="00DE61C3"/>
    <w:rsid w:val="00DE6AE7"/>
    <w:rsid w:val="00DE7A57"/>
    <w:rsid w:val="00DE7C1A"/>
    <w:rsid w:val="00DE7F37"/>
    <w:rsid w:val="00DF07E2"/>
    <w:rsid w:val="00DF1747"/>
    <w:rsid w:val="00DF25D4"/>
    <w:rsid w:val="00DF43EA"/>
    <w:rsid w:val="00DF4A8C"/>
    <w:rsid w:val="00DF4C51"/>
    <w:rsid w:val="00DF52BC"/>
    <w:rsid w:val="00DF5FB1"/>
    <w:rsid w:val="00DF61E6"/>
    <w:rsid w:val="00DF66D3"/>
    <w:rsid w:val="00DF7393"/>
    <w:rsid w:val="00DF781B"/>
    <w:rsid w:val="00E009F3"/>
    <w:rsid w:val="00E00DDC"/>
    <w:rsid w:val="00E01FA7"/>
    <w:rsid w:val="00E0233D"/>
    <w:rsid w:val="00E02617"/>
    <w:rsid w:val="00E0274F"/>
    <w:rsid w:val="00E0432C"/>
    <w:rsid w:val="00E048E5"/>
    <w:rsid w:val="00E05EAA"/>
    <w:rsid w:val="00E061F3"/>
    <w:rsid w:val="00E07B26"/>
    <w:rsid w:val="00E07D78"/>
    <w:rsid w:val="00E07F21"/>
    <w:rsid w:val="00E11D69"/>
    <w:rsid w:val="00E13FB6"/>
    <w:rsid w:val="00E1429D"/>
    <w:rsid w:val="00E14313"/>
    <w:rsid w:val="00E1487A"/>
    <w:rsid w:val="00E14A18"/>
    <w:rsid w:val="00E167D1"/>
    <w:rsid w:val="00E16DAB"/>
    <w:rsid w:val="00E16E1E"/>
    <w:rsid w:val="00E17CBB"/>
    <w:rsid w:val="00E2006D"/>
    <w:rsid w:val="00E208E8"/>
    <w:rsid w:val="00E21463"/>
    <w:rsid w:val="00E22756"/>
    <w:rsid w:val="00E23486"/>
    <w:rsid w:val="00E24C52"/>
    <w:rsid w:val="00E254D6"/>
    <w:rsid w:val="00E25815"/>
    <w:rsid w:val="00E26F1D"/>
    <w:rsid w:val="00E277F7"/>
    <w:rsid w:val="00E30481"/>
    <w:rsid w:val="00E3140F"/>
    <w:rsid w:val="00E3195F"/>
    <w:rsid w:val="00E31A51"/>
    <w:rsid w:val="00E31F6C"/>
    <w:rsid w:val="00E3275C"/>
    <w:rsid w:val="00E32CD2"/>
    <w:rsid w:val="00E33021"/>
    <w:rsid w:val="00E33342"/>
    <w:rsid w:val="00E3344C"/>
    <w:rsid w:val="00E339BB"/>
    <w:rsid w:val="00E33A7F"/>
    <w:rsid w:val="00E340A9"/>
    <w:rsid w:val="00E341EF"/>
    <w:rsid w:val="00E34D26"/>
    <w:rsid w:val="00E35CC1"/>
    <w:rsid w:val="00E369A5"/>
    <w:rsid w:val="00E40738"/>
    <w:rsid w:val="00E4183D"/>
    <w:rsid w:val="00E42B06"/>
    <w:rsid w:val="00E438C0"/>
    <w:rsid w:val="00E43C88"/>
    <w:rsid w:val="00E45060"/>
    <w:rsid w:val="00E4508E"/>
    <w:rsid w:val="00E464DC"/>
    <w:rsid w:val="00E474BE"/>
    <w:rsid w:val="00E47625"/>
    <w:rsid w:val="00E47AA1"/>
    <w:rsid w:val="00E47EE0"/>
    <w:rsid w:val="00E47FC7"/>
    <w:rsid w:val="00E515E7"/>
    <w:rsid w:val="00E521AA"/>
    <w:rsid w:val="00E52F5C"/>
    <w:rsid w:val="00E535E4"/>
    <w:rsid w:val="00E53DAF"/>
    <w:rsid w:val="00E543F8"/>
    <w:rsid w:val="00E55DD8"/>
    <w:rsid w:val="00E5654E"/>
    <w:rsid w:val="00E56F4D"/>
    <w:rsid w:val="00E57F4D"/>
    <w:rsid w:val="00E57FDC"/>
    <w:rsid w:val="00E600D2"/>
    <w:rsid w:val="00E60ED6"/>
    <w:rsid w:val="00E60F4E"/>
    <w:rsid w:val="00E61160"/>
    <w:rsid w:val="00E611C6"/>
    <w:rsid w:val="00E62037"/>
    <w:rsid w:val="00E6296C"/>
    <w:rsid w:val="00E63498"/>
    <w:rsid w:val="00E63A29"/>
    <w:rsid w:val="00E64DD1"/>
    <w:rsid w:val="00E65773"/>
    <w:rsid w:val="00E65A5A"/>
    <w:rsid w:val="00E65C28"/>
    <w:rsid w:val="00E65DE3"/>
    <w:rsid w:val="00E66505"/>
    <w:rsid w:val="00E66911"/>
    <w:rsid w:val="00E6697D"/>
    <w:rsid w:val="00E6719F"/>
    <w:rsid w:val="00E70379"/>
    <w:rsid w:val="00E71A54"/>
    <w:rsid w:val="00E72262"/>
    <w:rsid w:val="00E726D8"/>
    <w:rsid w:val="00E72946"/>
    <w:rsid w:val="00E751DB"/>
    <w:rsid w:val="00E757E9"/>
    <w:rsid w:val="00E75918"/>
    <w:rsid w:val="00E7593F"/>
    <w:rsid w:val="00E768F9"/>
    <w:rsid w:val="00E76DD9"/>
    <w:rsid w:val="00E771B0"/>
    <w:rsid w:val="00E77F8A"/>
    <w:rsid w:val="00E80E02"/>
    <w:rsid w:val="00E8216A"/>
    <w:rsid w:val="00E8219A"/>
    <w:rsid w:val="00E829CB"/>
    <w:rsid w:val="00E84347"/>
    <w:rsid w:val="00E8554D"/>
    <w:rsid w:val="00E85837"/>
    <w:rsid w:val="00E859F8"/>
    <w:rsid w:val="00E875DE"/>
    <w:rsid w:val="00E87C9B"/>
    <w:rsid w:val="00E9013A"/>
    <w:rsid w:val="00E9018A"/>
    <w:rsid w:val="00E91346"/>
    <w:rsid w:val="00E93090"/>
    <w:rsid w:val="00E93C34"/>
    <w:rsid w:val="00E95E5B"/>
    <w:rsid w:val="00E975B0"/>
    <w:rsid w:val="00EA1022"/>
    <w:rsid w:val="00EA2BCA"/>
    <w:rsid w:val="00EA2C71"/>
    <w:rsid w:val="00EA3BEA"/>
    <w:rsid w:val="00EA62F3"/>
    <w:rsid w:val="00EA7E56"/>
    <w:rsid w:val="00EB021E"/>
    <w:rsid w:val="00EB05ED"/>
    <w:rsid w:val="00EB086B"/>
    <w:rsid w:val="00EB0C4B"/>
    <w:rsid w:val="00EB0DC4"/>
    <w:rsid w:val="00EB0E52"/>
    <w:rsid w:val="00EB1E6A"/>
    <w:rsid w:val="00EB1F77"/>
    <w:rsid w:val="00EB4BEF"/>
    <w:rsid w:val="00EB506E"/>
    <w:rsid w:val="00EB62F5"/>
    <w:rsid w:val="00EB6E64"/>
    <w:rsid w:val="00EB7FDE"/>
    <w:rsid w:val="00EC17BD"/>
    <w:rsid w:val="00EC278C"/>
    <w:rsid w:val="00EC63A7"/>
    <w:rsid w:val="00EC6836"/>
    <w:rsid w:val="00EC71F2"/>
    <w:rsid w:val="00ED07B5"/>
    <w:rsid w:val="00ED0D35"/>
    <w:rsid w:val="00ED0F25"/>
    <w:rsid w:val="00ED1E20"/>
    <w:rsid w:val="00ED2FB9"/>
    <w:rsid w:val="00ED4C47"/>
    <w:rsid w:val="00ED4D48"/>
    <w:rsid w:val="00ED60A6"/>
    <w:rsid w:val="00ED70B4"/>
    <w:rsid w:val="00ED7F96"/>
    <w:rsid w:val="00EE1234"/>
    <w:rsid w:val="00EE1F38"/>
    <w:rsid w:val="00EE267B"/>
    <w:rsid w:val="00EE2A0A"/>
    <w:rsid w:val="00EE2DA4"/>
    <w:rsid w:val="00EE3DA4"/>
    <w:rsid w:val="00EE4005"/>
    <w:rsid w:val="00EE4C19"/>
    <w:rsid w:val="00EE62CF"/>
    <w:rsid w:val="00EE774B"/>
    <w:rsid w:val="00EE7E97"/>
    <w:rsid w:val="00EF170D"/>
    <w:rsid w:val="00EF19BF"/>
    <w:rsid w:val="00EF23AC"/>
    <w:rsid w:val="00EF32D7"/>
    <w:rsid w:val="00EF33E9"/>
    <w:rsid w:val="00EF36DF"/>
    <w:rsid w:val="00EF65C0"/>
    <w:rsid w:val="00EF7534"/>
    <w:rsid w:val="00EF7B68"/>
    <w:rsid w:val="00EF7BA0"/>
    <w:rsid w:val="00F00972"/>
    <w:rsid w:val="00F00AE3"/>
    <w:rsid w:val="00F015E5"/>
    <w:rsid w:val="00F01B20"/>
    <w:rsid w:val="00F01F9F"/>
    <w:rsid w:val="00F02047"/>
    <w:rsid w:val="00F032DB"/>
    <w:rsid w:val="00F0346D"/>
    <w:rsid w:val="00F03CD9"/>
    <w:rsid w:val="00F03F58"/>
    <w:rsid w:val="00F05511"/>
    <w:rsid w:val="00F058EA"/>
    <w:rsid w:val="00F06C75"/>
    <w:rsid w:val="00F070D8"/>
    <w:rsid w:val="00F0711F"/>
    <w:rsid w:val="00F0715F"/>
    <w:rsid w:val="00F071CD"/>
    <w:rsid w:val="00F10C7F"/>
    <w:rsid w:val="00F10DF7"/>
    <w:rsid w:val="00F1135D"/>
    <w:rsid w:val="00F115F9"/>
    <w:rsid w:val="00F11612"/>
    <w:rsid w:val="00F124CD"/>
    <w:rsid w:val="00F127FE"/>
    <w:rsid w:val="00F1285B"/>
    <w:rsid w:val="00F14DB7"/>
    <w:rsid w:val="00F14F6E"/>
    <w:rsid w:val="00F14FCA"/>
    <w:rsid w:val="00F164F2"/>
    <w:rsid w:val="00F16C41"/>
    <w:rsid w:val="00F1746C"/>
    <w:rsid w:val="00F2005E"/>
    <w:rsid w:val="00F20994"/>
    <w:rsid w:val="00F2197D"/>
    <w:rsid w:val="00F22C96"/>
    <w:rsid w:val="00F22ED1"/>
    <w:rsid w:val="00F23EFF"/>
    <w:rsid w:val="00F2407A"/>
    <w:rsid w:val="00F24866"/>
    <w:rsid w:val="00F24DF9"/>
    <w:rsid w:val="00F24DFB"/>
    <w:rsid w:val="00F254D3"/>
    <w:rsid w:val="00F25ADD"/>
    <w:rsid w:val="00F27225"/>
    <w:rsid w:val="00F30258"/>
    <w:rsid w:val="00F313E2"/>
    <w:rsid w:val="00F318FA"/>
    <w:rsid w:val="00F32B6C"/>
    <w:rsid w:val="00F33360"/>
    <w:rsid w:val="00F338E3"/>
    <w:rsid w:val="00F339A8"/>
    <w:rsid w:val="00F34B44"/>
    <w:rsid w:val="00F35239"/>
    <w:rsid w:val="00F361E3"/>
    <w:rsid w:val="00F37564"/>
    <w:rsid w:val="00F401C9"/>
    <w:rsid w:val="00F40610"/>
    <w:rsid w:val="00F407D9"/>
    <w:rsid w:val="00F41844"/>
    <w:rsid w:val="00F41E24"/>
    <w:rsid w:val="00F42BA1"/>
    <w:rsid w:val="00F4543B"/>
    <w:rsid w:val="00F45A66"/>
    <w:rsid w:val="00F4606D"/>
    <w:rsid w:val="00F460EA"/>
    <w:rsid w:val="00F47A5A"/>
    <w:rsid w:val="00F47F59"/>
    <w:rsid w:val="00F504AD"/>
    <w:rsid w:val="00F51340"/>
    <w:rsid w:val="00F51460"/>
    <w:rsid w:val="00F5218D"/>
    <w:rsid w:val="00F5293C"/>
    <w:rsid w:val="00F539CF"/>
    <w:rsid w:val="00F54EDC"/>
    <w:rsid w:val="00F56076"/>
    <w:rsid w:val="00F568A2"/>
    <w:rsid w:val="00F601EA"/>
    <w:rsid w:val="00F60526"/>
    <w:rsid w:val="00F6130E"/>
    <w:rsid w:val="00F61EE2"/>
    <w:rsid w:val="00F620D9"/>
    <w:rsid w:val="00F625E4"/>
    <w:rsid w:val="00F65C61"/>
    <w:rsid w:val="00F66421"/>
    <w:rsid w:val="00F676E0"/>
    <w:rsid w:val="00F67759"/>
    <w:rsid w:val="00F7066A"/>
    <w:rsid w:val="00F70D8F"/>
    <w:rsid w:val="00F71D63"/>
    <w:rsid w:val="00F71F6C"/>
    <w:rsid w:val="00F722C0"/>
    <w:rsid w:val="00F72551"/>
    <w:rsid w:val="00F73484"/>
    <w:rsid w:val="00F748B8"/>
    <w:rsid w:val="00F74EA8"/>
    <w:rsid w:val="00F75069"/>
    <w:rsid w:val="00F75123"/>
    <w:rsid w:val="00F75B56"/>
    <w:rsid w:val="00F76090"/>
    <w:rsid w:val="00F774B5"/>
    <w:rsid w:val="00F77C8E"/>
    <w:rsid w:val="00F80464"/>
    <w:rsid w:val="00F8308B"/>
    <w:rsid w:val="00F8342E"/>
    <w:rsid w:val="00F83D75"/>
    <w:rsid w:val="00F8456D"/>
    <w:rsid w:val="00F847C6"/>
    <w:rsid w:val="00F8556F"/>
    <w:rsid w:val="00F864E0"/>
    <w:rsid w:val="00F86BA8"/>
    <w:rsid w:val="00F86D23"/>
    <w:rsid w:val="00F87B74"/>
    <w:rsid w:val="00F87CC2"/>
    <w:rsid w:val="00F9063F"/>
    <w:rsid w:val="00F90B81"/>
    <w:rsid w:val="00F912E2"/>
    <w:rsid w:val="00F91DD6"/>
    <w:rsid w:val="00F93EC3"/>
    <w:rsid w:val="00F9440A"/>
    <w:rsid w:val="00F94C31"/>
    <w:rsid w:val="00F9528D"/>
    <w:rsid w:val="00F966D2"/>
    <w:rsid w:val="00F96F2A"/>
    <w:rsid w:val="00F97818"/>
    <w:rsid w:val="00FA1874"/>
    <w:rsid w:val="00FA1933"/>
    <w:rsid w:val="00FA1B6C"/>
    <w:rsid w:val="00FA271F"/>
    <w:rsid w:val="00FA391B"/>
    <w:rsid w:val="00FA39D2"/>
    <w:rsid w:val="00FA3F1F"/>
    <w:rsid w:val="00FA4CBE"/>
    <w:rsid w:val="00FA6EC7"/>
    <w:rsid w:val="00FA7E7A"/>
    <w:rsid w:val="00FB0637"/>
    <w:rsid w:val="00FB0E0E"/>
    <w:rsid w:val="00FB0EBD"/>
    <w:rsid w:val="00FB151D"/>
    <w:rsid w:val="00FB1B55"/>
    <w:rsid w:val="00FB245F"/>
    <w:rsid w:val="00FB27E2"/>
    <w:rsid w:val="00FB2D03"/>
    <w:rsid w:val="00FB44B4"/>
    <w:rsid w:val="00FB44BC"/>
    <w:rsid w:val="00FB4745"/>
    <w:rsid w:val="00FB4F69"/>
    <w:rsid w:val="00FB5BC6"/>
    <w:rsid w:val="00FB5E4A"/>
    <w:rsid w:val="00FB644A"/>
    <w:rsid w:val="00FB6EB4"/>
    <w:rsid w:val="00FB708B"/>
    <w:rsid w:val="00FB73F4"/>
    <w:rsid w:val="00FB746D"/>
    <w:rsid w:val="00FB74BD"/>
    <w:rsid w:val="00FB784C"/>
    <w:rsid w:val="00FC07D3"/>
    <w:rsid w:val="00FC09BE"/>
    <w:rsid w:val="00FC141F"/>
    <w:rsid w:val="00FC2420"/>
    <w:rsid w:val="00FC271A"/>
    <w:rsid w:val="00FC2CEB"/>
    <w:rsid w:val="00FC3252"/>
    <w:rsid w:val="00FC4899"/>
    <w:rsid w:val="00FC4A60"/>
    <w:rsid w:val="00FC532D"/>
    <w:rsid w:val="00FC5B67"/>
    <w:rsid w:val="00FC7074"/>
    <w:rsid w:val="00FC715E"/>
    <w:rsid w:val="00FD006F"/>
    <w:rsid w:val="00FD0FA7"/>
    <w:rsid w:val="00FD1724"/>
    <w:rsid w:val="00FD295C"/>
    <w:rsid w:val="00FD3C9B"/>
    <w:rsid w:val="00FD3CA4"/>
    <w:rsid w:val="00FD3D7B"/>
    <w:rsid w:val="00FD4076"/>
    <w:rsid w:val="00FD49F9"/>
    <w:rsid w:val="00FD5508"/>
    <w:rsid w:val="00FD562C"/>
    <w:rsid w:val="00FD637C"/>
    <w:rsid w:val="00FD6A12"/>
    <w:rsid w:val="00FD76E6"/>
    <w:rsid w:val="00FE0B80"/>
    <w:rsid w:val="00FE1B0A"/>
    <w:rsid w:val="00FE21DA"/>
    <w:rsid w:val="00FE2D09"/>
    <w:rsid w:val="00FE2E38"/>
    <w:rsid w:val="00FE37C0"/>
    <w:rsid w:val="00FE3E44"/>
    <w:rsid w:val="00FE4E97"/>
    <w:rsid w:val="00FE51E3"/>
    <w:rsid w:val="00FE5708"/>
    <w:rsid w:val="00FE5D7D"/>
    <w:rsid w:val="00FE6CC4"/>
    <w:rsid w:val="00FE7B9E"/>
    <w:rsid w:val="00FE7C63"/>
    <w:rsid w:val="00FE7E8F"/>
    <w:rsid w:val="00FF012E"/>
    <w:rsid w:val="00FF1AE9"/>
    <w:rsid w:val="00FF1DE6"/>
    <w:rsid w:val="00FF44B7"/>
    <w:rsid w:val="00FF4EFD"/>
    <w:rsid w:val="00FF528D"/>
    <w:rsid w:val="00FF5CD6"/>
    <w:rsid w:val="00FF5E86"/>
    <w:rsid w:val="00FF6D7F"/>
    <w:rsid w:val="00FF73D8"/>
    <w:rsid w:val="3DBE35FF"/>
    <w:rsid w:val="55BB9035"/>
    <w:rsid w:val="55FB6CB5"/>
    <w:rsid w:val="59FF47E4"/>
    <w:rsid w:val="65FF7E2F"/>
    <w:rsid w:val="6ACFA470"/>
    <w:rsid w:val="6F7374D4"/>
    <w:rsid w:val="6FBEF0DE"/>
    <w:rsid w:val="76AD1252"/>
    <w:rsid w:val="7AFF10A5"/>
    <w:rsid w:val="7BF44E92"/>
    <w:rsid w:val="7FB7B061"/>
    <w:rsid w:val="7FFBC762"/>
    <w:rsid w:val="DDAFF004"/>
    <w:rsid w:val="DF7F08A9"/>
    <w:rsid w:val="DFBD7CF4"/>
    <w:rsid w:val="DFFFA922"/>
    <w:rsid w:val="E7FF998C"/>
    <w:rsid w:val="FBBF4D50"/>
    <w:rsid w:val="FEF7C93C"/>
    <w:rsid w:val="FF2E012B"/>
    <w:rsid w:val="FFFED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7"/>
    <w:qFormat/>
    <w:uiPriority w:val="0"/>
    <w:pPr>
      <w:keepNext/>
      <w:keepLines/>
      <w:spacing w:before="260" w:after="260" w:line="416" w:lineRule="auto"/>
      <w:outlineLvl w:val="2"/>
    </w:pPr>
    <w:rPr>
      <w:b/>
      <w:bCs/>
      <w:sz w:val="32"/>
      <w:szCs w:val="32"/>
    </w:rPr>
  </w:style>
  <w:style w:type="paragraph" w:styleId="6">
    <w:name w:val="heading 4"/>
    <w:basedOn w:val="1"/>
    <w:next w:val="1"/>
    <w:link w:val="75"/>
    <w:qFormat/>
    <w:uiPriority w:val="0"/>
    <w:pPr>
      <w:keepNext/>
      <w:keepLines/>
      <w:spacing w:before="280" w:after="290" w:line="372" w:lineRule="auto"/>
      <w:outlineLvl w:val="3"/>
    </w:pPr>
    <w:rPr>
      <w:rFonts w:ascii="Arial" w:hAnsi="Arial" w:eastAsia="黑体" w:cs="Arial"/>
      <w:b/>
      <w:bCs/>
      <w:sz w:val="28"/>
      <w:szCs w:val="28"/>
    </w:rPr>
  </w:style>
  <w:style w:type="paragraph" w:styleId="7">
    <w:name w:val="heading 5"/>
    <w:basedOn w:val="1"/>
    <w:next w:val="1"/>
    <w:link w:val="76"/>
    <w:qFormat/>
    <w:uiPriority w:val="99"/>
    <w:pPr>
      <w:keepNext/>
      <w:keepLines/>
      <w:spacing w:before="280" w:after="290" w:line="372" w:lineRule="auto"/>
      <w:outlineLvl w:val="4"/>
    </w:pPr>
    <w:rPr>
      <w:b/>
      <w:bCs/>
      <w:sz w:val="28"/>
      <w:szCs w:val="28"/>
    </w:rPr>
  </w:style>
  <w:style w:type="paragraph" w:styleId="8">
    <w:name w:val="heading 6"/>
    <w:basedOn w:val="1"/>
    <w:next w:val="1"/>
    <w:link w:val="77"/>
    <w:qFormat/>
    <w:uiPriority w:val="99"/>
    <w:pPr>
      <w:keepNext/>
      <w:keepLines/>
      <w:spacing w:before="240" w:after="64" w:line="317" w:lineRule="auto"/>
      <w:outlineLvl w:val="5"/>
    </w:pPr>
    <w:rPr>
      <w:rFonts w:ascii="Cambria" w:hAnsi="Cambria" w:cs="Cambria"/>
      <w:b/>
      <w:bCs/>
      <w:sz w:val="24"/>
    </w:rPr>
  </w:style>
  <w:style w:type="paragraph" w:styleId="9">
    <w:name w:val="heading 7"/>
    <w:basedOn w:val="1"/>
    <w:next w:val="1"/>
    <w:link w:val="78"/>
    <w:qFormat/>
    <w:uiPriority w:val="99"/>
    <w:pPr>
      <w:keepNext/>
      <w:keepLines/>
      <w:spacing w:before="240" w:after="64" w:line="317" w:lineRule="auto"/>
      <w:outlineLvl w:val="6"/>
    </w:pPr>
    <w:rPr>
      <w:rFonts w:ascii="Calibri" w:hAnsi="Calibri" w:cs="Calibri"/>
      <w:b/>
      <w:bCs/>
      <w:sz w:val="24"/>
    </w:rPr>
  </w:style>
  <w:style w:type="paragraph" w:styleId="10">
    <w:name w:val="heading 8"/>
    <w:basedOn w:val="1"/>
    <w:next w:val="1"/>
    <w:link w:val="79"/>
    <w:qFormat/>
    <w:uiPriority w:val="99"/>
    <w:pPr>
      <w:keepNext/>
      <w:keepLines/>
      <w:spacing w:before="240" w:after="64" w:line="317" w:lineRule="auto"/>
      <w:outlineLvl w:val="7"/>
    </w:pPr>
    <w:rPr>
      <w:rFonts w:ascii="Cambria" w:hAnsi="Cambria" w:cs="Cambria"/>
      <w:sz w:val="24"/>
    </w:rPr>
  </w:style>
  <w:style w:type="paragraph" w:styleId="11">
    <w:name w:val="heading 9"/>
    <w:basedOn w:val="1"/>
    <w:next w:val="1"/>
    <w:link w:val="80"/>
    <w:qFormat/>
    <w:uiPriority w:val="99"/>
    <w:pPr>
      <w:keepNext/>
      <w:keepLines/>
      <w:spacing w:before="240" w:after="64" w:line="317" w:lineRule="auto"/>
      <w:outlineLvl w:val="8"/>
    </w:pPr>
    <w:rPr>
      <w:rFonts w:ascii="Cambria" w:hAnsi="Cambria" w:cs="Cambria"/>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5"/>
    <w:unhideWhenUsed/>
    <w:qFormat/>
    <w:uiPriority w:val="99"/>
    <w:pPr>
      <w:spacing w:after="120"/>
    </w:pPr>
    <w:rPr>
      <w:rFonts w:asciiTheme="minorHAnsi" w:hAnsiTheme="minorHAnsi" w:eastAsiaTheme="minorEastAsia" w:cstheme="minorBidi"/>
      <w:szCs w:val="22"/>
    </w:rPr>
  </w:style>
  <w:style w:type="paragraph" w:styleId="12">
    <w:name w:val="toc 7"/>
    <w:basedOn w:val="1"/>
    <w:next w:val="1"/>
    <w:qFormat/>
    <w:uiPriority w:val="99"/>
    <w:pPr>
      <w:ind w:left="2520" w:leftChars="1200"/>
    </w:pPr>
    <w:rPr>
      <w:rFonts w:ascii="Calibri" w:hAnsi="Calibri" w:cs="Calibri"/>
      <w:szCs w:val="21"/>
    </w:rPr>
  </w:style>
  <w:style w:type="paragraph" w:styleId="13">
    <w:name w:val="Normal Indent"/>
    <w:basedOn w:val="1"/>
    <w:link w:val="54"/>
    <w:qFormat/>
    <w:uiPriority w:val="99"/>
    <w:pPr>
      <w:ind w:firstLine="420" w:firstLineChars="200"/>
    </w:pPr>
  </w:style>
  <w:style w:type="paragraph" w:styleId="14">
    <w:name w:val="caption"/>
    <w:basedOn w:val="1"/>
    <w:next w:val="1"/>
    <w:qFormat/>
    <w:uiPriority w:val="99"/>
    <w:pPr>
      <w:ind w:firstLine="6290" w:firstLineChars="2282"/>
    </w:pPr>
    <w:rPr>
      <w:b/>
      <w:bCs/>
      <w:color w:val="000080"/>
      <w:sz w:val="28"/>
      <w:szCs w:val="28"/>
    </w:rPr>
  </w:style>
  <w:style w:type="paragraph" w:styleId="15">
    <w:name w:val="Document Map"/>
    <w:basedOn w:val="1"/>
    <w:link w:val="89"/>
    <w:qFormat/>
    <w:uiPriority w:val="99"/>
    <w:rPr>
      <w:rFonts w:ascii="宋体" w:cs="宋体"/>
      <w:sz w:val="18"/>
      <w:szCs w:val="18"/>
    </w:rPr>
  </w:style>
  <w:style w:type="paragraph" w:styleId="16">
    <w:name w:val="annotation text"/>
    <w:basedOn w:val="1"/>
    <w:link w:val="56"/>
    <w:qFormat/>
    <w:uiPriority w:val="99"/>
    <w:pPr>
      <w:jc w:val="left"/>
    </w:pPr>
    <w:rPr>
      <w:sz w:val="18"/>
      <w:szCs w:val="20"/>
    </w:rPr>
  </w:style>
  <w:style w:type="paragraph" w:styleId="17">
    <w:name w:val="Body Text Indent"/>
    <w:basedOn w:val="1"/>
    <w:link w:val="60"/>
    <w:qFormat/>
    <w:uiPriority w:val="99"/>
    <w:pPr>
      <w:ind w:firstLine="630"/>
    </w:pPr>
    <w:rPr>
      <w:sz w:val="32"/>
      <w:szCs w:val="20"/>
    </w:rPr>
  </w:style>
  <w:style w:type="paragraph" w:styleId="18">
    <w:name w:val="index 4"/>
    <w:basedOn w:val="1"/>
    <w:next w:val="1"/>
    <w:qFormat/>
    <w:uiPriority w:val="99"/>
    <w:pPr>
      <w:ind w:left="600" w:leftChars="600"/>
    </w:pPr>
    <w:rPr>
      <w:szCs w:val="21"/>
    </w:rPr>
  </w:style>
  <w:style w:type="paragraph" w:styleId="19">
    <w:name w:val="toc 5"/>
    <w:basedOn w:val="1"/>
    <w:next w:val="1"/>
    <w:qFormat/>
    <w:uiPriority w:val="99"/>
    <w:pPr>
      <w:tabs>
        <w:tab w:val="right" w:leader="dot" w:pos="8296"/>
      </w:tabs>
      <w:ind w:left="1050" w:leftChars="500"/>
    </w:pPr>
    <w:rPr>
      <w:rFonts w:ascii="Calibri" w:hAnsi="Calibri" w:cs="Calibri"/>
      <w:szCs w:val="21"/>
    </w:rPr>
  </w:style>
  <w:style w:type="paragraph" w:styleId="20">
    <w:name w:val="toc 3"/>
    <w:basedOn w:val="1"/>
    <w:next w:val="1"/>
    <w:qFormat/>
    <w:uiPriority w:val="99"/>
    <w:pPr>
      <w:ind w:left="840" w:leftChars="400"/>
    </w:pPr>
    <w:rPr>
      <w:szCs w:val="21"/>
    </w:rPr>
  </w:style>
  <w:style w:type="paragraph" w:styleId="21">
    <w:name w:val="Plain Text"/>
    <w:basedOn w:val="1"/>
    <w:link w:val="57"/>
    <w:qFormat/>
    <w:uiPriority w:val="99"/>
    <w:pPr>
      <w:autoSpaceDE w:val="0"/>
      <w:autoSpaceDN w:val="0"/>
      <w:adjustRightInd w:val="0"/>
    </w:pPr>
    <w:rPr>
      <w:rFonts w:ascii="宋体" w:hAnsi="Tms Rmn"/>
      <w:kern w:val="0"/>
      <w:szCs w:val="20"/>
    </w:rPr>
  </w:style>
  <w:style w:type="paragraph" w:styleId="22">
    <w:name w:val="toc 8"/>
    <w:basedOn w:val="1"/>
    <w:next w:val="1"/>
    <w:qFormat/>
    <w:uiPriority w:val="99"/>
    <w:pPr>
      <w:ind w:left="2940" w:leftChars="1400"/>
    </w:pPr>
    <w:rPr>
      <w:rFonts w:ascii="Calibri" w:hAnsi="Calibri" w:cs="Calibri"/>
      <w:szCs w:val="21"/>
    </w:rPr>
  </w:style>
  <w:style w:type="paragraph" w:styleId="23">
    <w:name w:val="Date"/>
    <w:basedOn w:val="1"/>
    <w:next w:val="1"/>
    <w:link w:val="91"/>
    <w:qFormat/>
    <w:uiPriority w:val="99"/>
    <w:rPr>
      <w:szCs w:val="21"/>
    </w:rPr>
  </w:style>
  <w:style w:type="paragraph" w:styleId="24">
    <w:name w:val="Body Text Indent 2"/>
    <w:basedOn w:val="1"/>
    <w:link w:val="92"/>
    <w:qFormat/>
    <w:uiPriority w:val="99"/>
    <w:pPr>
      <w:spacing w:after="120" w:line="480" w:lineRule="auto"/>
      <w:ind w:left="420" w:leftChars="200"/>
    </w:pPr>
  </w:style>
  <w:style w:type="paragraph" w:styleId="25">
    <w:name w:val="Balloon Text"/>
    <w:basedOn w:val="1"/>
    <w:link w:val="82"/>
    <w:semiHidden/>
    <w:qFormat/>
    <w:uiPriority w:val="99"/>
    <w:rPr>
      <w:sz w:val="18"/>
      <w:szCs w:val="18"/>
    </w:rPr>
  </w:style>
  <w:style w:type="paragraph" w:styleId="26">
    <w:name w:val="footer"/>
    <w:basedOn w:val="1"/>
    <w:link w:val="59"/>
    <w:qFormat/>
    <w:uiPriority w:val="99"/>
    <w:pPr>
      <w:tabs>
        <w:tab w:val="center" w:pos="4153"/>
        <w:tab w:val="right" w:pos="8306"/>
      </w:tabs>
      <w:snapToGrid w:val="0"/>
      <w:jc w:val="left"/>
    </w:pPr>
    <w:rPr>
      <w:sz w:val="18"/>
      <w:szCs w:val="20"/>
    </w:rPr>
  </w:style>
  <w:style w:type="paragraph" w:styleId="27">
    <w:name w:val="header"/>
    <w:basedOn w:val="1"/>
    <w:link w:val="58"/>
    <w:qFormat/>
    <w:uiPriority w:val="0"/>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uiPriority w:val="99"/>
    <w:pPr>
      <w:tabs>
        <w:tab w:val="right" w:leader="dot" w:pos="8931"/>
        <w:tab w:val="right" w:pos="9450"/>
        <w:tab w:val="right" w:pos="10500"/>
        <w:tab w:val="right" w:leader="dot" w:pos="10761"/>
      </w:tabs>
      <w:spacing w:line="480" w:lineRule="auto"/>
      <w:jc w:val="left"/>
    </w:pPr>
    <w:rPr>
      <w:rFonts w:ascii="宋体" w:hAnsi="宋体"/>
      <w:sz w:val="28"/>
      <w:szCs w:val="28"/>
    </w:rPr>
  </w:style>
  <w:style w:type="paragraph" w:styleId="29">
    <w:name w:val="toc 4"/>
    <w:basedOn w:val="1"/>
    <w:next w:val="1"/>
    <w:qFormat/>
    <w:uiPriority w:val="99"/>
    <w:pPr>
      <w:tabs>
        <w:tab w:val="left" w:pos="1890"/>
        <w:tab w:val="right" w:leader="dot" w:pos="8296"/>
      </w:tabs>
      <w:ind w:left="630" w:leftChars="300"/>
    </w:pPr>
    <w:rPr>
      <w:rFonts w:ascii="Calibri" w:hAnsi="Calibri" w:cs="Calibri"/>
      <w:szCs w:val="21"/>
    </w:rPr>
  </w:style>
  <w:style w:type="paragraph" w:styleId="30">
    <w:name w:val="Subtitle"/>
    <w:basedOn w:val="1"/>
    <w:next w:val="1"/>
    <w:link w:val="93"/>
    <w:qFormat/>
    <w:uiPriority w:val="99"/>
    <w:pPr>
      <w:spacing w:before="240" w:after="60" w:line="312" w:lineRule="auto"/>
      <w:jc w:val="center"/>
      <w:outlineLvl w:val="1"/>
    </w:pPr>
    <w:rPr>
      <w:rFonts w:ascii="Cambria" w:hAnsi="Cambria" w:cs="Cambria"/>
      <w:b/>
      <w:bCs/>
      <w:kern w:val="28"/>
      <w:sz w:val="32"/>
      <w:szCs w:val="32"/>
    </w:rPr>
  </w:style>
  <w:style w:type="paragraph" w:styleId="31">
    <w:name w:val="toc 6"/>
    <w:basedOn w:val="1"/>
    <w:next w:val="1"/>
    <w:qFormat/>
    <w:uiPriority w:val="99"/>
    <w:pPr>
      <w:ind w:left="2100" w:leftChars="1000"/>
    </w:pPr>
    <w:rPr>
      <w:rFonts w:ascii="Calibri" w:hAnsi="Calibri" w:cs="Calibri"/>
      <w:szCs w:val="21"/>
    </w:rPr>
  </w:style>
  <w:style w:type="paragraph" w:styleId="32">
    <w:name w:val="Body Text Indent 3"/>
    <w:basedOn w:val="1"/>
    <w:link w:val="66"/>
    <w:qFormat/>
    <w:uiPriority w:val="99"/>
    <w:pPr>
      <w:spacing w:after="120"/>
      <w:ind w:left="420" w:leftChars="200"/>
    </w:pPr>
    <w:rPr>
      <w:sz w:val="16"/>
      <w:szCs w:val="16"/>
    </w:rPr>
  </w:style>
  <w:style w:type="paragraph" w:styleId="33">
    <w:name w:val="index 7"/>
    <w:basedOn w:val="1"/>
    <w:next w:val="1"/>
    <w:qFormat/>
    <w:uiPriority w:val="99"/>
    <w:pPr>
      <w:ind w:left="1200" w:leftChars="1200"/>
    </w:pPr>
    <w:rPr>
      <w:szCs w:val="21"/>
    </w:rPr>
  </w:style>
  <w:style w:type="paragraph" w:styleId="34">
    <w:name w:val="toc 2"/>
    <w:basedOn w:val="1"/>
    <w:next w:val="1"/>
    <w:qFormat/>
    <w:uiPriority w:val="99"/>
    <w:pPr>
      <w:tabs>
        <w:tab w:val="right" w:leader="dot" w:pos="8931"/>
        <w:tab w:val="right" w:leader="dot" w:pos="10761"/>
      </w:tabs>
      <w:spacing w:line="480" w:lineRule="auto"/>
      <w:ind w:left="420" w:leftChars="200"/>
      <w:jc w:val="left"/>
    </w:pPr>
    <w:rPr>
      <w:rFonts w:ascii="宋体" w:hAnsi="宋体"/>
    </w:rPr>
  </w:style>
  <w:style w:type="paragraph" w:styleId="35">
    <w:name w:val="toc 9"/>
    <w:basedOn w:val="1"/>
    <w:next w:val="1"/>
    <w:qFormat/>
    <w:uiPriority w:val="99"/>
    <w:pPr>
      <w:ind w:left="3360" w:leftChars="1600"/>
    </w:pPr>
    <w:rPr>
      <w:rFonts w:ascii="Calibri" w:hAnsi="Calibri" w:cs="Calibri"/>
      <w:szCs w:val="21"/>
    </w:rPr>
  </w:style>
  <w:style w:type="paragraph" w:styleId="3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37">
    <w:name w:val="Title"/>
    <w:basedOn w:val="1"/>
    <w:next w:val="1"/>
    <w:link w:val="70"/>
    <w:qFormat/>
    <w:uiPriority w:val="99"/>
    <w:pPr>
      <w:spacing w:before="240" w:after="60"/>
      <w:jc w:val="center"/>
      <w:outlineLvl w:val="0"/>
    </w:pPr>
    <w:rPr>
      <w:rFonts w:ascii="Cambria" w:hAnsi="Cambria"/>
      <w:b/>
      <w:bCs/>
      <w:sz w:val="36"/>
      <w:szCs w:val="32"/>
    </w:rPr>
  </w:style>
  <w:style w:type="paragraph" w:styleId="38">
    <w:name w:val="annotation subject"/>
    <w:basedOn w:val="16"/>
    <w:next w:val="16"/>
    <w:link w:val="65"/>
    <w:qFormat/>
    <w:uiPriority w:val="99"/>
    <w:rPr>
      <w:b/>
      <w:bCs/>
      <w:sz w:val="21"/>
      <w:szCs w:val="24"/>
    </w:rPr>
  </w:style>
  <w:style w:type="paragraph" w:styleId="39">
    <w:name w:val="Body Text First Indent"/>
    <w:basedOn w:val="2"/>
    <w:link w:val="86"/>
    <w:qFormat/>
    <w:uiPriority w:val="0"/>
    <w:pPr>
      <w:ind w:firstLine="420" w:firstLineChars="100"/>
    </w:pPr>
    <w:rPr>
      <w:rFonts w:ascii="Times New Roman" w:hAnsi="Times New Roman" w:eastAsia="宋体" w:cs="Times New Roman"/>
      <w:sz w:val="18"/>
      <w:szCs w:val="18"/>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b/>
      <w:bCs/>
    </w:rPr>
  </w:style>
  <w:style w:type="character" w:styleId="44">
    <w:name w:val="page number"/>
    <w:basedOn w:val="42"/>
    <w:qFormat/>
    <w:uiPriority w:val="99"/>
  </w:style>
  <w:style w:type="character" w:styleId="45">
    <w:name w:val="Emphasis"/>
    <w:basedOn w:val="42"/>
    <w:qFormat/>
    <w:uiPriority w:val="99"/>
    <w:rPr>
      <w:i/>
      <w:iCs/>
    </w:rPr>
  </w:style>
  <w:style w:type="character" w:styleId="46">
    <w:name w:val="Hyperlink"/>
    <w:qFormat/>
    <w:uiPriority w:val="99"/>
    <w:rPr>
      <w:color w:val="0000FF"/>
      <w:u w:val="single"/>
    </w:rPr>
  </w:style>
  <w:style w:type="character" w:styleId="47">
    <w:name w:val="annotation reference"/>
    <w:basedOn w:val="42"/>
    <w:qFormat/>
    <w:uiPriority w:val="99"/>
    <w:rPr>
      <w:sz w:val="21"/>
      <w:szCs w:val="21"/>
    </w:rPr>
  </w:style>
  <w:style w:type="paragraph" w:customStyle="1" w:styleId="48">
    <w:name w:val="正文首行缩进两字符"/>
    <w:basedOn w:val="1"/>
    <w:qFormat/>
    <w:uiPriority w:val="99"/>
    <w:pPr>
      <w:spacing w:line="360" w:lineRule="auto"/>
      <w:ind w:firstLine="200" w:firstLineChars="200"/>
    </w:pPr>
  </w:style>
  <w:style w:type="paragraph" w:customStyle="1" w:styleId="4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样式"/>
    <w:qFormat/>
    <w:uiPriority w:val="99"/>
    <w:pPr>
      <w:widowControl w:val="0"/>
      <w:autoSpaceDE w:val="0"/>
      <w:autoSpaceDN w:val="0"/>
      <w:adjustRightInd w:val="0"/>
    </w:pPr>
    <w:rPr>
      <w:rFonts w:ascii="simsun" w:hAnsi="simsun" w:eastAsia="宋体" w:cs="simsun"/>
      <w:sz w:val="24"/>
      <w:szCs w:val="24"/>
      <w:lang w:val="en-US" w:eastAsia="zh-CN" w:bidi="ar-SA"/>
    </w:rPr>
  </w:style>
  <w:style w:type="paragraph" w:customStyle="1" w:styleId="51">
    <w:name w:val="表格"/>
    <w:basedOn w:val="1"/>
    <w:qFormat/>
    <w:uiPriority w:val="99"/>
    <w:pPr>
      <w:spacing w:line="400" w:lineRule="exact"/>
    </w:pPr>
    <w:rPr>
      <w:sz w:val="24"/>
    </w:rPr>
  </w:style>
  <w:style w:type="paragraph" w:customStyle="1" w:styleId="52">
    <w:name w:val="样式 首行缩进:  2 字符"/>
    <w:basedOn w:val="1"/>
    <w:qFormat/>
    <w:uiPriority w:val="99"/>
    <w:pPr>
      <w:spacing w:line="400" w:lineRule="exact"/>
      <w:ind w:firstLine="200" w:firstLineChars="200"/>
    </w:pPr>
    <w:rPr>
      <w:rFonts w:cs="宋体"/>
      <w:sz w:val="24"/>
    </w:rPr>
  </w:style>
  <w:style w:type="character" w:customStyle="1" w:styleId="53">
    <w:name w:val="（符号）邀请函中一、"/>
    <w:basedOn w:val="42"/>
    <w:qFormat/>
    <w:uiPriority w:val="99"/>
    <w:rPr>
      <w:rFonts w:ascii="黑体" w:hAnsi="黑体" w:eastAsia="黑体"/>
      <w:b/>
      <w:bCs/>
      <w:sz w:val="24"/>
    </w:rPr>
  </w:style>
  <w:style w:type="character" w:customStyle="1" w:styleId="54">
    <w:name w:val="正文缩进 Char1"/>
    <w:link w:val="13"/>
    <w:qFormat/>
    <w:uiPriority w:val="99"/>
    <w:rPr>
      <w:rFonts w:eastAsia="宋体"/>
      <w:kern w:val="2"/>
      <w:sz w:val="21"/>
      <w:szCs w:val="24"/>
      <w:lang w:val="en-US" w:eastAsia="zh-CN" w:bidi="ar-SA"/>
    </w:rPr>
  </w:style>
  <w:style w:type="character" w:customStyle="1" w:styleId="55">
    <w:name w:val="Char Char9"/>
    <w:qFormat/>
    <w:uiPriority w:val="99"/>
    <w:rPr>
      <w:kern w:val="2"/>
      <w:sz w:val="21"/>
    </w:rPr>
  </w:style>
  <w:style w:type="character" w:customStyle="1" w:styleId="56">
    <w:name w:val="批注文字 Char"/>
    <w:link w:val="16"/>
    <w:qFormat/>
    <w:uiPriority w:val="99"/>
    <w:rPr>
      <w:kern w:val="2"/>
      <w:sz w:val="18"/>
      <w:lang w:bidi="ar-SA"/>
    </w:rPr>
  </w:style>
  <w:style w:type="character" w:customStyle="1" w:styleId="57">
    <w:name w:val="纯文本 Char"/>
    <w:link w:val="21"/>
    <w:unhideWhenUsed/>
    <w:qFormat/>
    <w:uiPriority w:val="99"/>
    <w:rPr>
      <w:rFonts w:ascii="宋体" w:hAnsi="Tms Rmn" w:eastAsia="宋体"/>
      <w:sz w:val="21"/>
      <w:lang w:val="en-US" w:eastAsia="zh-CN" w:bidi="ar-SA"/>
    </w:rPr>
  </w:style>
  <w:style w:type="character" w:customStyle="1" w:styleId="58">
    <w:name w:val="页眉 Char"/>
    <w:link w:val="27"/>
    <w:qFormat/>
    <w:uiPriority w:val="0"/>
    <w:rPr>
      <w:rFonts w:eastAsia="宋体"/>
      <w:kern w:val="2"/>
      <w:sz w:val="18"/>
      <w:lang w:val="en-US" w:eastAsia="zh-CN" w:bidi="ar-SA"/>
    </w:rPr>
  </w:style>
  <w:style w:type="character" w:customStyle="1" w:styleId="59">
    <w:name w:val="页脚 Char"/>
    <w:link w:val="26"/>
    <w:qFormat/>
    <w:uiPriority w:val="99"/>
    <w:rPr>
      <w:rFonts w:eastAsia="宋体"/>
      <w:kern w:val="2"/>
      <w:sz w:val="18"/>
      <w:lang w:val="en-US" w:eastAsia="zh-CN" w:bidi="ar-SA"/>
    </w:rPr>
  </w:style>
  <w:style w:type="character" w:customStyle="1" w:styleId="60">
    <w:name w:val="正文文本缩进 Char"/>
    <w:link w:val="17"/>
    <w:qFormat/>
    <w:uiPriority w:val="99"/>
    <w:rPr>
      <w:rFonts w:eastAsia="宋体"/>
      <w:kern w:val="2"/>
      <w:sz w:val="32"/>
      <w:lang w:val="en-US" w:eastAsia="zh-CN" w:bidi="ar-SA"/>
    </w:rPr>
  </w:style>
  <w:style w:type="paragraph" w:customStyle="1" w:styleId="61">
    <w:name w:val="GW-正文"/>
    <w:basedOn w:val="1"/>
    <w:link w:val="62"/>
    <w:qFormat/>
    <w:uiPriority w:val="99"/>
    <w:pPr>
      <w:spacing w:line="360" w:lineRule="auto"/>
      <w:ind w:firstLine="200" w:firstLineChars="200"/>
    </w:pPr>
    <w:rPr>
      <w:rFonts w:eastAsia="仿宋_GB2312"/>
      <w:sz w:val="24"/>
    </w:rPr>
  </w:style>
  <w:style w:type="character" w:customStyle="1" w:styleId="62">
    <w:name w:val="GW-正文 Char"/>
    <w:link w:val="61"/>
    <w:qFormat/>
    <w:uiPriority w:val="99"/>
    <w:rPr>
      <w:rFonts w:eastAsia="仿宋_GB2312"/>
      <w:kern w:val="2"/>
      <w:sz w:val="24"/>
      <w:szCs w:val="24"/>
      <w:lang w:val="en-US" w:eastAsia="zh-CN" w:bidi="ar-SA"/>
    </w:rPr>
  </w:style>
  <w:style w:type="paragraph" w:styleId="63">
    <w:name w:val="List Paragraph"/>
    <w:basedOn w:val="1"/>
    <w:link w:val="64"/>
    <w:qFormat/>
    <w:uiPriority w:val="99"/>
    <w:pPr>
      <w:ind w:firstLine="420" w:firstLineChars="200"/>
    </w:pPr>
  </w:style>
  <w:style w:type="character" w:customStyle="1" w:styleId="64">
    <w:name w:val="列出段落 Char"/>
    <w:link w:val="63"/>
    <w:qFormat/>
    <w:uiPriority w:val="99"/>
    <w:rPr>
      <w:rFonts w:eastAsia="宋体"/>
      <w:kern w:val="2"/>
      <w:sz w:val="21"/>
      <w:szCs w:val="24"/>
      <w:lang w:val="en-US" w:eastAsia="zh-CN" w:bidi="ar-SA"/>
    </w:rPr>
  </w:style>
  <w:style w:type="character" w:customStyle="1" w:styleId="65">
    <w:name w:val="批注主题 Char"/>
    <w:basedOn w:val="56"/>
    <w:link w:val="38"/>
    <w:qFormat/>
    <w:uiPriority w:val="99"/>
    <w:rPr>
      <w:b/>
      <w:bCs/>
      <w:sz w:val="21"/>
      <w:szCs w:val="24"/>
    </w:rPr>
  </w:style>
  <w:style w:type="character" w:customStyle="1" w:styleId="66">
    <w:name w:val="正文文本缩进 3 Char"/>
    <w:basedOn w:val="42"/>
    <w:link w:val="32"/>
    <w:qFormat/>
    <w:uiPriority w:val="99"/>
    <w:rPr>
      <w:kern w:val="2"/>
      <w:sz w:val="16"/>
      <w:szCs w:val="16"/>
    </w:rPr>
  </w:style>
  <w:style w:type="character" w:customStyle="1" w:styleId="67">
    <w:name w:val="批注文字 Char1"/>
    <w:qFormat/>
    <w:uiPriority w:val="99"/>
    <w:rPr>
      <w:kern w:val="2"/>
      <w:sz w:val="18"/>
      <w:lang w:bidi="ar-SA"/>
    </w:rPr>
  </w:style>
  <w:style w:type="paragraph" w:customStyle="1" w:styleId="68">
    <w:name w:val="Char Char Char Char Char Char Char Char Char Char Char Char Char Char1 Char Char Char Char"/>
    <w:basedOn w:val="1"/>
    <w:qFormat/>
    <w:uiPriority w:val="99"/>
    <w:rPr>
      <w:szCs w:val="21"/>
    </w:rPr>
  </w:style>
  <w:style w:type="character" w:customStyle="1" w:styleId="69">
    <w:name w:val="标题 1 Char"/>
    <w:basedOn w:val="42"/>
    <w:link w:val="3"/>
    <w:qFormat/>
    <w:uiPriority w:val="0"/>
    <w:rPr>
      <w:b/>
      <w:bCs/>
      <w:kern w:val="44"/>
      <w:sz w:val="44"/>
      <w:szCs w:val="44"/>
    </w:rPr>
  </w:style>
  <w:style w:type="character" w:customStyle="1" w:styleId="70">
    <w:name w:val="标题 Char"/>
    <w:basedOn w:val="42"/>
    <w:link w:val="37"/>
    <w:qFormat/>
    <w:uiPriority w:val="99"/>
    <w:rPr>
      <w:rFonts w:ascii="Cambria" w:hAnsi="Cambria" w:cs="Times New Roman"/>
      <w:b/>
      <w:bCs/>
      <w:kern w:val="2"/>
      <w:sz w:val="36"/>
      <w:szCs w:val="32"/>
    </w:rPr>
  </w:style>
  <w:style w:type="character" w:customStyle="1" w:styleId="71">
    <w:name w:val="标题 2 Char"/>
    <w:basedOn w:val="42"/>
    <w:link w:val="4"/>
    <w:qFormat/>
    <w:uiPriority w:val="0"/>
    <w:rPr>
      <w:rFonts w:ascii="Arial" w:hAnsi="Arial" w:eastAsia="黑体"/>
      <w:b/>
      <w:bCs/>
      <w:kern w:val="2"/>
      <w:sz w:val="32"/>
      <w:szCs w:val="32"/>
    </w:rPr>
  </w:style>
  <w:style w:type="character" w:styleId="72">
    <w:name w:val="Placeholder Text"/>
    <w:basedOn w:val="42"/>
    <w:semiHidden/>
    <w:qFormat/>
    <w:uiPriority w:val="99"/>
    <w:rPr>
      <w:color w:val="808080"/>
    </w:rPr>
  </w:style>
  <w:style w:type="table" w:customStyle="1" w:styleId="73">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标题 4 Char"/>
    <w:basedOn w:val="42"/>
    <w:link w:val="6"/>
    <w:qFormat/>
    <w:uiPriority w:val="0"/>
    <w:rPr>
      <w:rFonts w:ascii="Arial" w:hAnsi="Arial" w:eastAsia="黑体" w:cs="Arial"/>
      <w:b/>
      <w:bCs/>
      <w:kern w:val="2"/>
      <w:sz w:val="28"/>
      <w:szCs w:val="28"/>
    </w:rPr>
  </w:style>
  <w:style w:type="character" w:customStyle="1" w:styleId="76">
    <w:name w:val="标题 5 Char"/>
    <w:basedOn w:val="42"/>
    <w:link w:val="7"/>
    <w:qFormat/>
    <w:uiPriority w:val="99"/>
    <w:rPr>
      <w:b/>
      <w:bCs/>
      <w:kern w:val="2"/>
      <w:sz w:val="28"/>
      <w:szCs w:val="28"/>
    </w:rPr>
  </w:style>
  <w:style w:type="character" w:customStyle="1" w:styleId="77">
    <w:name w:val="标题 6 Char"/>
    <w:basedOn w:val="42"/>
    <w:link w:val="8"/>
    <w:qFormat/>
    <w:uiPriority w:val="99"/>
    <w:rPr>
      <w:rFonts w:ascii="Cambria" w:hAnsi="Cambria" w:cs="Cambria"/>
      <w:b/>
      <w:bCs/>
      <w:kern w:val="2"/>
      <w:sz w:val="24"/>
      <w:szCs w:val="24"/>
    </w:rPr>
  </w:style>
  <w:style w:type="character" w:customStyle="1" w:styleId="78">
    <w:name w:val="标题 7 Char"/>
    <w:basedOn w:val="42"/>
    <w:link w:val="9"/>
    <w:qFormat/>
    <w:uiPriority w:val="99"/>
    <w:rPr>
      <w:rFonts w:ascii="Calibri" w:hAnsi="Calibri" w:cs="Calibri"/>
      <w:b/>
      <w:bCs/>
      <w:kern w:val="2"/>
      <w:sz w:val="24"/>
      <w:szCs w:val="24"/>
    </w:rPr>
  </w:style>
  <w:style w:type="character" w:customStyle="1" w:styleId="79">
    <w:name w:val="标题 8 Char"/>
    <w:basedOn w:val="42"/>
    <w:link w:val="10"/>
    <w:qFormat/>
    <w:uiPriority w:val="99"/>
    <w:rPr>
      <w:rFonts w:ascii="Cambria" w:hAnsi="Cambria" w:cs="Cambria"/>
      <w:kern w:val="2"/>
      <w:sz w:val="24"/>
      <w:szCs w:val="24"/>
    </w:rPr>
  </w:style>
  <w:style w:type="character" w:customStyle="1" w:styleId="80">
    <w:name w:val="标题 9 Char"/>
    <w:basedOn w:val="42"/>
    <w:link w:val="11"/>
    <w:qFormat/>
    <w:uiPriority w:val="99"/>
    <w:rPr>
      <w:rFonts w:ascii="Cambria" w:hAnsi="Cambria" w:cs="Cambria"/>
      <w:kern w:val="2"/>
      <w:sz w:val="21"/>
      <w:szCs w:val="21"/>
    </w:rPr>
  </w:style>
  <w:style w:type="table" w:customStyle="1" w:styleId="8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批注框文本 Char"/>
    <w:basedOn w:val="42"/>
    <w:link w:val="25"/>
    <w:semiHidden/>
    <w:qFormat/>
    <w:uiPriority w:val="99"/>
    <w:rPr>
      <w:kern w:val="2"/>
      <w:sz w:val="18"/>
      <w:szCs w:val="18"/>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85">
    <w:name w:val="正文文本 Char"/>
    <w:basedOn w:val="42"/>
    <w:link w:val="2"/>
    <w:qFormat/>
    <w:uiPriority w:val="99"/>
    <w:rPr>
      <w:rFonts w:asciiTheme="minorHAnsi" w:hAnsiTheme="minorHAnsi" w:eastAsiaTheme="minorEastAsia" w:cstheme="minorBidi"/>
      <w:kern w:val="2"/>
      <w:sz w:val="21"/>
      <w:szCs w:val="22"/>
    </w:rPr>
  </w:style>
  <w:style w:type="character" w:customStyle="1" w:styleId="86">
    <w:name w:val="正文首行缩进 Char"/>
    <w:basedOn w:val="85"/>
    <w:link w:val="39"/>
    <w:qFormat/>
    <w:uiPriority w:val="0"/>
    <w:rPr>
      <w:sz w:val="18"/>
      <w:szCs w:val="18"/>
    </w:rPr>
  </w:style>
  <w:style w:type="character" w:customStyle="1" w:styleId="87">
    <w:name w:val="标题 3 Char"/>
    <w:basedOn w:val="42"/>
    <w:link w:val="5"/>
    <w:qFormat/>
    <w:uiPriority w:val="0"/>
    <w:rPr>
      <w:b/>
      <w:bCs/>
      <w:kern w:val="2"/>
      <w:sz w:val="32"/>
      <w:szCs w:val="32"/>
    </w:rPr>
  </w:style>
  <w:style w:type="character" w:customStyle="1" w:styleId="88">
    <w:name w:val="Heading 2 Char"/>
    <w:basedOn w:val="42"/>
    <w:semiHidden/>
    <w:qFormat/>
    <w:locked/>
    <w:uiPriority w:val="99"/>
    <w:rPr>
      <w:rFonts w:ascii="Cambria" w:hAnsi="Cambria" w:eastAsia="宋体" w:cs="Cambria"/>
      <w:b/>
      <w:bCs/>
      <w:sz w:val="32"/>
      <w:szCs w:val="32"/>
    </w:rPr>
  </w:style>
  <w:style w:type="character" w:customStyle="1" w:styleId="89">
    <w:name w:val="文档结构图 Char"/>
    <w:basedOn w:val="42"/>
    <w:link w:val="15"/>
    <w:qFormat/>
    <w:uiPriority w:val="99"/>
    <w:rPr>
      <w:rFonts w:ascii="宋体" w:cs="宋体"/>
      <w:kern w:val="2"/>
      <w:sz w:val="18"/>
      <w:szCs w:val="18"/>
    </w:rPr>
  </w:style>
  <w:style w:type="character" w:customStyle="1" w:styleId="90">
    <w:name w:val="纯文本 Char1"/>
    <w:basedOn w:val="42"/>
    <w:qFormat/>
    <w:locked/>
    <w:uiPriority w:val="99"/>
    <w:rPr>
      <w:rFonts w:ascii="宋体" w:hAnsi="Tms Rmn" w:eastAsia="宋体" w:cs="宋体"/>
      <w:szCs w:val="21"/>
    </w:rPr>
  </w:style>
  <w:style w:type="character" w:customStyle="1" w:styleId="91">
    <w:name w:val="日期 Char"/>
    <w:basedOn w:val="42"/>
    <w:link w:val="23"/>
    <w:qFormat/>
    <w:uiPriority w:val="99"/>
    <w:rPr>
      <w:kern w:val="2"/>
      <w:sz w:val="21"/>
      <w:szCs w:val="21"/>
    </w:rPr>
  </w:style>
  <w:style w:type="character" w:customStyle="1" w:styleId="92">
    <w:name w:val="正文文本缩进 2 Char"/>
    <w:basedOn w:val="42"/>
    <w:link w:val="24"/>
    <w:qFormat/>
    <w:uiPriority w:val="99"/>
    <w:rPr>
      <w:kern w:val="2"/>
      <w:sz w:val="21"/>
      <w:szCs w:val="24"/>
    </w:rPr>
  </w:style>
  <w:style w:type="character" w:customStyle="1" w:styleId="93">
    <w:name w:val="副标题 Char"/>
    <w:basedOn w:val="42"/>
    <w:link w:val="30"/>
    <w:qFormat/>
    <w:uiPriority w:val="99"/>
    <w:rPr>
      <w:rFonts w:ascii="Cambria" w:hAnsi="Cambria" w:cs="Cambria"/>
      <w:b/>
      <w:bCs/>
      <w:kern w:val="28"/>
      <w:sz w:val="32"/>
      <w:szCs w:val="32"/>
    </w:rPr>
  </w:style>
  <w:style w:type="character" w:customStyle="1" w:styleId="94">
    <w:name w:val="Subtitle Char"/>
    <w:basedOn w:val="42"/>
    <w:qFormat/>
    <w:locked/>
    <w:uiPriority w:val="99"/>
    <w:rPr>
      <w:rFonts w:ascii="Cambria" w:hAnsi="Cambria" w:cs="Cambria"/>
      <w:b/>
      <w:bCs/>
      <w:kern w:val="28"/>
      <w:sz w:val="32"/>
      <w:szCs w:val="32"/>
    </w:rPr>
  </w:style>
  <w:style w:type="character" w:customStyle="1" w:styleId="95">
    <w:name w:val="Title Char"/>
    <w:basedOn w:val="42"/>
    <w:qFormat/>
    <w:locked/>
    <w:uiPriority w:val="99"/>
    <w:rPr>
      <w:rFonts w:ascii="Cambria" w:hAnsi="Cambria" w:cs="Cambria"/>
      <w:b/>
      <w:bCs/>
      <w:kern w:val="2"/>
      <w:sz w:val="32"/>
      <w:szCs w:val="32"/>
    </w:rPr>
  </w:style>
  <w:style w:type="table" w:customStyle="1" w:styleId="96">
    <w:name w:val="网格型1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8">
    <w:name w:val="font31"/>
    <w:basedOn w:val="42"/>
    <w:qFormat/>
    <w:uiPriority w:val="99"/>
    <w:rPr>
      <w:rFonts w:ascii="宋体" w:hAnsi="宋体" w:eastAsia="宋体" w:cs="宋体"/>
      <w:color w:val="000000"/>
      <w:sz w:val="21"/>
      <w:szCs w:val="21"/>
      <w:u w:val="none"/>
    </w:rPr>
  </w:style>
  <w:style w:type="paragraph" w:customStyle="1" w:styleId="99">
    <w:name w:val="Plain Text1"/>
    <w:basedOn w:val="1"/>
    <w:qFormat/>
    <w:uiPriority w:val="99"/>
    <w:pPr>
      <w:adjustRightInd w:val="0"/>
      <w:jc w:val="left"/>
      <w:textAlignment w:val="baseline"/>
    </w:pPr>
    <w:rPr>
      <w:rFonts w:ascii="宋体" w:hAnsi="Courier New" w:cs="宋体"/>
      <w:sz w:val="24"/>
    </w:rPr>
  </w:style>
  <w:style w:type="character" w:customStyle="1" w:styleId="100">
    <w:name w:val="Char Char3"/>
    <w:qFormat/>
    <w:uiPriority w:val="99"/>
    <w:rPr>
      <w:rFonts w:ascii="Arial" w:hAnsi="Arial" w:eastAsia="黑体" w:cs="Arial"/>
      <w:b/>
      <w:bCs/>
      <w:kern w:val="2"/>
      <w:sz w:val="32"/>
      <w:szCs w:val="32"/>
      <w:lang w:val="en-US" w:eastAsia="zh-CN"/>
    </w:rPr>
  </w:style>
  <w:style w:type="character" w:customStyle="1" w:styleId="101">
    <w:name w:val="Char Char Char"/>
    <w:link w:val="102"/>
    <w:qFormat/>
    <w:locked/>
    <w:uiPriority w:val="99"/>
    <w:rPr>
      <w:rFonts w:ascii="Arial" w:hAnsi="Arial" w:eastAsia="黑体" w:cs="Arial"/>
      <w:b/>
      <w:bCs/>
      <w:sz w:val="32"/>
      <w:szCs w:val="32"/>
    </w:rPr>
  </w:style>
  <w:style w:type="paragraph" w:customStyle="1" w:styleId="102">
    <w:name w:val="Char"/>
    <w:basedOn w:val="1"/>
    <w:link w:val="101"/>
    <w:qFormat/>
    <w:uiPriority w:val="99"/>
    <w:rPr>
      <w:rFonts w:ascii="Arial" w:hAnsi="Arial" w:eastAsia="黑体" w:cs="Arial"/>
      <w:b/>
      <w:bCs/>
      <w:kern w:val="0"/>
      <w:sz w:val="32"/>
      <w:szCs w:val="32"/>
    </w:rPr>
  </w:style>
  <w:style w:type="character" w:customStyle="1" w:styleId="103">
    <w:name w:val="无间距字符"/>
    <w:link w:val="104"/>
    <w:qFormat/>
    <w:locked/>
    <w:uiPriority w:val="99"/>
    <w:rPr>
      <w:rFonts w:ascii="Calibri" w:hAnsi="Calibri" w:cs="Calibri"/>
      <w:sz w:val="22"/>
    </w:rPr>
  </w:style>
  <w:style w:type="paragraph" w:customStyle="1" w:styleId="104">
    <w:name w:val="无间距"/>
    <w:link w:val="103"/>
    <w:qFormat/>
    <w:uiPriority w:val="99"/>
    <w:rPr>
      <w:rFonts w:ascii="Calibri" w:hAnsi="Calibri" w:eastAsia="宋体" w:cs="Calibri"/>
      <w:sz w:val="22"/>
      <w:lang w:val="en-US" w:eastAsia="zh-CN" w:bidi="ar-SA"/>
    </w:rPr>
  </w:style>
  <w:style w:type="character" w:customStyle="1" w:styleId="105">
    <w:name w:val="tdrownotice1"/>
    <w:qFormat/>
    <w:uiPriority w:val="99"/>
    <w:rPr>
      <w:sz w:val="22"/>
      <w:szCs w:val="22"/>
    </w:rPr>
  </w:style>
  <w:style w:type="character" w:customStyle="1" w:styleId="106">
    <w:name w:val="页眉 Char1"/>
    <w:basedOn w:val="42"/>
    <w:semiHidden/>
    <w:qFormat/>
    <w:uiPriority w:val="99"/>
    <w:rPr>
      <w:kern w:val="2"/>
      <w:sz w:val="18"/>
      <w:szCs w:val="18"/>
    </w:rPr>
  </w:style>
  <w:style w:type="character" w:customStyle="1" w:styleId="107">
    <w:name w:val="正文文本缩进 Char1"/>
    <w:basedOn w:val="42"/>
    <w:semiHidden/>
    <w:qFormat/>
    <w:uiPriority w:val="99"/>
    <w:rPr>
      <w:kern w:val="2"/>
      <w:sz w:val="21"/>
      <w:szCs w:val="21"/>
    </w:rPr>
  </w:style>
  <w:style w:type="character" w:customStyle="1" w:styleId="108">
    <w:name w:val="批注主题 Char1"/>
    <w:basedOn w:val="67"/>
    <w:qFormat/>
    <w:uiPriority w:val="99"/>
    <w:rPr>
      <w:rFonts w:ascii="Times New Roman" w:hAnsi="Times New Roman" w:eastAsia="宋体" w:cs="Times New Roman"/>
      <w:b/>
      <w:bCs/>
      <w:sz w:val="24"/>
      <w:szCs w:val="24"/>
    </w:rPr>
  </w:style>
  <w:style w:type="character" w:customStyle="1" w:styleId="109">
    <w:name w:val="标题 Char1"/>
    <w:basedOn w:val="42"/>
    <w:qFormat/>
    <w:uiPriority w:val="99"/>
    <w:rPr>
      <w:rFonts w:ascii="Cambria" w:hAnsi="Cambria" w:eastAsia="宋体" w:cs="Cambria"/>
      <w:b/>
      <w:bCs/>
      <w:kern w:val="2"/>
      <w:sz w:val="32"/>
      <w:szCs w:val="32"/>
    </w:rPr>
  </w:style>
  <w:style w:type="character" w:customStyle="1" w:styleId="110">
    <w:name w:val="页脚 Char1"/>
    <w:basedOn w:val="42"/>
    <w:semiHidden/>
    <w:qFormat/>
    <w:uiPriority w:val="99"/>
    <w:rPr>
      <w:kern w:val="2"/>
      <w:sz w:val="18"/>
      <w:szCs w:val="18"/>
    </w:rPr>
  </w:style>
  <w:style w:type="paragraph" w:customStyle="1" w:styleId="111">
    <w:name w:val="Char1"/>
    <w:basedOn w:val="1"/>
    <w:qFormat/>
    <w:uiPriority w:val="99"/>
    <w:rPr>
      <w:szCs w:val="21"/>
    </w:rPr>
  </w:style>
  <w:style w:type="paragraph" w:customStyle="1" w:styleId="112">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sz w:val="28"/>
      <w:szCs w:val="28"/>
    </w:rPr>
  </w:style>
  <w:style w:type="paragraph" w:customStyle="1" w:styleId="113">
    <w:name w:val="样式 首行缩进:  2 字符1"/>
    <w:basedOn w:val="1"/>
    <w:qFormat/>
    <w:uiPriority w:val="99"/>
    <w:pPr>
      <w:spacing w:line="400" w:lineRule="exact"/>
      <w:ind w:firstLine="200" w:firstLineChars="200"/>
    </w:pPr>
    <w:rPr>
      <w:sz w:val="24"/>
    </w:rPr>
  </w:style>
  <w:style w:type="paragraph" w:customStyle="1" w:styleId="114">
    <w:name w:val="Char2"/>
    <w:basedOn w:val="1"/>
    <w:qFormat/>
    <w:uiPriority w:val="99"/>
    <w:rPr>
      <w:szCs w:val="21"/>
    </w:rPr>
  </w:style>
  <w:style w:type="paragraph" w:customStyle="1" w:styleId="115">
    <w:name w:val="Char Char Char Char Char Char Char"/>
    <w:basedOn w:val="1"/>
    <w:qFormat/>
    <w:uiPriority w:val="99"/>
    <w:rPr>
      <w:szCs w:val="21"/>
    </w:rPr>
  </w:style>
  <w:style w:type="paragraph" w:customStyle="1" w:styleId="116">
    <w:name w:val="bf.1"/>
    <w:basedOn w:val="13"/>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kern w:val="0"/>
      <w:sz w:val="24"/>
    </w:rPr>
  </w:style>
  <w:style w:type="paragraph" w:customStyle="1" w:styleId="117">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8">
    <w:name w:val="blockquote"/>
    <w:basedOn w:val="1"/>
    <w:qFormat/>
    <w:uiPriority w:val="99"/>
    <w:pPr>
      <w:widowControl/>
      <w:spacing w:before="100" w:beforeAutospacing="1" w:after="100" w:afterAutospacing="1"/>
    </w:pPr>
    <w:rPr>
      <w:rFonts w:ascii="宋体" w:hAnsi="宋体" w:cs="宋体"/>
      <w:kern w:val="0"/>
      <w:sz w:val="24"/>
    </w:rPr>
  </w:style>
  <w:style w:type="paragraph" w:customStyle="1" w:styleId="119">
    <w:name w:val="样式1"/>
    <w:basedOn w:val="3"/>
    <w:qFormat/>
    <w:uiPriority w:val="99"/>
    <w:pPr>
      <w:spacing w:line="576" w:lineRule="auto"/>
    </w:pPr>
  </w:style>
  <w:style w:type="paragraph" w:customStyle="1" w:styleId="120">
    <w:name w:val="Char Char1 Char"/>
    <w:basedOn w:val="1"/>
    <w:qFormat/>
    <w:uiPriority w:val="99"/>
    <w:rPr>
      <w:szCs w:val="21"/>
    </w:rPr>
  </w:style>
  <w:style w:type="paragraph" w:customStyle="1" w:styleId="121">
    <w:name w:val="Char Char Char Char"/>
    <w:basedOn w:val="1"/>
    <w:qFormat/>
    <w:uiPriority w:val="99"/>
    <w:rPr>
      <w:szCs w:val="21"/>
    </w:rPr>
  </w:style>
  <w:style w:type="paragraph" w:customStyle="1" w:styleId="122">
    <w:name w:val="样式3"/>
    <w:basedOn w:val="3"/>
    <w:qFormat/>
    <w:uiPriority w:val="99"/>
    <w:pPr>
      <w:spacing w:line="576" w:lineRule="auto"/>
    </w:pPr>
  </w:style>
  <w:style w:type="paragraph" w:customStyle="1" w:styleId="123">
    <w:name w:val="p0"/>
    <w:basedOn w:val="1"/>
    <w:qFormat/>
    <w:uiPriority w:val="99"/>
    <w:pPr>
      <w:widowControl/>
    </w:pPr>
    <w:rPr>
      <w:kern w:val="0"/>
      <w:szCs w:val="21"/>
    </w:rPr>
  </w:style>
  <w:style w:type="paragraph" w:customStyle="1" w:styleId="124">
    <w:name w:val="Char Char Char Char Char Char Char Char Char Char Char Char Char"/>
    <w:basedOn w:val="1"/>
    <w:qFormat/>
    <w:uiPriority w:val="99"/>
    <w:pPr>
      <w:widowControl/>
      <w:spacing w:after="160" w:line="240" w:lineRule="exact"/>
      <w:jc w:val="left"/>
    </w:pPr>
    <w:rPr>
      <w:szCs w:val="21"/>
    </w:rPr>
  </w:style>
  <w:style w:type="paragraph" w:customStyle="1" w:styleId="125">
    <w:name w:val="样式2"/>
    <w:basedOn w:val="1"/>
    <w:qFormat/>
    <w:uiPriority w:val="99"/>
    <w:pPr>
      <w:ind w:firstLine="420" w:firstLineChars="150"/>
    </w:pPr>
    <w:rPr>
      <w:sz w:val="24"/>
      <w:lang w:val="en-GB"/>
    </w:rPr>
  </w:style>
  <w:style w:type="paragraph" w:customStyle="1" w:styleId="126">
    <w:name w:val="Blockquote"/>
    <w:basedOn w:val="1"/>
    <w:qFormat/>
    <w:uiPriority w:val="99"/>
    <w:pPr>
      <w:autoSpaceDE w:val="0"/>
      <w:autoSpaceDN w:val="0"/>
      <w:adjustRightInd w:val="0"/>
      <w:spacing w:before="100" w:after="100"/>
      <w:ind w:left="360"/>
    </w:pPr>
    <w:rPr>
      <w:kern w:val="0"/>
      <w:sz w:val="24"/>
    </w:rPr>
  </w:style>
  <w:style w:type="paragraph" w:customStyle="1" w:styleId="127">
    <w:name w:val="Char1 Char Char Char"/>
    <w:basedOn w:val="1"/>
    <w:qFormat/>
    <w:uiPriority w:val="99"/>
    <w:rPr>
      <w:szCs w:val="21"/>
    </w:rPr>
  </w:style>
  <w:style w:type="character" w:customStyle="1" w:styleId="128">
    <w:name w:val="正文文本 Char1"/>
    <w:qFormat/>
    <w:uiPriority w:val="99"/>
    <w:rPr>
      <w:kern w:val="2"/>
      <w:sz w:val="22"/>
      <w:szCs w:val="22"/>
    </w:rPr>
  </w:style>
  <w:style w:type="character" w:customStyle="1" w:styleId="129">
    <w:name w:val="Intense Quote Char"/>
    <w:qFormat/>
    <w:locked/>
    <w:uiPriority w:val="99"/>
    <w:rPr>
      <w:b/>
      <w:bCs/>
      <w:i/>
      <w:iCs/>
      <w:color w:val="4F81BD"/>
      <w:kern w:val="2"/>
      <w:sz w:val="22"/>
      <w:szCs w:val="22"/>
    </w:rPr>
  </w:style>
  <w:style w:type="character" w:customStyle="1" w:styleId="130">
    <w:name w:val="Subtle Emphasis1"/>
    <w:basedOn w:val="42"/>
    <w:qFormat/>
    <w:uiPriority w:val="99"/>
    <w:rPr>
      <w:i/>
      <w:iCs/>
      <w:color w:val="808080"/>
    </w:rPr>
  </w:style>
  <w:style w:type="character" w:customStyle="1" w:styleId="131">
    <w:name w:val="标题4 Char Char"/>
    <w:qFormat/>
    <w:locked/>
    <w:uiPriority w:val="99"/>
    <w:rPr>
      <w:rFonts w:ascii="Arial" w:hAnsi="Arial" w:cs="Arial"/>
      <w:b/>
      <w:bCs/>
      <w:sz w:val="32"/>
      <w:szCs w:val="32"/>
    </w:rPr>
  </w:style>
  <w:style w:type="character" w:customStyle="1" w:styleId="132">
    <w:name w:val="标题5 Char Char"/>
    <w:link w:val="133"/>
    <w:qFormat/>
    <w:locked/>
    <w:uiPriority w:val="99"/>
    <w:rPr>
      <w:rFonts w:ascii="Arial" w:hAnsi="Arial" w:cs="Arial"/>
      <w:b/>
      <w:bCs/>
      <w:sz w:val="32"/>
      <w:szCs w:val="32"/>
    </w:rPr>
  </w:style>
  <w:style w:type="paragraph" w:customStyle="1" w:styleId="133">
    <w:name w:val="标题5"/>
    <w:basedOn w:val="5"/>
    <w:link w:val="132"/>
    <w:qFormat/>
    <w:uiPriority w:val="99"/>
    <w:pPr>
      <w:spacing w:line="413" w:lineRule="auto"/>
    </w:pPr>
    <w:rPr>
      <w:rFonts w:ascii="Arial" w:hAnsi="Arial" w:cs="Arial"/>
      <w:kern w:val="0"/>
    </w:rPr>
  </w:style>
  <w:style w:type="character" w:customStyle="1" w:styleId="134">
    <w:name w:val="Intense Reference1"/>
    <w:basedOn w:val="42"/>
    <w:qFormat/>
    <w:uiPriority w:val="99"/>
    <w:rPr>
      <w:b/>
      <w:bCs/>
      <w:smallCaps/>
      <w:color w:val="auto"/>
      <w:spacing w:val="5"/>
      <w:u w:val="single"/>
    </w:rPr>
  </w:style>
  <w:style w:type="character" w:customStyle="1" w:styleId="135">
    <w:name w:val="Book Title1"/>
    <w:basedOn w:val="42"/>
    <w:qFormat/>
    <w:uiPriority w:val="99"/>
    <w:rPr>
      <w:b/>
      <w:bCs/>
      <w:smallCaps/>
      <w:spacing w:val="5"/>
    </w:rPr>
  </w:style>
  <w:style w:type="character" w:customStyle="1" w:styleId="136">
    <w:name w:val="批注框文本 Char1"/>
    <w:qFormat/>
    <w:uiPriority w:val="99"/>
    <w:rPr>
      <w:kern w:val="2"/>
      <w:sz w:val="18"/>
      <w:szCs w:val="18"/>
    </w:rPr>
  </w:style>
  <w:style w:type="character" w:customStyle="1" w:styleId="137">
    <w:name w:val="Quote Char"/>
    <w:qFormat/>
    <w:locked/>
    <w:uiPriority w:val="99"/>
    <w:rPr>
      <w:i/>
      <w:iCs/>
      <w:color w:val="000000"/>
      <w:kern w:val="2"/>
      <w:sz w:val="22"/>
      <w:szCs w:val="22"/>
    </w:rPr>
  </w:style>
  <w:style w:type="character" w:customStyle="1" w:styleId="138">
    <w:name w:val="日期 Char1"/>
    <w:qFormat/>
    <w:uiPriority w:val="99"/>
    <w:rPr>
      <w:kern w:val="2"/>
      <w:sz w:val="22"/>
      <w:szCs w:val="22"/>
    </w:rPr>
  </w:style>
  <w:style w:type="character" w:customStyle="1" w:styleId="139">
    <w:name w:val="Intense Emphasis1"/>
    <w:basedOn w:val="42"/>
    <w:qFormat/>
    <w:uiPriority w:val="99"/>
    <w:rPr>
      <w:b/>
      <w:bCs/>
      <w:i/>
      <w:iCs/>
      <w:color w:val="4F81BD"/>
    </w:rPr>
  </w:style>
  <w:style w:type="character" w:customStyle="1" w:styleId="140">
    <w:name w:val="textcontents"/>
    <w:qFormat/>
    <w:uiPriority w:val="99"/>
  </w:style>
  <w:style w:type="character" w:customStyle="1" w:styleId="141">
    <w:name w:val="Subtle Reference1"/>
    <w:basedOn w:val="42"/>
    <w:qFormat/>
    <w:uiPriority w:val="99"/>
    <w:rPr>
      <w:smallCaps/>
      <w:color w:val="auto"/>
      <w:u w:val="single"/>
    </w:rPr>
  </w:style>
  <w:style w:type="character" w:customStyle="1" w:styleId="142">
    <w:name w:val="批注文字 Char Char"/>
    <w:qFormat/>
    <w:uiPriority w:val="99"/>
    <w:rPr>
      <w:rFonts w:ascii="宋体" w:hAnsi="Times New Roman" w:eastAsia="宋体" w:cs="宋体"/>
      <w:sz w:val="20"/>
      <w:szCs w:val="20"/>
    </w:rPr>
  </w:style>
  <w:style w:type="character" w:customStyle="1" w:styleId="143">
    <w:name w:val="文档结构图 Char1"/>
    <w:qFormat/>
    <w:uiPriority w:val="99"/>
    <w:rPr>
      <w:rFonts w:ascii="宋体" w:cs="宋体"/>
      <w:kern w:val="2"/>
      <w:sz w:val="18"/>
      <w:szCs w:val="18"/>
    </w:rPr>
  </w:style>
  <w:style w:type="paragraph" w:customStyle="1" w:styleId="144">
    <w:name w:val="Revision1"/>
    <w:qFormat/>
    <w:uiPriority w:val="99"/>
    <w:rPr>
      <w:rFonts w:ascii="Times New Roman" w:hAnsi="Times New Roman" w:eastAsia="宋体" w:cs="Times New Roman"/>
      <w:kern w:val="2"/>
      <w:sz w:val="21"/>
      <w:szCs w:val="21"/>
      <w:lang w:val="en-US" w:eastAsia="zh-CN" w:bidi="ar-SA"/>
    </w:rPr>
  </w:style>
  <w:style w:type="character" w:customStyle="1" w:styleId="145">
    <w:name w:val="批注框文本 Char2"/>
    <w:semiHidden/>
    <w:qFormat/>
    <w:uiPriority w:val="99"/>
    <w:rPr>
      <w:kern w:val="2"/>
      <w:sz w:val="18"/>
      <w:szCs w:val="18"/>
    </w:rPr>
  </w:style>
  <w:style w:type="character" w:customStyle="1" w:styleId="146">
    <w:name w:val="批注主题 Char2"/>
    <w:semiHidden/>
    <w:qFormat/>
    <w:uiPriority w:val="99"/>
    <w:rPr>
      <w:b/>
      <w:bCs/>
      <w:kern w:val="2"/>
      <w:sz w:val="22"/>
      <w:szCs w:val="22"/>
    </w:rPr>
  </w:style>
  <w:style w:type="character" w:customStyle="1" w:styleId="147">
    <w:name w:val="文档结构图 Char2"/>
    <w:semiHidden/>
    <w:qFormat/>
    <w:uiPriority w:val="99"/>
    <w:rPr>
      <w:rFonts w:ascii="宋体" w:cs="宋体"/>
      <w:kern w:val="2"/>
      <w:sz w:val="18"/>
      <w:szCs w:val="18"/>
    </w:rPr>
  </w:style>
  <w:style w:type="character" w:customStyle="1" w:styleId="148">
    <w:name w:val="日期 Char2"/>
    <w:semiHidden/>
    <w:qFormat/>
    <w:uiPriority w:val="99"/>
    <w:rPr>
      <w:kern w:val="2"/>
      <w:sz w:val="22"/>
      <w:szCs w:val="22"/>
    </w:rPr>
  </w:style>
  <w:style w:type="character" w:customStyle="1" w:styleId="149">
    <w:name w:val="正文文本 Char2"/>
    <w:basedOn w:val="42"/>
    <w:semiHidden/>
    <w:qFormat/>
    <w:uiPriority w:val="99"/>
    <w:rPr>
      <w:kern w:val="2"/>
      <w:sz w:val="21"/>
      <w:szCs w:val="21"/>
    </w:rPr>
  </w:style>
  <w:style w:type="paragraph" w:customStyle="1" w:styleId="150">
    <w:name w:val="TOC Heading1"/>
    <w:basedOn w:val="3"/>
    <w:next w:val="1"/>
    <w:qFormat/>
    <w:uiPriority w:val="99"/>
    <w:pPr>
      <w:spacing w:line="576" w:lineRule="auto"/>
      <w:outlineLvl w:val="9"/>
    </w:pPr>
    <w:rPr>
      <w:rFonts w:ascii="Calibri" w:hAnsi="Calibri" w:cs="Calibri"/>
    </w:rPr>
  </w:style>
  <w:style w:type="character" w:customStyle="1" w:styleId="151">
    <w:name w:val="副标题 Char1"/>
    <w:basedOn w:val="42"/>
    <w:qFormat/>
    <w:uiPriority w:val="99"/>
    <w:rPr>
      <w:rFonts w:ascii="Cambria" w:hAnsi="Cambria" w:eastAsia="宋体" w:cs="Cambria"/>
      <w:b/>
      <w:bCs/>
      <w:kern w:val="28"/>
      <w:sz w:val="32"/>
      <w:szCs w:val="32"/>
    </w:rPr>
  </w:style>
  <w:style w:type="paragraph" w:styleId="152">
    <w:name w:val="Intense Quote"/>
    <w:basedOn w:val="1"/>
    <w:next w:val="1"/>
    <w:link w:val="153"/>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3">
    <w:name w:val="明显引用 Char"/>
    <w:basedOn w:val="42"/>
    <w:link w:val="152"/>
    <w:qFormat/>
    <w:uiPriority w:val="99"/>
    <w:rPr>
      <w:rFonts w:ascii="Calibri" w:hAnsi="Calibri" w:cs="Calibri"/>
      <w:b/>
      <w:bCs/>
      <w:i/>
      <w:iCs/>
      <w:color w:val="4F81BD"/>
      <w:kern w:val="2"/>
      <w:sz w:val="22"/>
      <w:szCs w:val="22"/>
    </w:rPr>
  </w:style>
  <w:style w:type="character" w:customStyle="1" w:styleId="154">
    <w:name w:val="明显引用 Char1"/>
    <w:basedOn w:val="42"/>
    <w:qFormat/>
    <w:uiPriority w:val="99"/>
    <w:rPr>
      <w:rFonts w:ascii="Times New Roman" w:hAnsi="Times New Roman" w:eastAsia="宋体" w:cs="Times New Roman"/>
      <w:b/>
      <w:bCs/>
      <w:i/>
      <w:iCs/>
      <w:color w:val="4F81BD"/>
      <w:kern w:val="2"/>
      <w:sz w:val="24"/>
      <w:szCs w:val="24"/>
    </w:rPr>
  </w:style>
  <w:style w:type="paragraph" w:customStyle="1" w:styleId="155">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56">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7">
    <w:name w:val="Quote"/>
    <w:basedOn w:val="1"/>
    <w:next w:val="1"/>
    <w:link w:val="158"/>
    <w:qFormat/>
    <w:uiPriority w:val="99"/>
    <w:rPr>
      <w:rFonts w:ascii="Calibri" w:hAnsi="Calibri" w:cs="Calibri"/>
      <w:i/>
      <w:iCs/>
      <w:color w:val="000000"/>
      <w:sz w:val="22"/>
      <w:szCs w:val="22"/>
    </w:rPr>
  </w:style>
  <w:style w:type="character" w:customStyle="1" w:styleId="158">
    <w:name w:val="引用 Char"/>
    <w:basedOn w:val="42"/>
    <w:link w:val="157"/>
    <w:qFormat/>
    <w:uiPriority w:val="99"/>
    <w:rPr>
      <w:rFonts w:ascii="Calibri" w:hAnsi="Calibri" w:cs="Calibri"/>
      <w:i/>
      <w:iCs/>
      <w:color w:val="000000"/>
      <w:kern w:val="2"/>
      <w:sz w:val="22"/>
      <w:szCs w:val="22"/>
    </w:rPr>
  </w:style>
  <w:style w:type="character" w:customStyle="1" w:styleId="159">
    <w:name w:val="引用 Char1"/>
    <w:basedOn w:val="42"/>
    <w:qFormat/>
    <w:uiPriority w:val="99"/>
    <w:rPr>
      <w:rFonts w:ascii="Times New Roman" w:hAnsi="Times New Roman" w:eastAsia="宋体" w:cs="Times New Roman"/>
      <w:i/>
      <w:iCs/>
      <w:color w:val="000000"/>
      <w:kern w:val="2"/>
      <w:sz w:val="24"/>
      <w:szCs w:val="24"/>
    </w:rPr>
  </w:style>
  <w:style w:type="paragraph" w:customStyle="1" w:styleId="160">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1">
    <w:name w:val="CD正文"/>
    <w:basedOn w:val="1"/>
    <w:qFormat/>
    <w:uiPriority w:val="99"/>
    <w:pPr>
      <w:spacing w:line="360" w:lineRule="auto"/>
      <w:ind w:firstLine="493"/>
    </w:pPr>
    <w:rPr>
      <w:sz w:val="30"/>
      <w:szCs w:val="30"/>
    </w:rPr>
  </w:style>
  <w:style w:type="character" w:customStyle="1" w:styleId="162">
    <w:name w:val="font11"/>
    <w:basedOn w:val="42"/>
    <w:qFormat/>
    <w:uiPriority w:val="0"/>
    <w:rPr>
      <w:rFonts w:hint="eastAsia" w:ascii="宋体" w:hAnsi="宋体" w:eastAsia="宋体" w:cs="宋体"/>
      <w:b/>
      <w:i/>
      <w:color w:val="000000"/>
      <w:sz w:val="18"/>
      <w:szCs w:val="18"/>
      <w:u w:val="none"/>
    </w:rPr>
  </w:style>
  <w:style w:type="character" w:customStyle="1" w:styleId="163">
    <w:name w:val="font61"/>
    <w:basedOn w:val="42"/>
    <w:qFormat/>
    <w:uiPriority w:val="0"/>
    <w:rPr>
      <w:rFonts w:hint="eastAsia" w:ascii="宋体" w:hAnsi="宋体" w:eastAsia="宋体" w:cs="宋体"/>
      <w:color w:val="000000"/>
      <w:sz w:val="18"/>
      <w:szCs w:val="18"/>
      <w:u w:val="none"/>
    </w:rPr>
  </w:style>
  <w:style w:type="character" w:customStyle="1" w:styleId="164">
    <w:name w:val="font01"/>
    <w:basedOn w:val="42"/>
    <w:qFormat/>
    <w:uiPriority w:val="0"/>
    <w:rPr>
      <w:rFonts w:hint="eastAsia" w:ascii="宋体" w:hAnsi="宋体" w:eastAsia="宋体" w:cs="宋体"/>
      <w:color w:val="000000"/>
      <w:sz w:val="18"/>
      <w:szCs w:val="18"/>
      <w:u w:val="none"/>
      <w:vertAlign w:val="subscript"/>
    </w:rPr>
  </w:style>
  <w:style w:type="character" w:customStyle="1" w:styleId="165">
    <w:name w:val="font81"/>
    <w:basedOn w:val="42"/>
    <w:qFormat/>
    <w:uiPriority w:val="0"/>
    <w:rPr>
      <w:rFonts w:hint="eastAsia" w:ascii="宋体" w:hAnsi="宋体" w:eastAsia="宋体" w:cs="宋体"/>
      <w:color w:val="000000"/>
      <w:sz w:val="18"/>
      <w:szCs w:val="18"/>
      <w:u w:val="none"/>
      <w:vertAlign w:val="superscript"/>
    </w:rPr>
  </w:style>
  <w:style w:type="character" w:customStyle="1" w:styleId="166">
    <w:name w:val="font21"/>
    <w:basedOn w:val="42"/>
    <w:qFormat/>
    <w:uiPriority w:val="0"/>
    <w:rPr>
      <w:rFonts w:ascii="Arial" w:hAnsi="Arial" w:cs="Arial"/>
      <w:color w:val="000000"/>
      <w:sz w:val="20"/>
      <w:szCs w:val="20"/>
      <w:u w:val="none"/>
    </w:rPr>
  </w:style>
  <w:style w:type="character" w:customStyle="1" w:styleId="167">
    <w:name w:val="font41"/>
    <w:basedOn w:val="42"/>
    <w:qFormat/>
    <w:uiPriority w:val="0"/>
    <w:rPr>
      <w:rFonts w:hint="eastAsia" w:ascii="宋体" w:hAnsi="宋体" w:eastAsia="宋体" w:cs="宋体"/>
      <w:color w:val="000000"/>
      <w:sz w:val="20"/>
      <w:szCs w:val="20"/>
      <w:u w:val="none"/>
    </w:rPr>
  </w:style>
  <w:style w:type="character" w:customStyle="1" w:styleId="168">
    <w:name w:val="font101"/>
    <w:basedOn w:val="42"/>
    <w:qFormat/>
    <w:uiPriority w:val="0"/>
    <w:rPr>
      <w:rFonts w:hint="eastAsia" w:ascii="宋体" w:hAnsi="宋体" w:eastAsia="宋体" w:cs="宋体"/>
      <w:color w:val="000000"/>
      <w:sz w:val="18"/>
      <w:szCs w:val="18"/>
      <w:u w:val="none"/>
      <w:vertAlign w:val="subscript"/>
    </w:rPr>
  </w:style>
  <w:style w:type="character" w:customStyle="1" w:styleId="169">
    <w:name w:val="font71"/>
    <w:basedOn w:val="42"/>
    <w:qFormat/>
    <w:uiPriority w:val="0"/>
    <w:rPr>
      <w:rFonts w:ascii="Malgun Gothic" w:hAnsi="Malgun Gothic" w:eastAsia="Malgun Gothic" w:cs="Malgun Gothic"/>
      <w:color w:val="000000"/>
      <w:sz w:val="20"/>
      <w:szCs w:val="20"/>
      <w:u w:val="none"/>
    </w:rPr>
  </w:style>
  <w:style w:type="character" w:customStyle="1" w:styleId="170">
    <w:name w:val="font91"/>
    <w:basedOn w:val="42"/>
    <w:qFormat/>
    <w:uiPriority w:val="0"/>
    <w:rPr>
      <w:rFonts w:hint="eastAsia" w:ascii="宋体" w:hAnsi="宋体" w:eastAsia="宋体" w:cs="宋体"/>
      <w:color w:val="000000"/>
      <w:sz w:val="20"/>
      <w:szCs w:val="20"/>
      <w:u w:val="none"/>
    </w:rPr>
  </w:style>
  <w:style w:type="character" w:customStyle="1" w:styleId="171">
    <w:name w:val="font51"/>
    <w:basedOn w:val="42"/>
    <w:qFormat/>
    <w:uiPriority w:val="0"/>
    <w:rPr>
      <w:rFonts w:hint="eastAsia" w:ascii="Malgun Gothic" w:hAnsi="Malgun Gothic" w:eastAsia="Malgun Gothic" w:cs="Malgun Gothic"/>
      <w:color w:val="000000"/>
      <w:sz w:val="20"/>
      <w:szCs w:val="20"/>
      <w:u w:val="none"/>
    </w:rPr>
  </w:style>
  <w:style w:type="character" w:customStyle="1" w:styleId="172">
    <w:name w:val="font112"/>
    <w:basedOn w:val="42"/>
    <w:qFormat/>
    <w:uiPriority w:val="0"/>
    <w:rPr>
      <w:rFonts w:hint="eastAsia" w:ascii="宋体" w:hAnsi="宋体" w:eastAsia="宋体" w:cs="宋体"/>
      <w:b/>
      <w:i/>
      <w:color w:val="000000"/>
      <w:sz w:val="18"/>
      <w:szCs w:val="18"/>
      <w:u w:val="none"/>
    </w:rPr>
  </w:style>
  <w:style w:type="character" w:customStyle="1" w:styleId="173">
    <w:name w:val="font121"/>
    <w:basedOn w:val="42"/>
    <w:qFormat/>
    <w:uiPriority w:val="0"/>
    <w:rPr>
      <w:rFonts w:hint="eastAsia" w:ascii="宋体" w:hAnsi="宋体" w:eastAsia="宋体" w:cs="宋体"/>
      <w:color w:val="000000"/>
      <w:sz w:val="18"/>
      <w:szCs w:val="18"/>
      <w:u w:val="none"/>
      <w:vertAlign w:val="subscript"/>
    </w:rPr>
  </w:style>
  <w:style w:type="character" w:customStyle="1" w:styleId="174">
    <w:name w:val="font131"/>
    <w:basedOn w:val="42"/>
    <w:qFormat/>
    <w:uiPriority w:val="0"/>
    <w:rPr>
      <w:rFonts w:ascii="Arial" w:hAnsi="Arial" w:cs="Arial"/>
      <w:color w:val="000000"/>
      <w:sz w:val="20"/>
      <w:szCs w:val="20"/>
      <w:u w:val="none"/>
    </w:rPr>
  </w:style>
  <w:style w:type="table" w:customStyle="1" w:styleId="175">
    <w:name w:val="网格型21"/>
    <w:basedOn w:val="4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6501</Words>
  <Characters>37061</Characters>
  <Lines>308</Lines>
  <Paragraphs>86</Paragraphs>
  <TotalTime>3</TotalTime>
  <ScaleCrop>false</ScaleCrop>
  <LinksUpToDate>false</LinksUpToDate>
  <CharactersWithSpaces>43476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2022-06-20T23:57:00Z</dcterms:created>
  <dc:creator>四川中海汇工程项目管理有限公司</dc:creator>
  <cp:lastModifiedBy>uos</cp:lastModifiedBy>
  <cp:lastPrinted>2022-06-21T00:27:00Z</cp:lastPrinted>
  <dcterms:modified xsi:type="dcterms:W3CDTF">2024-03-13T10:46:51Z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