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E97DA">
      <w:pPr>
        <w:kinsoku/>
        <w:overflowPunct/>
        <w:bidi w:val="0"/>
        <w:ind w:firstLine="602" w:firstLineChars="200"/>
        <w:jc w:val="left"/>
        <w:rPr>
          <w:rFonts w:hint="eastAsia" w:asciiTheme="minorEastAsia" w:hAnsiTheme="minorEastAsia" w:eastAsiaTheme="minorEastAsia" w:cstheme="minorEastAsia"/>
          <w:b/>
          <w:color w:val="auto"/>
          <w:sz w:val="30"/>
          <w:szCs w:val="30"/>
          <w:highlight w:val="none"/>
        </w:rPr>
      </w:pPr>
    </w:p>
    <w:p w14:paraId="66F25E46">
      <w:pPr>
        <w:kinsoku/>
        <w:overflowPunct/>
        <w:bidi w:val="0"/>
        <w:ind w:left="0" w:leftChars="0" w:right="0" w:rightChars="0" w:firstLine="602" w:firstLineChars="200"/>
        <w:jc w:val="center"/>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rPr>
        <w:t>项目编号：</w:t>
      </w:r>
      <w:r>
        <w:rPr>
          <w:rFonts w:hint="eastAsia" w:asciiTheme="minorEastAsia" w:hAnsiTheme="minorEastAsia" w:eastAsiaTheme="minorEastAsia" w:cstheme="minorEastAsia"/>
          <w:b/>
          <w:color w:val="auto"/>
          <w:sz w:val="30"/>
          <w:szCs w:val="30"/>
          <w:highlight w:val="none"/>
          <w:lang w:eastAsia="zh-CN"/>
        </w:rPr>
        <w:t>SCLG-2025（CS）-1107</w:t>
      </w:r>
    </w:p>
    <w:p w14:paraId="1526D105">
      <w:pPr>
        <w:pStyle w:val="10"/>
        <w:kinsoku/>
        <w:overflowPunct/>
        <w:bidi w:val="0"/>
        <w:ind w:firstLine="680" w:firstLineChars="200"/>
        <w:rPr>
          <w:rFonts w:hint="eastAsia" w:ascii="宋体" w:hAnsi="宋体"/>
          <w:color w:val="auto"/>
          <w:highlight w:val="none"/>
        </w:rPr>
      </w:pPr>
    </w:p>
    <w:p w14:paraId="2F52436D">
      <w:pPr>
        <w:kinsoku/>
        <w:overflowPunct/>
        <w:bidi w:val="0"/>
        <w:rPr>
          <w:rFonts w:hint="eastAsia" w:ascii="宋体" w:hAnsi="宋体" w:eastAsia="宋体"/>
          <w:b/>
          <w:color w:val="auto"/>
          <w:sz w:val="52"/>
          <w:szCs w:val="52"/>
          <w:highlight w:val="none"/>
          <w:lang w:eastAsia="zh-CN"/>
        </w:rPr>
      </w:pPr>
      <w:r>
        <w:rPr>
          <w:rFonts w:hint="eastAsia" w:hAnsi="宋体" w:cs="宋体"/>
          <w:b/>
          <w:bCs/>
          <w:color w:val="auto"/>
          <w:sz w:val="48"/>
          <w:szCs w:val="44"/>
          <w:highlight w:val="none"/>
          <w:lang w:eastAsia="zh-CN"/>
        </w:rPr>
        <w:t>广元市水利局防汛信息系统运行维护项目</w:t>
      </w:r>
    </w:p>
    <w:p w14:paraId="694234F9">
      <w:pPr>
        <w:pStyle w:val="10"/>
        <w:kinsoku/>
        <w:overflowPunct/>
        <w:bidi w:val="0"/>
        <w:ind w:firstLine="680" w:firstLineChars="200"/>
        <w:rPr>
          <w:rFonts w:hint="eastAsia" w:ascii="宋体" w:hAnsi="宋体"/>
          <w:color w:val="auto"/>
          <w:highlight w:val="none"/>
        </w:rPr>
      </w:pPr>
    </w:p>
    <w:p w14:paraId="3CDD38A9">
      <w:pPr>
        <w:pStyle w:val="10"/>
        <w:kinsoku/>
        <w:overflowPunct/>
        <w:bidi w:val="0"/>
        <w:ind w:firstLine="680" w:firstLineChars="200"/>
        <w:jc w:val="both"/>
        <w:rPr>
          <w:rFonts w:hint="eastAsia" w:ascii="宋体" w:hAnsi="宋体"/>
          <w:color w:val="auto"/>
          <w:highlight w:val="none"/>
        </w:rPr>
      </w:pPr>
    </w:p>
    <w:p w14:paraId="2BDE97A9">
      <w:pPr>
        <w:kinsoku/>
        <w:overflowPunct/>
        <w:bidi w:val="0"/>
        <w:jc w:val="center"/>
        <w:rPr>
          <w:rFonts w:hint="eastAsia" w:ascii="宋体" w:hAnsi="宋体"/>
          <w:b/>
          <w:color w:val="auto"/>
          <w:sz w:val="52"/>
          <w:szCs w:val="52"/>
          <w:highlight w:val="none"/>
        </w:rPr>
      </w:pPr>
      <w:r>
        <w:rPr>
          <w:rFonts w:hint="eastAsia" w:ascii="宋体" w:hAnsi="宋体"/>
          <w:b/>
          <w:color w:val="auto"/>
          <w:sz w:val="52"/>
          <w:szCs w:val="52"/>
          <w:highlight w:val="none"/>
        </w:rPr>
        <w:t>竞</w:t>
      </w:r>
    </w:p>
    <w:p w14:paraId="48200878">
      <w:pPr>
        <w:kinsoku/>
        <w:overflowPunct/>
        <w:bidi w:val="0"/>
        <w:jc w:val="center"/>
        <w:rPr>
          <w:rFonts w:hint="eastAsia" w:ascii="宋体" w:hAnsi="宋体"/>
          <w:b/>
          <w:color w:val="auto"/>
          <w:sz w:val="52"/>
          <w:szCs w:val="52"/>
          <w:highlight w:val="none"/>
        </w:rPr>
      </w:pPr>
      <w:r>
        <w:rPr>
          <w:rFonts w:hint="eastAsia" w:ascii="宋体" w:hAnsi="宋体"/>
          <w:b/>
          <w:color w:val="auto"/>
          <w:sz w:val="52"/>
          <w:szCs w:val="52"/>
          <w:highlight w:val="none"/>
        </w:rPr>
        <w:t>争</w:t>
      </w:r>
    </w:p>
    <w:p w14:paraId="352E2096">
      <w:pPr>
        <w:kinsoku/>
        <w:overflowPunct/>
        <w:bidi w:val="0"/>
        <w:jc w:val="center"/>
        <w:rPr>
          <w:rFonts w:hint="eastAsia" w:ascii="宋体" w:hAnsi="宋体"/>
          <w:b/>
          <w:color w:val="auto"/>
          <w:sz w:val="52"/>
          <w:szCs w:val="52"/>
          <w:highlight w:val="none"/>
        </w:rPr>
      </w:pPr>
      <w:r>
        <w:rPr>
          <w:rFonts w:hint="eastAsia" w:ascii="宋体" w:hAnsi="宋体"/>
          <w:b/>
          <w:color w:val="auto"/>
          <w:sz w:val="52"/>
          <w:szCs w:val="52"/>
          <w:highlight w:val="none"/>
        </w:rPr>
        <w:t>性</w:t>
      </w:r>
    </w:p>
    <w:p w14:paraId="2F900072">
      <w:pPr>
        <w:kinsoku/>
        <w:overflowPunct/>
        <w:bidi w:val="0"/>
        <w:jc w:val="center"/>
        <w:rPr>
          <w:rFonts w:hint="eastAsia" w:ascii="宋体" w:hAnsi="宋体"/>
          <w:b/>
          <w:color w:val="auto"/>
          <w:sz w:val="52"/>
          <w:szCs w:val="52"/>
          <w:highlight w:val="none"/>
        </w:rPr>
      </w:pPr>
      <w:r>
        <w:rPr>
          <w:rFonts w:hint="eastAsia" w:ascii="宋体" w:hAnsi="宋体"/>
          <w:b/>
          <w:color w:val="auto"/>
          <w:sz w:val="52"/>
          <w:szCs w:val="52"/>
          <w:highlight w:val="none"/>
        </w:rPr>
        <w:t>磋</w:t>
      </w:r>
    </w:p>
    <w:p w14:paraId="4BBB2E3E">
      <w:pPr>
        <w:kinsoku/>
        <w:overflowPunct/>
        <w:bidi w:val="0"/>
        <w:jc w:val="center"/>
        <w:rPr>
          <w:rFonts w:hint="eastAsia" w:ascii="宋体" w:hAnsi="宋体"/>
          <w:b/>
          <w:color w:val="auto"/>
          <w:sz w:val="52"/>
          <w:szCs w:val="52"/>
          <w:highlight w:val="none"/>
        </w:rPr>
      </w:pPr>
      <w:r>
        <w:rPr>
          <w:rFonts w:hint="eastAsia" w:ascii="宋体" w:hAnsi="宋体"/>
          <w:b/>
          <w:color w:val="auto"/>
          <w:sz w:val="52"/>
          <w:szCs w:val="52"/>
          <w:highlight w:val="none"/>
        </w:rPr>
        <w:t>商</w:t>
      </w:r>
    </w:p>
    <w:p w14:paraId="11EF763F">
      <w:pPr>
        <w:kinsoku/>
        <w:overflowPunct/>
        <w:bidi w:val="0"/>
        <w:jc w:val="center"/>
        <w:rPr>
          <w:rFonts w:hint="eastAsia" w:ascii="宋体" w:hAnsi="宋体"/>
          <w:b/>
          <w:color w:val="auto"/>
          <w:sz w:val="52"/>
          <w:szCs w:val="52"/>
          <w:highlight w:val="none"/>
        </w:rPr>
      </w:pPr>
      <w:r>
        <w:rPr>
          <w:rFonts w:hint="eastAsia" w:ascii="宋体" w:hAnsi="宋体"/>
          <w:b/>
          <w:color w:val="auto"/>
          <w:sz w:val="52"/>
          <w:szCs w:val="52"/>
          <w:highlight w:val="none"/>
        </w:rPr>
        <w:t>文</w:t>
      </w:r>
    </w:p>
    <w:p w14:paraId="0DCF2C9F">
      <w:pPr>
        <w:kinsoku/>
        <w:overflowPunct/>
        <w:bidi w:val="0"/>
        <w:jc w:val="center"/>
        <w:rPr>
          <w:rFonts w:hint="eastAsia" w:ascii="宋体" w:hAnsi="宋体"/>
          <w:b/>
          <w:color w:val="auto"/>
          <w:sz w:val="52"/>
          <w:szCs w:val="52"/>
          <w:highlight w:val="none"/>
        </w:rPr>
      </w:pPr>
      <w:r>
        <w:rPr>
          <w:rFonts w:hint="eastAsia" w:ascii="宋体" w:hAnsi="宋体"/>
          <w:b/>
          <w:color w:val="auto"/>
          <w:sz w:val="52"/>
          <w:szCs w:val="52"/>
          <w:highlight w:val="none"/>
        </w:rPr>
        <w:t>件</w:t>
      </w:r>
    </w:p>
    <w:p w14:paraId="5EAE8EDB">
      <w:pPr>
        <w:pStyle w:val="10"/>
        <w:kinsoku/>
        <w:overflowPunct/>
        <w:bidi w:val="0"/>
        <w:ind w:firstLine="1044" w:firstLineChars="200"/>
        <w:jc w:val="center"/>
        <w:rPr>
          <w:rFonts w:hint="eastAsia" w:asciiTheme="minorEastAsia" w:hAnsiTheme="minorEastAsia" w:eastAsiaTheme="minorEastAsia" w:cstheme="minorEastAsia"/>
          <w:b/>
          <w:color w:val="auto"/>
          <w:sz w:val="52"/>
          <w:szCs w:val="52"/>
          <w:highlight w:val="none"/>
        </w:rPr>
      </w:pPr>
    </w:p>
    <w:p w14:paraId="2C3A6B15">
      <w:pPr>
        <w:pStyle w:val="10"/>
        <w:kinsoku/>
        <w:overflowPunct/>
        <w:bidi w:val="0"/>
        <w:ind w:firstLine="1044" w:firstLineChars="200"/>
        <w:jc w:val="center"/>
        <w:rPr>
          <w:rFonts w:hint="eastAsia" w:asciiTheme="minorEastAsia" w:hAnsiTheme="minorEastAsia" w:eastAsiaTheme="minorEastAsia" w:cstheme="minorEastAsia"/>
          <w:b/>
          <w:color w:val="auto"/>
          <w:sz w:val="52"/>
          <w:szCs w:val="52"/>
          <w:highlight w:val="none"/>
        </w:rPr>
      </w:pPr>
    </w:p>
    <w:p w14:paraId="78772062">
      <w:pPr>
        <w:kinsoku/>
        <w:overflowPunct/>
        <w:bidi w:val="0"/>
        <w:jc w:val="center"/>
        <w:rPr>
          <w:rFonts w:hint="eastAsia"/>
          <w:color w:val="auto"/>
          <w:highlight w:val="none"/>
        </w:rPr>
      </w:pPr>
    </w:p>
    <w:p w14:paraId="5BAF338D">
      <w:pPr>
        <w:kinsoku/>
        <w:overflowPunct/>
        <w:bidi w:val="0"/>
        <w:spacing w:line="360" w:lineRule="auto"/>
        <w:jc w:val="center"/>
        <w:rPr>
          <w:rFonts w:hint="eastAsia" w:asciiTheme="minorEastAsia" w:hAnsiTheme="minorEastAsia" w:eastAsiaTheme="minorEastAsia" w:cstheme="minorEastAsia"/>
          <w:b/>
          <w:color w:val="auto"/>
          <w:sz w:val="32"/>
          <w:szCs w:val="32"/>
          <w:highlight w:val="none"/>
        </w:rPr>
      </w:pPr>
      <w:bookmarkStart w:id="0" w:name="_Hlt101233737"/>
      <w:bookmarkEnd w:id="0"/>
      <w:bookmarkStart w:id="1" w:name="_Hlt101843627"/>
      <w:bookmarkEnd w:id="1"/>
      <w:r>
        <w:rPr>
          <w:rFonts w:hint="eastAsia" w:asciiTheme="minorEastAsia" w:hAnsiTheme="minorEastAsia" w:eastAsiaTheme="minorEastAsia" w:cstheme="minorEastAsia"/>
          <w:b/>
          <w:color w:val="auto"/>
          <w:sz w:val="32"/>
          <w:szCs w:val="32"/>
          <w:highlight w:val="none"/>
        </w:rPr>
        <w:t>中国·四川</w:t>
      </w:r>
    </w:p>
    <w:p w14:paraId="34509877">
      <w:pPr>
        <w:kinsoku/>
        <w:overflowPunct/>
        <w:bidi w:val="0"/>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采购人：</w:t>
      </w:r>
      <w:r>
        <w:rPr>
          <w:rFonts w:hint="eastAsia" w:asciiTheme="minorEastAsia" w:hAnsiTheme="minorEastAsia" w:eastAsiaTheme="minorEastAsia" w:cstheme="minorEastAsia"/>
          <w:b/>
          <w:color w:val="auto"/>
          <w:sz w:val="32"/>
          <w:szCs w:val="32"/>
          <w:highlight w:val="none"/>
          <w:lang w:eastAsia="zh-CN"/>
        </w:rPr>
        <w:t>广元市水利局</w:t>
      </w:r>
    </w:p>
    <w:p w14:paraId="3EFF78CB">
      <w:pPr>
        <w:kinsoku/>
        <w:overflowPunct/>
        <w:bidi w:val="0"/>
        <w:spacing w:line="360" w:lineRule="auto"/>
        <w:jc w:val="center"/>
        <w:rPr>
          <w:rFonts w:hint="eastAsia" w:asciiTheme="minorEastAsia" w:hAnsiTheme="minorEastAsia" w:eastAsiaTheme="minorEastAsia" w:cstheme="minorEastAsia"/>
          <w:b/>
          <w:color w:val="auto"/>
          <w:sz w:val="32"/>
          <w:szCs w:val="32"/>
          <w:highlight w:val="none"/>
          <w:lang w:eastAsia="zh-CN"/>
        </w:rPr>
      </w:pPr>
      <w:r>
        <w:rPr>
          <w:rFonts w:hint="eastAsia" w:asciiTheme="minorEastAsia" w:hAnsiTheme="minorEastAsia" w:eastAsiaTheme="minorEastAsia" w:cstheme="minorEastAsia"/>
          <w:b/>
          <w:color w:val="auto"/>
          <w:sz w:val="32"/>
          <w:szCs w:val="32"/>
          <w:highlight w:val="none"/>
        </w:rPr>
        <w:t>采购代理机构：</w:t>
      </w:r>
      <w:r>
        <w:rPr>
          <w:rFonts w:hint="eastAsia" w:asciiTheme="minorEastAsia" w:hAnsiTheme="minorEastAsia" w:eastAsiaTheme="minorEastAsia" w:cstheme="minorEastAsia"/>
          <w:b/>
          <w:color w:val="auto"/>
          <w:sz w:val="32"/>
          <w:szCs w:val="32"/>
          <w:highlight w:val="none"/>
          <w:lang w:eastAsia="zh-CN"/>
        </w:rPr>
        <w:t>四川立格建设项目管理有限公司</w:t>
      </w:r>
    </w:p>
    <w:p w14:paraId="4B3EC62A">
      <w:pPr>
        <w:kinsoku/>
        <w:overflowPunct/>
        <w:bidi w:val="0"/>
        <w:spacing w:line="360" w:lineRule="auto"/>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color w:val="auto"/>
          <w:sz w:val="30"/>
          <w:szCs w:val="30"/>
          <w:highlight w:val="none"/>
          <w:lang w:eastAsia="zh-CN"/>
        </w:rPr>
        <w:t>2025年</w:t>
      </w:r>
      <w:r>
        <w:rPr>
          <w:rFonts w:hint="eastAsia" w:asciiTheme="minorEastAsia" w:hAnsiTheme="minorEastAsia" w:eastAsiaTheme="minorEastAsia" w:cstheme="minorEastAsia"/>
          <w:b/>
          <w:color w:val="auto"/>
          <w:sz w:val="30"/>
          <w:szCs w:val="30"/>
          <w:highlight w:val="none"/>
          <w:lang w:val="en-US" w:eastAsia="zh-CN"/>
        </w:rPr>
        <w:t>11</w:t>
      </w:r>
      <w:r>
        <w:rPr>
          <w:rFonts w:hint="eastAsia" w:asciiTheme="minorEastAsia" w:hAnsiTheme="minorEastAsia" w:eastAsiaTheme="minorEastAsia" w:cstheme="minorEastAsia"/>
          <w:b/>
          <w:color w:val="auto"/>
          <w:sz w:val="30"/>
          <w:szCs w:val="30"/>
          <w:highlight w:val="none"/>
          <w:lang w:eastAsia="zh-CN"/>
        </w:rPr>
        <w:t>月</w:t>
      </w:r>
    </w:p>
    <w:p w14:paraId="56B0F498">
      <w:pPr>
        <w:pStyle w:val="53"/>
        <w:tabs>
          <w:tab w:val="right" w:leader="dot" w:pos="10007"/>
        </w:tabs>
        <w:kinsoku/>
        <w:overflowPunct/>
        <w:bidi w:val="0"/>
        <w:ind w:firstLine="560" w:firstLineChars="200"/>
        <w:rPr>
          <w:rFonts w:hint="eastAsia" w:asciiTheme="minorEastAsia" w:hAnsiTheme="minorEastAsia" w:eastAsiaTheme="minorEastAsia" w:cstheme="minorEastAsia"/>
          <w:color w:val="auto"/>
          <w:sz w:val="28"/>
          <w:szCs w:val="28"/>
          <w:highlight w:val="none"/>
        </w:rPr>
      </w:pPr>
    </w:p>
    <w:p w14:paraId="050D0484">
      <w:pPr>
        <w:pStyle w:val="53"/>
        <w:tabs>
          <w:tab w:val="right" w:leader="dot" w:pos="10007"/>
        </w:tabs>
        <w:kinsoku/>
        <w:overflowPunct/>
        <w:bidi w:val="0"/>
        <w:ind w:firstLine="560" w:firstLineChars="200"/>
        <w:rPr>
          <w:rFonts w:hint="eastAsia" w:asciiTheme="minorEastAsia" w:hAnsiTheme="minorEastAsia" w:eastAsiaTheme="minorEastAsia" w:cstheme="minorEastAsia"/>
          <w:color w:val="auto"/>
          <w:sz w:val="28"/>
          <w:szCs w:val="28"/>
          <w:highlight w:val="none"/>
        </w:rPr>
      </w:pPr>
    </w:p>
    <w:p w14:paraId="0008F3A6">
      <w:pPr>
        <w:pStyle w:val="53"/>
        <w:tabs>
          <w:tab w:val="right" w:leader="dot" w:pos="10007"/>
        </w:tabs>
        <w:kinsoku/>
        <w:overflowPunct/>
        <w:bidi w:val="0"/>
        <w:ind w:firstLine="560" w:firstLineChars="200"/>
        <w:rPr>
          <w:rFonts w:hint="eastAsia" w:asciiTheme="minorEastAsia" w:hAnsiTheme="minorEastAsia" w:eastAsiaTheme="minorEastAsia" w:cstheme="minorEastAsia"/>
          <w:color w:val="auto"/>
          <w:sz w:val="28"/>
          <w:szCs w:val="28"/>
          <w:highlight w:val="none"/>
        </w:rPr>
        <w:sectPr>
          <w:pgSz w:w="11905" w:h="16838"/>
          <w:pgMar w:top="1417" w:right="1531" w:bottom="1417" w:left="1531" w:header="851" w:footer="992" w:gutter="0"/>
          <w:pgNumType w:fmt="decimal"/>
          <w:cols w:space="0" w:num="1"/>
          <w:rtlGutter w:val="0"/>
          <w:docGrid w:linePitch="312" w:charSpace="0"/>
        </w:sectPr>
      </w:pPr>
    </w:p>
    <w:p w14:paraId="403C4338">
      <w:pPr>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p>
    <w:p w14:paraId="7EF76E2B">
      <w:pPr>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目</w:t>
      </w:r>
      <w:r>
        <w:rPr>
          <w:rFonts w:hint="eastAsia" w:asciiTheme="minorEastAsia" w:hAnsiTheme="minorEastAsia" w:eastAsiaTheme="minorEastAsia" w:cstheme="minorEastAsia"/>
          <w:b/>
          <w:bCs/>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rPr>
        <w:t>录</w:t>
      </w:r>
    </w:p>
    <w:p w14:paraId="44FD29DB">
      <w:pPr>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p>
    <w:p w14:paraId="15CDF576">
      <w:pPr>
        <w:kinsoku/>
        <w:overflowPunct/>
        <w:bidi w:val="0"/>
        <w:ind w:firstLine="680" w:firstLineChars="200"/>
        <w:rPr>
          <w:rFonts w:hint="eastAsia"/>
          <w:color w:val="auto"/>
          <w:highlight w:val="none"/>
        </w:rPr>
      </w:pPr>
    </w:p>
    <w:p w14:paraId="2DD7E30C">
      <w:pPr>
        <w:pStyle w:val="19"/>
        <w:tabs>
          <w:tab w:val="right" w:leader="dot" w:pos="8843"/>
        </w:tabs>
        <w:kinsoku/>
        <w:overflowPunct/>
        <w:bidi w:val="0"/>
        <w:spacing w:line="360" w:lineRule="auto"/>
        <w:ind w:firstLine="482" w:firstLineChars="200"/>
        <w:rPr>
          <w:color w:val="auto"/>
          <w:sz w:val="24"/>
          <w:szCs w:val="24"/>
          <w:highlight w:val="none"/>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TOC \o "1-1" \h \u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_Toc952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第一章  磋商邀请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_Toc952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3A0823B">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_Toc24477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第二章  磋商须知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_Toc24477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58DE9FB4">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_Toc17683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第三章  供应商资格条件要求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_Toc17683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2F8A55C">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_Toc16045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bCs/>
          <w:color w:val="auto"/>
          <w:kern w:val="44"/>
          <w:sz w:val="24"/>
          <w:szCs w:val="24"/>
          <w:highlight w:val="none"/>
          <w:lang w:val="en-US" w:eastAsia="zh-CN" w:bidi="ar-SA"/>
        </w:rPr>
        <w:t>第四章  供应商资格证明材料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_Toc16045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EF135FE">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_Toc21403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第五章  采购项目一般服务、商务要求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_Toc21403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0DA516BD">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_Toc20623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第六章  体现满足采购需求、质量和服务相等的采购项目实质性要求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_Toc20623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1F34B173">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_Toc9130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第七章  磋商过程中可实质性变动的内容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_Toc9130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6912D73B">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_Toc5346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第八章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_Toc5346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4F5C121A">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_Toc26701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第九章  评审方法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_Toc26701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35C50327">
      <w:pPr>
        <w:pStyle w:val="19"/>
        <w:tabs>
          <w:tab w:val="right" w:leader="dot" w:pos="8843"/>
        </w:tabs>
        <w:kinsoku/>
        <w:overflowPunct/>
        <w:bidi w:val="0"/>
        <w:spacing w:line="360" w:lineRule="auto"/>
        <w:ind w:firstLine="480" w:firstLineChars="200"/>
        <w:rPr>
          <w:color w:val="auto"/>
          <w:sz w:val="24"/>
          <w:szCs w:val="24"/>
          <w:highlight w:val="none"/>
        </w:rPr>
      </w:pPr>
      <w:r>
        <w:rPr>
          <w:rFonts w:hint="eastAsia" w:asciiTheme="minorEastAsia" w:hAnsiTheme="minorEastAsia" w:eastAsiaTheme="minorEastAsia" w:cstheme="minorEastAsia"/>
          <w:bCs/>
          <w:color w:val="auto"/>
          <w:sz w:val="24"/>
          <w:szCs w:val="24"/>
          <w:highlight w:val="none"/>
        </w:rPr>
        <w:fldChar w:fldCharType="begin"/>
      </w:r>
      <w:r>
        <w:rPr>
          <w:rFonts w:hint="eastAsia" w:asciiTheme="minorEastAsia" w:hAnsiTheme="minorEastAsia" w:eastAsiaTheme="minorEastAsia" w:cstheme="minorEastAsia"/>
          <w:bCs/>
          <w:color w:val="auto"/>
          <w:sz w:val="24"/>
          <w:szCs w:val="24"/>
          <w:highlight w:val="none"/>
        </w:rPr>
        <w:instrText xml:space="preserve"> HYPERLINK \l _Toc1222 </w:instrText>
      </w:r>
      <w:r>
        <w:rPr>
          <w:rFonts w:hint="eastAsia" w:asciiTheme="minorEastAsia" w:hAnsiTheme="minorEastAsia" w:eastAsiaTheme="minorEastAsia" w:cstheme="minorEastAsia"/>
          <w:bCs/>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第十章  采购合同（参考版本，合同条款可根据采购人及</w:t>
      </w:r>
      <w:r>
        <w:rPr>
          <w:rFonts w:hint="eastAsia" w:asciiTheme="minorEastAsia" w:hAnsiTheme="minorEastAsia" w:eastAsiaTheme="minorEastAsia" w:cstheme="minorEastAsia"/>
          <w:color w:val="auto"/>
          <w:sz w:val="24"/>
          <w:szCs w:val="24"/>
          <w:highlight w:val="none"/>
          <w:lang w:eastAsia="zh-CN"/>
        </w:rPr>
        <w:t>成交供应商</w:t>
      </w:r>
      <w:r>
        <w:rPr>
          <w:rFonts w:hint="eastAsia" w:asciiTheme="minorEastAsia" w:hAnsiTheme="minorEastAsia" w:eastAsiaTheme="minorEastAsia" w:cstheme="minorEastAsia"/>
          <w:color w:val="auto"/>
          <w:sz w:val="24"/>
          <w:szCs w:val="24"/>
          <w:highlight w:val="none"/>
        </w:rPr>
        <w:t>签订合同时的实际情况进行修改调整。）</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_Toc1222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hint="eastAsia" w:asciiTheme="minorEastAsia" w:hAnsiTheme="minorEastAsia" w:eastAsiaTheme="minorEastAsia" w:cstheme="minorEastAsia"/>
          <w:bCs/>
          <w:color w:val="auto"/>
          <w:sz w:val="24"/>
          <w:szCs w:val="24"/>
          <w:highlight w:val="none"/>
        </w:rPr>
        <w:fldChar w:fldCharType="end"/>
      </w:r>
    </w:p>
    <w:p w14:paraId="7353EA55">
      <w:pPr>
        <w:kinsoku/>
        <w:overflowPunct/>
        <w:bidi w:val="0"/>
        <w:spacing w:line="360" w:lineRule="auto"/>
        <w:ind w:firstLine="480" w:firstLineChars="200"/>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szCs w:val="24"/>
          <w:highlight w:val="none"/>
        </w:rPr>
        <w:fldChar w:fldCharType="end"/>
      </w:r>
    </w:p>
    <w:p w14:paraId="68922B9B">
      <w:pPr>
        <w:pStyle w:val="6"/>
        <w:kinsoku/>
        <w:overflowPunct/>
        <w:bidi w:val="0"/>
        <w:ind w:firstLine="480" w:firstLineChars="200"/>
        <w:rPr>
          <w:rFonts w:hint="eastAsia" w:asciiTheme="minorEastAsia" w:hAnsiTheme="minorEastAsia" w:eastAsiaTheme="minorEastAsia" w:cstheme="minorEastAsia"/>
          <w:bCs/>
          <w:color w:val="auto"/>
          <w:sz w:val="24"/>
          <w:highlight w:val="none"/>
        </w:rPr>
      </w:pPr>
    </w:p>
    <w:p w14:paraId="48E63D11">
      <w:pPr>
        <w:kinsoku/>
        <w:overflowPunct/>
        <w:bidi w:val="0"/>
        <w:ind w:firstLine="480" w:firstLineChars="200"/>
        <w:rPr>
          <w:rFonts w:hint="eastAsia" w:asciiTheme="minorEastAsia" w:hAnsiTheme="minorEastAsia" w:eastAsiaTheme="minorEastAsia" w:cstheme="minorEastAsia"/>
          <w:bCs/>
          <w:color w:val="auto"/>
          <w:sz w:val="24"/>
          <w:highlight w:val="none"/>
        </w:rPr>
      </w:pPr>
    </w:p>
    <w:p w14:paraId="1D4FE525">
      <w:pPr>
        <w:pStyle w:val="6"/>
        <w:kinsoku/>
        <w:overflowPunct/>
        <w:bidi w:val="0"/>
        <w:ind w:firstLine="480" w:firstLineChars="200"/>
        <w:rPr>
          <w:rFonts w:hint="eastAsia" w:asciiTheme="minorEastAsia" w:hAnsiTheme="minorEastAsia" w:eastAsiaTheme="minorEastAsia" w:cstheme="minorEastAsia"/>
          <w:bCs/>
          <w:color w:val="auto"/>
          <w:sz w:val="24"/>
          <w:highlight w:val="none"/>
        </w:rPr>
      </w:pPr>
    </w:p>
    <w:p w14:paraId="504626C8">
      <w:pPr>
        <w:kinsoku/>
        <w:overflowPunct/>
        <w:bidi w:val="0"/>
        <w:ind w:firstLine="480" w:firstLineChars="200"/>
        <w:rPr>
          <w:rFonts w:hint="eastAsia" w:asciiTheme="minorEastAsia" w:hAnsiTheme="minorEastAsia" w:eastAsiaTheme="minorEastAsia" w:cstheme="minorEastAsia"/>
          <w:bCs/>
          <w:color w:val="auto"/>
          <w:sz w:val="24"/>
          <w:highlight w:val="none"/>
        </w:rPr>
      </w:pPr>
    </w:p>
    <w:p w14:paraId="6D863CA6">
      <w:pPr>
        <w:pStyle w:val="6"/>
        <w:kinsoku/>
        <w:overflowPunct/>
        <w:bidi w:val="0"/>
        <w:ind w:firstLine="480" w:firstLineChars="200"/>
        <w:rPr>
          <w:rFonts w:hint="eastAsia" w:asciiTheme="minorEastAsia" w:hAnsiTheme="minorEastAsia" w:eastAsiaTheme="minorEastAsia" w:cstheme="minorEastAsia"/>
          <w:bCs/>
          <w:color w:val="auto"/>
          <w:sz w:val="24"/>
          <w:highlight w:val="none"/>
        </w:rPr>
      </w:pPr>
    </w:p>
    <w:p w14:paraId="23E401C9">
      <w:pPr>
        <w:kinsoku/>
        <w:overflowPunct/>
        <w:bidi w:val="0"/>
        <w:ind w:firstLine="480" w:firstLineChars="200"/>
        <w:rPr>
          <w:rFonts w:hint="eastAsia" w:asciiTheme="minorEastAsia" w:hAnsiTheme="minorEastAsia" w:eastAsiaTheme="minorEastAsia" w:cstheme="minorEastAsia"/>
          <w:bCs/>
          <w:color w:val="auto"/>
          <w:sz w:val="24"/>
          <w:highlight w:val="none"/>
        </w:rPr>
      </w:pPr>
    </w:p>
    <w:p w14:paraId="490B804B">
      <w:pPr>
        <w:pStyle w:val="6"/>
        <w:kinsoku/>
        <w:overflowPunct/>
        <w:bidi w:val="0"/>
        <w:ind w:firstLine="480" w:firstLineChars="200"/>
        <w:rPr>
          <w:rFonts w:hint="eastAsia" w:asciiTheme="minorEastAsia" w:hAnsiTheme="minorEastAsia" w:eastAsiaTheme="minorEastAsia" w:cstheme="minorEastAsia"/>
          <w:bCs/>
          <w:color w:val="auto"/>
          <w:sz w:val="24"/>
          <w:highlight w:val="none"/>
        </w:rPr>
      </w:pPr>
    </w:p>
    <w:p w14:paraId="7EB60F42">
      <w:pPr>
        <w:kinsoku/>
        <w:overflowPunct/>
        <w:bidi w:val="0"/>
        <w:ind w:firstLine="480" w:firstLineChars="200"/>
        <w:rPr>
          <w:rFonts w:hint="eastAsia" w:asciiTheme="minorEastAsia" w:hAnsiTheme="minorEastAsia" w:eastAsiaTheme="minorEastAsia" w:cstheme="minorEastAsia"/>
          <w:bCs/>
          <w:color w:val="auto"/>
          <w:sz w:val="24"/>
          <w:highlight w:val="none"/>
        </w:rPr>
      </w:pPr>
    </w:p>
    <w:p w14:paraId="0EBE5E51">
      <w:pPr>
        <w:pStyle w:val="6"/>
        <w:kinsoku/>
        <w:overflowPunct/>
        <w:bidi w:val="0"/>
        <w:ind w:firstLine="480" w:firstLineChars="200"/>
        <w:rPr>
          <w:rFonts w:hint="eastAsia" w:asciiTheme="minorEastAsia" w:hAnsiTheme="minorEastAsia" w:eastAsiaTheme="minorEastAsia" w:cstheme="minorEastAsia"/>
          <w:bCs/>
          <w:color w:val="auto"/>
          <w:sz w:val="24"/>
          <w:highlight w:val="none"/>
        </w:rPr>
      </w:pPr>
    </w:p>
    <w:p w14:paraId="4C64EB99">
      <w:pPr>
        <w:kinsoku/>
        <w:overflowPunct/>
        <w:bidi w:val="0"/>
        <w:ind w:firstLine="480" w:firstLineChars="200"/>
        <w:rPr>
          <w:rFonts w:hint="eastAsia" w:asciiTheme="minorEastAsia" w:hAnsiTheme="minorEastAsia" w:eastAsiaTheme="minorEastAsia" w:cstheme="minorEastAsia"/>
          <w:bCs/>
          <w:color w:val="auto"/>
          <w:sz w:val="24"/>
          <w:highlight w:val="none"/>
        </w:rPr>
      </w:pPr>
    </w:p>
    <w:p w14:paraId="421E0B39">
      <w:pPr>
        <w:pStyle w:val="6"/>
        <w:kinsoku/>
        <w:overflowPunct/>
        <w:bidi w:val="0"/>
        <w:ind w:firstLine="480" w:firstLineChars="200"/>
        <w:rPr>
          <w:rFonts w:hint="eastAsia" w:asciiTheme="minorEastAsia" w:hAnsiTheme="minorEastAsia" w:eastAsiaTheme="minorEastAsia" w:cstheme="minorEastAsia"/>
          <w:bCs/>
          <w:color w:val="auto"/>
          <w:sz w:val="24"/>
          <w:highlight w:val="none"/>
        </w:rPr>
      </w:pPr>
    </w:p>
    <w:p w14:paraId="31EB3453">
      <w:pPr>
        <w:kinsoku/>
        <w:overflowPunct/>
        <w:bidi w:val="0"/>
        <w:ind w:firstLine="680" w:firstLineChars="200"/>
        <w:rPr>
          <w:rFonts w:hint="eastAsia" w:asciiTheme="minorEastAsia" w:hAnsiTheme="minorEastAsia" w:eastAsiaTheme="minorEastAsia" w:cstheme="minorEastAsia"/>
          <w:color w:val="auto"/>
          <w:highlight w:val="none"/>
        </w:rPr>
      </w:pPr>
    </w:p>
    <w:p w14:paraId="7A17CFF1">
      <w:pPr>
        <w:kinsoku/>
        <w:overflowPunct/>
        <w:bidi w:val="0"/>
        <w:ind w:firstLine="680" w:firstLineChars="200"/>
        <w:rPr>
          <w:rFonts w:hint="eastAsia" w:asciiTheme="minorEastAsia" w:hAnsiTheme="minorEastAsia" w:eastAsiaTheme="minorEastAsia" w:cstheme="minorEastAsia"/>
          <w:color w:val="auto"/>
          <w:highlight w:val="none"/>
        </w:rPr>
      </w:pPr>
      <w:bookmarkStart w:id="2" w:name="_Toc30341_WPSOffice_Level1"/>
      <w:r>
        <w:rPr>
          <w:rFonts w:hint="eastAsia" w:asciiTheme="minorEastAsia" w:hAnsiTheme="minorEastAsia" w:eastAsiaTheme="minorEastAsia" w:cstheme="minorEastAsia"/>
          <w:color w:val="auto"/>
          <w:highlight w:val="none"/>
        </w:rPr>
        <w:br w:type="page"/>
      </w:r>
    </w:p>
    <w:p w14:paraId="252C0879">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auto"/>
          <w:highlight w:val="none"/>
        </w:rPr>
      </w:pPr>
      <w:bookmarkStart w:id="3" w:name="_Toc952"/>
      <w:r>
        <w:rPr>
          <w:rFonts w:hint="eastAsia" w:ascii="方正小标宋简体" w:hAnsi="方正小标宋简体" w:eastAsia="方正小标宋简体" w:cs="方正小标宋简体"/>
          <w:b w:val="0"/>
          <w:bCs w:val="0"/>
          <w:color w:val="auto"/>
          <w:highlight w:val="none"/>
        </w:rPr>
        <w:t>第一章  磋商邀请</w:t>
      </w:r>
      <w:bookmarkEnd w:id="2"/>
      <w:bookmarkEnd w:id="3"/>
    </w:p>
    <w:p w14:paraId="277306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四川立格建设项目管理有限公司</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（采购代理机构）受</w:t>
      </w:r>
      <w:r>
        <w:rPr>
          <w:rFonts w:hint="eastAsia" w:asciiTheme="minorEastAsia" w:hAnsiTheme="minorEastAsia" w:eastAsiaTheme="minorEastAsia" w:cstheme="minorEastAsia"/>
          <w:bCs/>
          <w:color w:val="auto"/>
          <w:sz w:val="24"/>
          <w:szCs w:val="24"/>
          <w:highlight w:val="none"/>
          <w:u w:val="single"/>
          <w:lang w:eastAsia="zh-CN"/>
        </w:rPr>
        <w:t>广元市水利局</w:t>
      </w:r>
      <w:r>
        <w:rPr>
          <w:rFonts w:hint="eastAsia" w:asciiTheme="minorEastAsia" w:hAnsiTheme="minorEastAsia" w:eastAsiaTheme="minorEastAsia" w:cstheme="minorEastAsia"/>
          <w:bCs/>
          <w:color w:val="auto"/>
          <w:sz w:val="24"/>
          <w:szCs w:val="24"/>
          <w:highlight w:val="none"/>
          <w:u w:val="single"/>
        </w:rPr>
        <w:t>（</w:t>
      </w:r>
      <w:r>
        <w:rPr>
          <w:rFonts w:hint="eastAsia" w:asciiTheme="minorEastAsia" w:hAnsiTheme="minorEastAsia" w:eastAsiaTheme="minorEastAsia" w:cstheme="minorEastAsia"/>
          <w:bCs/>
          <w:color w:val="auto"/>
          <w:sz w:val="24"/>
          <w:szCs w:val="24"/>
          <w:highlight w:val="none"/>
        </w:rPr>
        <w:t>采购人）</w:t>
      </w:r>
      <w:r>
        <w:rPr>
          <w:rFonts w:hint="eastAsia" w:asciiTheme="minorEastAsia" w:hAnsiTheme="minorEastAsia" w:eastAsiaTheme="minorEastAsia" w:cstheme="minorEastAsia"/>
          <w:color w:val="auto"/>
          <w:sz w:val="24"/>
          <w:szCs w:val="24"/>
          <w:highlight w:val="none"/>
        </w:rPr>
        <w:t>委托，拟对</w:t>
      </w:r>
      <w:r>
        <w:rPr>
          <w:rFonts w:hint="eastAsia" w:asciiTheme="minorEastAsia" w:hAnsiTheme="minorEastAsia" w:eastAsiaTheme="minorEastAsia" w:cstheme="minorEastAsia"/>
          <w:color w:val="auto"/>
          <w:sz w:val="24"/>
          <w:szCs w:val="24"/>
          <w:highlight w:val="none"/>
          <w:u w:val="single"/>
          <w:lang w:eastAsia="zh-CN"/>
        </w:rPr>
        <w:t xml:space="preserve"> 广元市水利局防汛信息系统运行维护项目</w:t>
      </w:r>
      <w:r>
        <w:rPr>
          <w:rFonts w:hint="eastAsia" w:asciiTheme="minorEastAsia" w:hAnsiTheme="minorEastAsia" w:eastAsiaTheme="minorEastAsia" w:cstheme="minorEastAsia"/>
          <w:color w:val="auto"/>
          <w:sz w:val="24"/>
          <w:szCs w:val="24"/>
          <w:highlight w:val="none"/>
        </w:rPr>
        <w:t>采用竞争性磋商方式进行采购，特邀请符合本次采购要求的供应商参加本项目的竞争性磋商。</w:t>
      </w:r>
    </w:p>
    <w:p w14:paraId="0650FEA8">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4" w:name="_Toc22116_WPSOffice_Level1"/>
      <w:r>
        <w:rPr>
          <w:rFonts w:hint="eastAsia" w:asciiTheme="minorEastAsia" w:hAnsiTheme="minorEastAsia" w:eastAsiaTheme="minorEastAsia" w:cstheme="minorEastAsia"/>
          <w:b/>
          <w:bCs/>
          <w:color w:val="auto"/>
          <w:sz w:val="24"/>
          <w:szCs w:val="24"/>
          <w:highlight w:val="none"/>
        </w:rPr>
        <w:t>一、采购项目基本情况</w:t>
      </w:r>
      <w:bookmarkEnd w:id="4"/>
    </w:p>
    <w:p w14:paraId="60C13B1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1.项目编号：</w:t>
      </w:r>
      <w:r>
        <w:rPr>
          <w:rFonts w:hint="eastAsia" w:asciiTheme="minorEastAsia" w:hAnsiTheme="minorEastAsia" w:eastAsiaTheme="minorEastAsia" w:cstheme="minorEastAsia"/>
          <w:color w:val="auto"/>
          <w:sz w:val="24"/>
          <w:szCs w:val="24"/>
          <w:highlight w:val="none"/>
          <w:lang w:eastAsia="zh-CN"/>
        </w:rPr>
        <w:t>SCLG-2025（CS）-110</w:t>
      </w:r>
      <w:r>
        <w:rPr>
          <w:rFonts w:hint="eastAsia" w:asciiTheme="minorEastAsia" w:hAnsiTheme="minorEastAsia" w:eastAsiaTheme="minorEastAsia" w:cstheme="minorEastAsia"/>
          <w:color w:val="auto"/>
          <w:sz w:val="24"/>
          <w:szCs w:val="24"/>
          <w:highlight w:val="none"/>
          <w:lang w:val="en-US" w:eastAsia="zh-CN"/>
        </w:rPr>
        <w:t>7</w:t>
      </w:r>
    </w:p>
    <w:p w14:paraId="5DA3512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采购项目名称：</w:t>
      </w:r>
      <w:r>
        <w:rPr>
          <w:rFonts w:hint="eastAsia" w:asciiTheme="minorEastAsia" w:hAnsiTheme="minorEastAsia" w:eastAsiaTheme="minorEastAsia" w:cstheme="minorEastAsia"/>
          <w:color w:val="auto"/>
          <w:sz w:val="24"/>
          <w:szCs w:val="24"/>
          <w:highlight w:val="none"/>
          <w:lang w:eastAsia="zh-CN"/>
        </w:rPr>
        <w:t>广元市水利局防汛信息系统运行维护项目</w:t>
      </w:r>
    </w:p>
    <w:p w14:paraId="048331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3.采购人：</w:t>
      </w:r>
      <w:r>
        <w:rPr>
          <w:rFonts w:hint="eastAsia" w:asciiTheme="minorEastAsia" w:hAnsiTheme="minorEastAsia" w:eastAsiaTheme="minorEastAsia" w:cstheme="minorEastAsia"/>
          <w:color w:val="auto"/>
          <w:sz w:val="24"/>
          <w:szCs w:val="24"/>
          <w:highlight w:val="none"/>
          <w:lang w:eastAsia="zh-CN"/>
        </w:rPr>
        <w:t>广元市水利局</w:t>
      </w:r>
    </w:p>
    <w:p w14:paraId="233932E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4.采购代理机构：</w:t>
      </w:r>
      <w:r>
        <w:rPr>
          <w:rFonts w:hint="eastAsia" w:asciiTheme="minorEastAsia" w:hAnsiTheme="minorEastAsia" w:eastAsiaTheme="minorEastAsia" w:cstheme="minorEastAsia"/>
          <w:color w:val="auto"/>
          <w:sz w:val="24"/>
          <w:szCs w:val="24"/>
          <w:highlight w:val="none"/>
          <w:lang w:eastAsia="zh-CN"/>
        </w:rPr>
        <w:t>四川立格建设项目管理有限公司</w:t>
      </w:r>
    </w:p>
    <w:p w14:paraId="1E10998D">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5" w:name="_Toc6688_WPSOffice_Level1"/>
      <w:r>
        <w:rPr>
          <w:rFonts w:hint="eastAsia" w:asciiTheme="minorEastAsia" w:hAnsiTheme="minorEastAsia" w:eastAsiaTheme="minorEastAsia" w:cstheme="minorEastAsia"/>
          <w:b/>
          <w:bCs/>
          <w:color w:val="auto"/>
          <w:sz w:val="24"/>
          <w:szCs w:val="24"/>
          <w:highlight w:val="none"/>
        </w:rPr>
        <w:t>二、资金情况</w:t>
      </w:r>
      <w:bookmarkEnd w:id="5"/>
    </w:p>
    <w:p w14:paraId="73D742A3">
      <w:pPr>
        <w:keepNext w:val="0"/>
        <w:keepLines w:val="0"/>
        <w:pageBreakBefore w:val="0"/>
        <w:widowControl w:val="0"/>
        <w:kinsoku/>
        <w:wordWrap/>
        <w:overflowPunct/>
        <w:topLinePunct w:val="0"/>
        <w:autoSpaceDE/>
        <w:autoSpaceDN/>
        <w:bidi w:val="0"/>
        <w:spacing w:line="360" w:lineRule="auto"/>
        <w:ind w:right="51" w:rightChars="15" w:firstLine="480"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预算金额：</w:t>
      </w:r>
      <w:r>
        <w:rPr>
          <w:rFonts w:hint="eastAsia" w:asciiTheme="minorEastAsia" w:hAnsiTheme="minorEastAsia" w:eastAsiaTheme="minorEastAsia" w:cstheme="minorEastAsia"/>
          <w:color w:val="auto"/>
          <w:sz w:val="24"/>
          <w:szCs w:val="24"/>
          <w:highlight w:val="none"/>
          <w:lang w:val="en-US" w:eastAsia="zh-CN"/>
        </w:rPr>
        <w:t>197000.00元</w:t>
      </w:r>
      <w:r>
        <w:rPr>
          <w:rFonts w:hint="eastAsia" w:asciiTheme="minorEastAsia" w:hAnsiTheme="minorEastAsia" w:eastAsiaTheme="minorEastAsia" w:cstheme="minorEastAsia"/>
          <w:color w:val="auto"/>
          <w:sz w:val="24"/>
          <w:szCs w:val="24"/>
          <w:highlight w:val="none"/>
        </w:rPr>
        <w:t>。</w:t>
      </w:r>
    </w:p>
    <w:p w14:paraId="53DD058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bookmarkStart w:id="6" w:name="_Toc7693_WPSOffice_Level1"/>
      <w:r>
        <w:rPr>
          <w:rFonts w:hint="eastAsia" w:asciiTheme="minorEastAsia" w:hAnsiTheme="minorEastAsia" w:eastAsiaTheme="minorEastAsia" w:cstheme="minorEastAsia"/>
          <w:b/>
          <w:color w:val="auto"/>
          <w:sz w:val="24"/>
          <w:szCs w:val="24"/>
          <w:highlight w:val="none"/>
        </w:rPr>
        <w:t>三</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采购项目简介：</w:t>
      </w:r>
      <w:bookmarkEnd w:id="6"/>
    </w:p>
    <w:p w14:paraId="081E0B9B">
      <w:pPr>
        <w:keepNext w:val="0"/>
        <w:keepLines w:val="0"/>
        <w:pageBreakBefore w:val="0"/>
        <w:widowControl w:val="0"/>
        <w:kinsoku/>
        <w:wordWrap/>
        <w:overflowPunct/>
        <w:topLinePunct w:val="0"/>
        <w:autoSpaceDE/>
        <w:autoSpaceDN/>
        <w:bidi w:val="0"/>
        <w:spacing w:line="360" w:lineRule="auto"/>
        <w:ind w:firstLine="464"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本项目共1包</w:t>
      </w:r>
      <w:r>
        <w:rPr>
          <w:rFonts w:hint="eastAsia" w:asciiTheme="minorEastAsia" w:hAnsiTheme="minorEastAsia" w:eastAsiaTheme="minorEastAsia" w:cstheme="minorEastAsia"/>
          <w:color w:val="auto"/>
          <w:sz w:val="24"/>
          <w:szCs w:val="24"/>
          <w:highlight w:val="none"/>
        </w:rPr>
        <w:t>（详见磋商文件第五章）</w:t>
      </w:r>
    </w:p>
    <w:p w14:paraId="78F484B2">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7" w:name="_Toc14806_WPSOffice_Level1"/>
      <w:r>
        <w:rPr>
          <w:rFonts w:hint="eastAsia" w:asciiTheme="minorEastAsia" w:hAnsiTheme="minorEastAsia" w:eastAsiaTheme="minorEastAsia" w:cstheme="minorEastAsia"/>
          <w:b/>
          <w:bCs/>
          <w:color w:val="auto"/>
          <w:sz w:val="24"/>
          <w:szCs w:val="24"/>
          <w:highlight w:val="none"/>
        </w:rPr>
        <w:t>四、供应商邀请方式</w:t>
      </w:r>
      <w:bookmarkEnd w:id="7"/>
    </w:p>
    <w:p w14:paraId="291F2538">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公告方式：本次竞争性磋商邀请在</w:t>
      </w:r>
      <w:r>
        <w:rPr>
          <w:rFonts w:hint="eastAsia" w:asciiTheme="minorEastAsia" w:hAnsiTheme="minorEastAsia" w:eastAsiaTheme="minorEastAsia" w:cstheme="minorEastAsia"/>
          <w:bCs/>
          <w:color w:val="auto"/>
          <w:sz w:val="24"/>
          <w:szCs w:val="24"/>
          <w:highlight w:val="none"/>
          <w:lang w:val="en-US" w:eastAsia="zh-CN"/>
        </w:rPr>
        <w:t>广元市水利局官网上以公告形式发布</w:t>
      </w:r>
    </w:p>
    <w:p w14:paraId="231359AE">
      <w:pPr>
        <w:keepNext w:val="0"/>
        <w:keepLines w:val="0"/>
        <w:pageBreakBefore w:val="0"/>
        <w:widowControl w:val="0"/>
        <w:kinsoku/>
        <w:wordWrap/>
        <w:overflowPunct/>
        <w:topLinePunct w:val="0"/>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8" w:name="_Toc28928_WPSOffice_Level1"/>
      <w:r>
        <w:rPr>
          <w:rFonts w:hint="eastAsia" w:asciiTheme="minorEastAsia" w:hAnsiTheme="minorEastAsia" w:eastAsiaTheme="minorEastAsia" w:cstheme="minorEastAsia"/>
          <w:b/>
          <w:bCs/>
          <w:color w:val="auto"/>
          <w:sz w:val="24"/>
          <w:szCs w:val="24"/>
          <w:highlight w:val="none"/>
        </w:rPr>
        <w:t>五、供应商参加本次采购活动应具备下列条件</w:t>
      </w:r>
      <w:bookmarkEnd w:id="8"/>
    </w:p>
    <w:p w14:paraId="11F58DAF">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9" w:name="_Toc26724_WPSOffice_Level1"/>
      <w:r>
        <w:rPr>
          <w:rFonts w:hint="eastAsia" w:asciiTheme="minorEastAsia" w:hAnsiTheme="minorEastAsia" w:eastAsiaTheme="minorEastAsia" w:cstheme="minorEastAsia"/>
          <w:color w:val="auto"/>
          <w:sz w:val="24"/>
          <w:szCs w:val="24"/>
          <w:highlight w:val="none"/>
        </w:rPr>
        <w:t>1.具备《中华人民共和国政府采购法》第二十二条规定的条件；</w:t>
      </w:r>
    </w:p>
    <w:p w14:paraId="0A172F3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具备独立的承担民事责任能力；</w:t>
      </w:r>
    </w:p>
    <w:p w14:paraId="5DE39013">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具有良好的商业信誉和健全的财务会计制度；</w:t>
      </w:r>
    </w:p>
    <w:p w14:paraId="24C9BD42">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具有依法缴纳税收和社会保障资金的良好记录：</w:t>
      </w:r>
    </w:p>
    <w:p w14:paraId="538C14E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具有履行合同所必需的设备和专业技术能力；</w:t>
      </w:r>
    </w:p>
    <w:p w14:paraId="2BE26C96">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5</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参加政府采购活动前三年内，在经营活动中没有重大违法记录</w:t>
      </w:r>
      <w:r>
        <w:rPr>
          <w:rFonts w:hint="eastAsia" w:asciiTheme="minorEastAsia" w:hAnsiTheme="minorEastAsia" w:eastAsiaTheme="minorEastAsia" w:cstheme="minorEastAsia"/>
          <w:color w:val="auto"/>
          <w:sz w:val="24"/>
          <w:szCs w:val="24"/>
          <w:highlight w:val="none"/>
          <w:lang w:val="en-US" w:eastAsia="zh-CN"/>
        </w:rPr>
        <w:t>；</w:t>
      </w:r>
    </w:p>
    <w:p w14:paraId="69BEFCA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6</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法律、行政法规规定的其他条件</w:t>
      </w:r>
      <w:r>
        <w:rPr>
          <w:rFonts w:hint="eastAsia" w:asciiTheme="minorEastAsia" w:hAnsiTheme="minorEastAsia" w:eastAsiaTheme="minorEastAsia" w:cstheme="minorEastAsia"/>
          <w:color w:val="auto"/>
          <w:sz w:val="24"/>
          <w:szCs w:val="24"/>
          <w:highlight w:val="none"/>
          <w:lang w:eastAsia="zh-CN"/>
        </w:rPr>
        <w:t>。</w:t>
      </w:r>
    </w:p>
    <w:p w14:paraId="0A94D1BC">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.供应商未对本次采购项目提供过整体设计、规范编制或者项目管理、监理、检测等服务；</w:t>
      </w:r>
    </w:p>
    <w:p w14:paraId="719D3E8A">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.单位负责人为同一人或者存在直接控股、管理关系的不同供应商，不得参加同一合同项下的</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活动；</w:t>
      </w:r>
    </w:p>
    <w:p w14:paraId="6B6E49CD">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.供应商单位及其现任法定代表人</w:t>
      </w:r>
      <w:r>
        <w:rPr>
          <w:rFonts w:hint="eastAsia" w:asciiTheme="minorEastAsia" w:hAnsiTheme="minorEastAsia" w:eastAsiaTheme="minorEastAsia" w:cstheme="minorEastAsia"/>
          <w:color w:val="auto"/>
          <w:sz w:val="24"/>
          <w:szCs w:val="24"/>
          <w:highlight w:val="none"/>
          <w:lang w:val="en-US" w:eastAsia="zh-CN"/>
        </w:rPr>
        <w:t>/单位负责人、主要负责人</w:t>
      </w:r>
      <w:r>
        <w:rPr>
          <w:rFonts w:hint="eastAsia" w:asciiTheme="minorEastAsia" w:hAnsiTheme="minorEastAsia" w:eastAsiaTheme="minorEastAsia" w:cstheme="minorEastAsia"/>
          <w:color w:val="auto"/>
          <w:sz w:val="24"/>
          <w:szCs w:val="24"/>
          <w:highlight w:val="none"/>
        </w:rPr>
        <w:t>不得具有行贿犯罪记录；</w:t>
      </w:r>
    </w:p>
    <w:p w14:paraId="3D9D3FCB">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.本项目不接受联合体磋商。</w:t>
      </w:r>
    </w:p>
    <w:p w14:paraId="241A6042">
      <w:pPr>
        <w:keepNext w:val="0"/>
        <w:keepLines w:val="0"/>
        <w:pageBreakBefore w:val="0"/>
        <w:widowControl w:val="0"/>
        <w:kinsoku/>
        <w:overflowPunct/>
        <w:autoSpaceDE/>
        <w:autoSpaceDN/>
        <w:bidi w:val="0"/>
        <w:spacing w:line="4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六、磋商文件获取方式、时间、地点：</w:t>
      </w:r>
      <w:bookmarkEnd w:id="9"/>
    </w:p>
    <w:p w14:paraId="09F7883B">
      <w:pPr>
        <w:keepNext w:val="0"/>
        <w:keepLines w:val="0"/>
        <w:pageBreakBefore w:val="0"/>
        <w:widowControl w:val="0"/>
        <w:shd w:val="clear" w:color="auto" w:fill="auto"/>
        <w:kinsoku/>
        <w:overflowPunct/>
        <w:autoSpaceDE/>
        <w:autoSpaceDN/>
        <w:bidi w:val="0"/>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w:t>
      </w:r>
      <w:r>
        <w:rPr>
          <w:rFonts w:hint="eastAsia" w:hAnsi="宋体" w:cs="宋体"/>
          <w:color w:val="auto"/>
          <w:sz w:val="24"/>
          <w:szCs w:val="24"/>
          <w:highlight w:val="none"/>
          <w:lang w:val="en-US" w:eastAsia="zh-CN"/>
        </w:rPr>
        <w:t>竞争性磋商文件</w:t>
      </w:r>
      <w:r>
        <w:rPr>
          <w:rFonts w:hint="eastAsia" w:hAnsi="宋体" w:cs="宋体"/>
          <w:color w:val="auto"/>
          <w:sz w:val="24"/>
          <w:szCs w:val="24"/>
          <w:highlight w:val="none"/>
          <w:lang w:eastAsia="zh-CN"/>
        </w:rPr>
        <w:t>无</w:t>
      </w:r>
      <w:r>
        <w:rPr>
          <w:rFonts w:hint="eastAsia" w:ascii="宋体" w:hAnsi="宋体" w:eastAsia="宋体" w:cs="宋体"/>
          <w:color w:val="auto"/>
          <w:sz w:val="24"/>
          <w:szCs w:val="24"/>
          <w:highlight w:val="none"/>
        </w:rPr>
        <w:t>偿获取</w:t>
      </w:r>
      <w:r>
        <w:rPr>
          <w:rFonts w:hint="eastAsia" w:hAnsi="宋体" w:cs="宋体"/>
          <w:color w:val="auto"/>
          <w:sz w:val="24"/>
          <w:szCs w:val="24"/>
          <w:highlight w:val="none"/>
          <w:lang w:eastAsia="zh-CN"/>
        </w:rPr>
        <w:t>，</w:t>
      </w:r>
      <w:r>
        <w:rPr>
          <w:rFonts w:hint="eastAsia"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资格不能转让</w:t>
      </w:r>
      <w:r>
        <w:rPr>
          <w:rFonts w:hint="eastAsia" w:ascii="宋体" w:hAnsi="宋体" w:eastAsia="宋体" w:cs="宋体"/>
          <w:color w:val="auto"/>
          <w:sz w:val="24"/>
          <w:szCs w:val="24"/>
          <w:highlight w:val="none"/>
          <w:lang w:eastAsia="zh-CN"/>
        </w:rPr>
        <w:t>，</w:t>
      </w:r>
      <w:r>
        <w:rPr>
          <w:rFonts w:hint="eastAsia" w:hAnsi="宋体" w:cs="宋体"/>
          <w:color w:val="auto"/>
          <w:sz w:val="24"/>
          <w:szCs w:val="24"/>
          <w:highlight w:val="none"/>
          <w:lang w:eastAsia="zh-CN"/>
        </w:rPr>
        <w:t>竞争性磋商文件</w:t>
      </w:r>
      <w:r>
        <w:rPr>
          <w:rFonts w:hint="eastAsia" w:ascii="宋体" w:hAnsi="宋体" w:eastAsia="宋体" w:cs="宋体"/>
          <w:color w:val="auto"/>
          <w:sz w:val="24"/>
          <w:szCs w:val="24"/>
          <w:highlight w:val="none"/>
          <w:lang w:val="en-US" w:eastAsia="zh-CN"/>
        </w:rPr>
        <w:t>获取时间为</w:t>
      </w:r>
      <w:r>
        <w:rPr>
          <w:rFonts w:hint="eastAsia" w:hAnsi="宋体" w:cs="宋体"/>
          <w:color w:val="auto"/>
          <w:sz w:val="24"/>
          <w:szCs w:val="24"/>
          <w:highlight w:val="none"/>
          <w:lang w:eastAsia="zh-CN"/>
        </w:rPr>
        <w:t>2025年</w:t>
      </w:r>
      <w:r>
        <w:rPr>
          <w:rFonts w:hint="eastAsia" w:hAnsi="宋体" w:cs="宋体"/>
          <w:color w:val="auto"/>
          <w:sz w:val="24"/>
          <w:szCs w:val="24"/>
          <w:highlight w:val="none"/>
          <w:lang w:val="en-US" w:eastAsia="zh-CN"/>
        </w:rPr>
        <w:t>11</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21</w:t>
      </w:r>
      <w:r>
        <w:rPr>
          <w:rFonts w:hint="eastAsia" w:ascii="宋体" w:hAnsi="宋体" w:eastAsia="宋体" w:cs="宋体"/>
          <w:color w:val="auto"/>
          <w:sz w:val="24"/>
          <w:szCs w:val="24"/>
          <w:highlight w:val="none"/>
        </w:rPr>
        <w:t>日至</w:t>
      </w:r>
      <w:r>
        <w:rPr>
          <w:rFonts w:hint="eastAsia" w:hAnsi="宋体" w:cs="宋体"/>
          <w:color w:val="auto"/>
          <w:sz w:val="24"/>
          <w:szCs w:val="24"/>
          <w:highlight w:val="none"/>
          <w:lang w:eastAsia="zh-CN"/>
        </w:rPr>
        <w:t>2025年</w:t>
      </w:r>
      <w:r>
        <w:rPr>
          <w:rFonts w:hint="eastAsia" w:hAnsi="宋体" w:cs="宋体"/>
          <w:color w:val="auto"/>
          <w:sz w:val="24"/>
          <w:szCs w:val="24"/>
          <w:highlight w:val="none"/>
          <w:lang w:val="en-US" w:eastAsia="zh-CN"/>
        </w:rPr>
        <w:t>11</w:t>
      </w:r>
      <w:r>
        <w:rPr>
          <w:rFonts w:hint="eastAsia" w:hAnsi="宋体" w:cs="宋体"/>
          <w:color w:val="auto"/>
          <w:sz w:val="24"/>
          <w:szCs w:val="24"/>
          <w:highlight w:val="none"/>
          <w:lang w:eastAsia="zh-CN"/>
        </w:rPr>
        <w:t>月</w:t>
      </w:r>
      <w:r>
        <w:rPr>
          <w:rFonts w:hint="eastAsia" w:hAnsi="宋体" w:cs="宋体"/>
          <w:color w:val="auto"/>
          <w:sz w:val="24"/>
          <w:szCs w:val="24"/>
          <w:highlight w:val="none"/>
          <w:lang w:val="en-US" w:eastAsia="zh-CN"/>
        </w:rPr>
        <w:t>27</w:t>
      </w:r>
      <w:r>
        <w:rPr>
          <w:rFonts w:hint="eastAsia" w:ascii="宋体" w:hAnsi="宋体" w:eastAsia="宋体" w:cs="宋体"/>
          <w:color w:val="auto"/>
          <w:sz w:val="24"/>
          <w:szCs w:val="24"/>
          <w:highlight w:val="none"/>
        </w:rPr>
        <w:t>日9:00-17:00（北京时间，法定节假日除外）</w:t>
      </w:r>
      <w:r>
        <w:rPr>
          <w:rFonts w:hint="eastAsia" w:ascii="宋体" w:hAnsi="宋体" w:eastAsia="宋体" w:cs="宋体"/>
          <w:color w:val="auto"/>
          <w:sz w:val="24"/>
          <w:szCs w:val="24"/>
          <w:highlight w:val="none"/>
          <w:lang w:eastAsia="zh-CN"/>
        </w:rPr>
        <w:t>。</w:t>
      </w:r>
    </w:p>
    <w:p w14:paraId="5048347F">
      <w:pPr>
        <w:keepNext w:val="0"/>
        <w:keepLines w:val="0"/>
        <w:pageBreakBefore w:val="0"/>
        <w:widowControl w:val="0"/>
        <w:shd w:val="clear" w:color="auto" w:fill="auto"/>
        <w:kinsoku/>
        <w:overflowPunct/>
        <w:autoSpaceDE/>
        <w:autoSpaceDN/>
        <w:bidi w:val="0"/>
        <w:spacing w:after="120" w:line="460" w:lineRule="exact"/>
        <w:ind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lang w:val="en-US" w:eastAsia="zh-CN"/>
        </w:rPr>
        <w:t>方式：</w:t>
      </w:r>
      <w:r>
        <w:rPr>
          <w:rFonts w:hint="eastAsia" w:ascii="宋体" w:hAnsi="宋体" w:cs="宋体"/>
          <w:color w:val="auto"/>
          <w:sz w:val="24"/>
          <w:highlight w:val="none"/>
          <w:lang w:val="en-US" w:eastAsia="zh-CN"/>
        </w:rPr>
        <w:t>网上</w:t>
      </w:r>
      <w:r>
        <w:rPr>
          <w:rFonts w:hint="eastAsia" w:ascii="宋体" w:hAnsi="宋体" w:eastAsia="宋体" w:cs="宋体"/>
          <w:color w:val="auto"/>
          <w:sz w:val="24"/>
          <w:highlight w:val="none"/>
          <w:lang w:val="en-US" w:eastAsia="zh-CN"/>
        </w:rPr>
        <w:t>获取</w:t>
      </w:r>
      <w:r>
        <w:rPr>
          <w:rFonts w:hint="eastAsia" w:ascii="宋体" w:hAnsi="宋体" w:cs="宋体"/>
          <w:color w:val="auto"/>
          <w:sz w:val="24"/>
          <w:highlight w:val="none"/>
          <w:lang w:val="en-US" w:eastAsia="zh-CN"/>
        </w:rPr>
        <w:t>，将加盖了公章的介绍信（需注明项目名称、联系人及联系电话、邮箱）扫描件PDF形式发送至邮箱：3785837905@qq.com。</w:t>
      </w:r>
    </w:p>
    <w:p w14:paraId="67947304">
      <w:pPr>
        <w:keepNext w:val="0"/>
        <w:keepLines w:val="0"/>
        <w:pageBreakBefore w:val="0"/>
        <w:widowControl w:val="0"/>
        <w:kinsoku/>
        <w:overflowPunct/>
        <w:autoSpaceDE/>
        <w:autoSpaceDN/>
        <w:bidi w:val="0"/>
        <w:spacing w:line="46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七、递交响应文件截止时间：</w:t>
      </w:r>
      <w:r>
        <w:rPr>
          <w:rFonts w:hint="eastAsia" w:asciiTheme="minorEastAsia" w:hAnsiTheme="minorEastAsia" w:eastAsiaTheme="minorEastAsia" w:cstheme="minorEastAsia"/>
          <w:b/>
          <w:bCs/>
          <w:color w:val="auto"/>
          <w:sz w:val="24"/>
          <w:szCs w:val="24"/>
          <w:highlight w:val="none"/>
          <w:lang w:eastAsia="zh-CN"/>
        </w:rPr>
        <w:t>2025年</w:t>
      </w: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lang w:eastAsia="zh-CN"/>
        </w:rPr>
        <w:t>月</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日</w:t>
      </w:r>
      <w:r>
        <w:rPr>
          <w:rFonts w:hint="eastAsia" w:asciiTheme="minorEastAsia" w:hAnsiTheme="minorEastAsia" w:eastAsiaTheme="minorEastAsia" w:cstheme="minorEastAsia"/>
          <w:b/>
          <w:bCs/>
          <w:color w:val="auto"/>
          <w:sz w:val="24"/>
          <w:szCs w:val="24"/>
          <w:highlight w:val="none"/>
          <w:lang w:val="en-US" w:eastAsia="zh-CN"/>
        </w:rPr>
        <w:t>14</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00</w:t>
      </w:r>
      <w:r>
        <w:rPr>
          <w:rFonts w:hint="eastAsia" w:asciiTheme="minorEastAsia" w:hAnsiTheme="minorEastAsia" w:eastAsiaTheme="minorEastAsia" w:cstheme="minorEastAsia"/>
          <w:b/>
          <w:color w:val="auto"/>
          <w:sz w:val="24"/>
          <w:szCs w:val="24"/>
          <w:highlight w:val="none"/>
        </w:rPr>
        <w:t>（北京时间）。</w:t>
      </w:r>
    </w:p>
    <w:p w14:paraId="6DC3A3BE">
      <w:pPr>
        <w:keepNext w:val="0"/>
        <w:keepLines w:val="0"/>
        <w:pageBreakBefore w:val="0"/>
        <w:widowControl w:val="0"/>
        <w:kinsoku/>
        <w:overflowPunct/>
        <w:autoSpaceDE/>
        <w:autoSpaceDN/>
        <w:bidi w:val="0"/>
        <w:spacing w:line="460" w:lineRule="exact"/>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八、递交响应文件地点：</w:t>
      </w:r>
      <w:r>
        <w:rPr>
          <w:rFonts w:hint="eastAsia" w:asciiTheme="minorEastAsia" w:hAnsiTheme="minorEastAsia" w:eastAsiaTheme="minorEastAsia" w:cstheme="minorEastAsia"/>
          <w:color w:val="auto"/>
          <w:sz w:val="24"/>
          <w:szCs w:val="24"/>
          <w:highlight w:val="none"/>
        </w:rPr>
        <w:t>响应文件必须在递交响应文件截止时间前送达磋商地点。逾期送达、密封和标注错误的响应文件，采购代理机构恕不接收。本次采购不接收</w:t>
      </w:r>
      <w:bookmarkStart w:id="133" w:name="_GoBack"/>
      <w:bookmarkEnd w:id="133"/>
      <w:r>
        <w:rPr>
          <w:rFonts w:hint="eastAsia" w:asciiTheme="minorEastAsia" w:hAnsiTheme="minorEastAsia" w:eastAsiaTheme="minorEastAsia" w:cstheme="minorEastAsia"/>
          <w:color w:val="auto"/>
          <w:sz w:val="24"/>
          <w:szCs w:val="24"/>
          <w:highlight w:val="none"/>
        </w:rPr>
        <w:t>邮寄的响应文件。</w:t>
      </w:r>
    </w:p>
    <w:p w14:paraId="4EB5D7D1">
      <w:pPr>
        <w:keepNext w:val="0"/>
        <w:keepLines w:val="0"/>
        <w:pageBreakBefore w:val="0"/>
        <w:widowControl w:val="0"/>
        <w:kinsoku/>
        <w:overflowPunct/>
        <w:autoSpaceDE/>
        <w:autoSpaceDN/>
        <w:bidi w:val="0"/>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九、响应文件开启时间：</w:t>
      </w:r>
      <w:r>
        <w:rPr>
          <w:rFonts w:hint="eastAsia" w:asciiTheme="minorEastAsia" w:hAnsiTheme="minorEastAsia" w:eastAsiaTheme="minorEastAsia" w:cstheme="minorEastAsia"/>
          <w:b/>
          <w:bCs/>
          <w:color w:val="auto"/>
          <w:sz w:val="24"/>
          <w:szCs w:val="24"/>
          <w:highlight w:val="none"/>
          <w:lang w:eastAsia="zh-CN"/>
        </w:rPr>
        <w:t>2025年</w:t>
      </w:r>
      <w:r>
        <w:rPr>
          <w:rFonts w:hint="eastAsia" w:asciiTheme="minorEastAsia" w:hAnsiTheme="minorEastAsia" w:eastAsiaTheme="minorEastAsia" w:cstheme="minorEastAsia"/>
          <w:b/>
          <w:bCs/>
          <w:color w:val="auto"/>
          <w:sz w:val="24"/>
          <w:szCs w:val="24"/>
          <w:highlight w:val="none"/>
          <w:lang w:val="en-US" w:eastAsia="zh-CN"/>
        </w:rPr>
        <w:t>12</w:t>
      </w:r>
      <w:r>
        <w:rPr>
          <w:rFonts w:hint="eastAsia" w:asciiTheme="minorEastAsia" w:hAnsiTheme="minorEastAsia" w:eastAsiaTheme="minorEastAsia" w:cstheme="minorEastAsia"/>
          <w:b/>
          <w:bCs/>
          <w:color w:val="auto"/>
          <w:sz w:val="24"/>
          <w:szCs w:val="24"/>
          <w:highlight w:val="none"/>
          <w:lang w:eastAsia="zh-CN"/>
        </w:rPr>
        <w:t>月</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lang w:eastAsia="zh-CN"/>
        </w:rPr>
        <w:t>日</w:t>
      </w:r>
      <w:r>
        <w:rPr>
          <w:rFonts w:hint="eastAsia" w:asciiTheme="minorEastAsia" w:hAnsiTheme="minorEastAsia" w:eastAsiaTheme="minorEastAsia" w:cstheme="minorEastAsia"/>
          <w:b/>
          <w:bCs/>
          <w:color w:val="auto"/>
          <w:sz w:val="24"/>
          <w:szCs w:val="24"/>
          <w:highlight w:val="none"/>
          <w:lang w:val="en-US" w:eastAsia="zh-CN"/>
        </w:rPr>
        <w:t>14</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00</w:t>
      </w:r>
      <w:r>
        <w:rPr>
          <w:rFonts w:hint="eastAsia" w:asciiTheme="minorEastAsia" w:hAnsiTheme="minorEastAsia" w:eastAsiaTheme="minorEastAsia" w:cstheme="minorEastAsia"/>
          <w:b/>
          <w:color w:val="auto"/>
          <w:sz w:val="24"/>
          <w:szCs w:val="24"/>
          <w:highlight w:val="none"/>
        </w:rPr>
        <w:t>（北京时间）</w:t>
      </w:r>
      <w:r>
        <w:rPr>
          <w:rFonts w:hint="eastAsia" w:asciiTheme="minorEastAsia" w:hAnsiTheme="minorEastAsia" w:eastAsiaTheme="minorEastAsia" w:cstheme="minorEastAsia"/>
          <w:color w:val="auto"/>
          <w:sz w:val="24"/>
          <w:szCs w:val="24"/>
          <w:highlight w:val="none"/>
        </w:rPr>
        <w:t>在磋商地点开启。</w:t>
      </w:r>
    </w:p>
    <w:p w14:paraId="4A6155D5">
      <w:pPr>
        <w:keepNext w:val="0"/>
        <w:keepLines w:val="0"/>
        <w:pageBreakBefore w:val="0"/>
        <w:widowControl w:val="0"/>
        <w:kinsoku/>
        <w:overflowPunct/>
        <w:autoSpaceDE/>
        <w:autoSpaceDN/>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十、磋商地点：广元市利州区东坝双语凤凰城一栋一单元901</w:t>
      </w:r>
    </w:p>
    <w:p w14:paraId="74A0C622">
      <w:pPr>
        <w:pStyle w:val="61"/>
        <w:keepNext w:val="0"/>
        <w:keepLines w:val="0"/>
        <w:pageBreakBefore w:val="0"/>
        <w:widowControl w:val="0"/>
        <w:kinsoku/>
        <w:overflowPunct/>
        <w:autoSpaceDE/>
        <w:autoSpaceDN/>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十一、联系方式</w:t>
      </w:r>
    </w:p>
    <w:p w14:paraId="60E83EF4">
      <w:pPr>
        <w:pStyle w:val="61"/>
        <w:keepNext w:val="0"/>
        <w:keepLines w:val="0"/>
        <w:pageBreakBefore w:val="0"/>
        <w:widowControl w:val="0"/>
        <w:kinsoku/>
        <w:overflowPunct/>
        <w:autoSpaceDE/>
        <w:autoSpaceDN/>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采购人：</w:t>
      </w:r>
      <w:r>
        <w:rPr>
          <w:rFonts w:hint="eastAsia" w:asciiTheme="minorEastAsia" w:hAnsiTheme="minorEastAsia" w:eastAsiaTheme="minorEastAsia" w:cstheme="minorEastAsia"/>
          <w:b/>
          <w:color w:val="auto"/>
          <w:sz w:val="24"/>
          <w:szCs w:val="24"/>
          <w:highlight w:val="none"/>
          <w:lang w:eastAsia="zh-CN"/>
        </w:rPr>
        <w:t>广元市水利局</w:t>
      </w:r>
    </w:p>
    <w:p w14:paraId="2A3940F7">
      <w:pPr>
        <w:pStyle w:val="61"/>
        <w:keepNext w:val="0"/>
        <w:keepLines w:val="0"/>
        <w:pageBreakBefore w:val="0"/>
        <w:widowControl w:val="0"/>
        <w:kinsoku/>
        <w:overflowPunct/>
        <w:autoSpaceDE/>
        <w:autoSpaceDN/>
        <w:bidi w:val="0"/>
        <w:spacing w:line="360" w:lineRule="auto"/>
        <w:ind w:firstLine="480" w:firstLineChars="200"/>
        <w:textAlignment w:val="auto"/>
        <w:rPr>
          <w:rFonts w:hint="eastAsia" w:hAnsi="宋体" w:cs="宋体"/>
          <w:color w:val="auto"/>
          <w:sz w:val="24"/>
          <w:highlight w:val="none"/>
          <w:lang w:eastAsia="zh-CN"/>
        </w:rPr>
      </w:pPr>
      <w:r>
        <w:rPr>
          <w:rFonts w:hint="eastAsia" w:asciiTheme="minorEastAsia" w:hAnsiTheme="minorEastAsia" w:eastAsiaTheme="minorEastAsia" w:cstheme="minorEastAsia"/>
          <w:bCs/>
          <w:color w:val="auto"/>
          <w:sz w:val="24"/>
          <w:szCs w:val="24"/>
          <w:highlight w:val="none"/>
        </w:rPr>
        <w:t>通讯地</w:t>
      </w:r>
      <w:r>
        <w:rPr>
          <w:rFonts w:hint="eastAsia" w:asciiTheme="minorEastAsia" w:hAnsiTheme="minorEastAsia" w:eastAsiaTheme="minorEastAsia" w:cstheme="minorEastAsia"/>
          <w:color w:val="auto"/>
          <w:sz w:val="24"/>
          <w:szCs w:val="24"/>
          <w:highlight w:val="none"/>
          <w:lang w:val="en-US" w:eastAsia="zh-CN" w:bidi="ar-SA"/>
        </w:rPr>
        <w:t>址：</w:t>
      </w:r>
      <w:r>
        <w:rPr>
          <w:rFonts w:hint="eastAsia" w:hAnsi="宋体" w:cs="宋体"/>
          <w:color w:val="auto"/>
          <w:sz w:val="24"/>
          <w:highlight w:val="none"/>
          <w:lang w:eastAsia="zh-CN"/>
        </w:rPr>
        <w:t>广元市利州区利州东路一段659号</w:t>
      </w:r>
    </w:p>
    <w:p w14:paraId="7E0886A8">
      <w:pPr>
        <w:pStyle w:val="61"/>
        <w:kinsoku/>
        <w:overflowPunct/>
        <w:bidi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联 系 人：</w:t>
      </w:r>
      <w:r>
        <w:rPr>
          <w:rFonts w:hint="eastAsia" w:ascii="宋体" w:hAnsi="宋体"/>
          <w:bCs/>
          <w:color w:val="auto"/>
          <w:sz w:val="24"/>
          <w:highlight w:val="none"/>
          <w:lang w:eastAsia="zh-CN"/>
        </w:rPr>
        <w:t>任</w:t>
      </w:r>
      <w:r>
        <w:rPr>
          <w:rFonts w:hint="eastAsia" w:hAnsi="宋体"/>
          <w:bCs/>
          <w:color w:val="auto"/>
          <w:sz w:val="24"/>
          <w:highlight w:val="none"/>
          <w:lang w:eastAsia="zh-CN"/>
        </w:rPr>
        <w:t>先生</w:t>
      </w:r>
      <w:r>
        <w:rPr>
          <w:rFonts w:hint="eastAsia" w:ascii="宋体" w:hAnsi="宋体"/>
          <w:bCs/>
          <w:color w:val="auto"/>
          <w:sz w:val="24"/>
          <w:highlight w:val="none"/>
        </w:rPr>
        <w:t xml:space="preserve">                            </w:t>
      </w:r>
    </w:p>
    <w:p w14:paraId="52245254">
      <w:pPr>
        <w:pStyle w:val="61"/>
        <w:kinsoku/>
        <w:overflowPunct/>
        <w:bidi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联系电话：0839-3265056</w:t>
      </w:r>
    </w:p>
    <w:p w14:paraId="1585DDB7">
      <w:pPr>
        <w:pStyle w:val="61"/>
        <w:keepNext w:val="0"/>
        <w:keepLines w:val="0"/>
        <w:pageBreakBefore w:val="0"/>
        <w:widowControl w:val="0"/>
        <w:kinsoku/>
        <w:overflowPunct/>
        <w:autoSpaceDE/>
        <w:autoSpaceDN/>
        <w:bidi w:val="0"/>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采购代理机构：</w:t>
      </w:r>
      <w:r>
        <w:rPr>
          <w:rFonts w:hint="eastAsia" w:asciiTheme="minorEastAsia" w:hAnsiTheme="minorEastAsia" w:eastAsiaTheme="minorEastAsia" w:cstheme="minorEastAsia"/>
          <w:b/>
          <w:color w:val="auto"/>
          <w:sz w:val="24"/>
          <w:szCs w:val="24"/>
          <w:highlight w:val="none"/>
          <w:lang w:eastAsia="zh-CN"/>
        </w:rPr>
        <w:t>四川立格建设项目管理有限公司</w:t>
      </w:r>
      <w:r>
        <w:rPr>
          <w:rFonts w:hint="eastAsia" w:asciiTheme="minorEastAsia" w:hAnsiTheme="minorEastAsia" w:eastAsiaTheme="minorEastAsia" w:cstheme="minorEastAsia"/>
          <w:b/>
          <w:color w:val="auto"/>
          <w:sz w:val="24"/>
          <w:szCs w:val="24"/>
          <w:highlight w:val="none"/>
        </w:rPr>
        <w:t xml:space="preserve"> </w:t>
      </w:r>
    </w:p>
    <w:p w14:paraId="7B3D9DAF">
      <w:pPr>
        <w:pStyle w:val="61"/>
        <w:keepNext w:val="0"/>
        <w:keepLines w:val="0"/>
        <w:pageBreakBefore w:val="0"/>
        <w:widowControl w:val="0"/>
        <w:kinsoku/>
        <w:overflowPunct/>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通讯地址：四川省成都市武侯区簇桥街道武侯大道铁佛段1号1栋1单元</w:t>
      </w:r>
    </w:p>
    <w:p w14:paraId="6D0BE4DB">
      <w:pPr>
        <w:pStyle w:val="68"/>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color w:val="auto"/>
          <w:sz w:val="24"/>
          <w:szCs w:val="24"/>
          <w:highlight w:val="none"/>
          <w:lang w:val="en-US" w:eastAsia="zh-CN" w:bidi="ar-SA"/>
        </w:rPr>
      </w:pPr>
      <w:bookmarkStart w:id="10" w:name="_Toc213397009"/>
      <w:bookmarkStart w:id="11" w:name="_Toc7931_WPSOffice_Level1"/>
      <w:bookmarkStart w:id="12" w:name="_Toc213396759"/>
      <w:bookmarkStart w:id="13" w:name="_Toc213396945"/>
      <w:bookmarkStart w:id="14" w:name="_Toc213496267"/>
      <w:bookmarkStart w:id="15" w:name="_Toc217446031"/>
      <w:r>
        <w:rPr>
          <w:rFonts w:hint="eastAsia" w:asciiTheme="minorEastAsia" w:hAnsiTheme="minorEastAsia" w:eastAsiaTheme="minorEastAsia" w:cstheme="minorEastAsia"/>
          <w:snapToGrid/>
          <w:color w:val="auto"/>
          <w:sz w:val="24"/>
          <w:szCs w:val="24"/>
          <w:highlight w:val="none"/>
          <w:lang w:val="en-US" w:eastAsia="zh-CN" w:bidi="ar-SA"/>
        </w:rPr>
        <w:t>联 系 人：粟女士</w:t>
      </w:r>
    </w:p>
    <w:p w14:paraId="04D22A28">
      <w:pPr>
        <w:pStyle w:val="68"/>
        <w:keepNext w:val="0"/>
        <w:keepLines w:val="0"/>
        <w:pageBreakBefore w:val="0"/>
        <w:widowControl w:val="0"/>
        <w:shd w:val="clear" w:color="auto" w:fill="auto"/>
        <w:kinsoku/>
        <w:wordWrap w:val="0"/>
        <w:overflowPunct/>
        <w:topLinePunct/>
        <w:autoSpaceDE/>
        <w:autoSpaceDN/>
        <w:bidi w:val="0"/>
        <w:adjustRightInd w:val="0"/>
        <w:snapToGrid w:val="0"/>
        <w:spacing w:line="360" w:lineRule="auto"/>
        <w:ind w:firstLine="480" w:firstLineChars="200"/>
        <w:textAlignment w:val="auto"/>
        <w:rPr>
          <w:rFonts w:hint="default" w:ascii="宋体" w:hAnsi="宋体" w:eastAsia="宋体" w:cs="宋体"/>
          <w:snapToGrid/>
          <w:color w:val="auto"/>
          <w:sz w:val="24"/>
          <w:szCs w:val="24"/>
          <w:highlight w:val="none"/>
          <w:lang w:val="en-US" w:eastAsia="zh-CN" w:bidi="ar-SA"/>
        </w:rPr>
      </w:pPr>
      <w:r>
        <w:rPr>
          <w:rFonts w:hint="eastAsia" w:ascii="宋体" w:hAnsi="宋体" w:eastAsia="宋体" w:cs="宋体"/>
          <w:snapToGrid/>
          <w:color w:val="auto"/>
          <w:sz w:val="24"/>
          <w:szCs w:val="24"/>
          <w:highlight w:val="none"/>
          <w:lang w:val="zh-CN" w:eastAsia="zh-CN" w:bidi="ar-SA"/>
        </w:rPr>
        <w:t>联系电话：</w:t>
      </w:r>
      <w:r>
        <w:rPr>
          <w:rFonts w:hint="eastAsia" w:ascii="宋体" w:hAnsi="宋体" w:eastAsia="宋体" w:cs="宋体"/>
          <w:snapToGrid/>
          <w:color w:val="auto"/>
          <w:sz w:val="24"/>
          <w:szCs w:val="24"/>
          <w:highlight w:val="none"/>
          <w:lang w:val="en-US" w:eastAsia="zh-CN" w:bidi="ar-SA"/>
        </w:rPr>
        <w:t>18190702575</w:t>
      </w:r>
    </w:p>
    <w:p w14:paraId="7341A2AF">
      <w:pPr>
        <w:pStyle w:val="68"/>
        <w:keepNext w:val="0"/>
        <w:keepLines w:val="0"/>
        <w:pageBreakBefore w:val="0"/>
        <w:widowControl w:val="0"/>
        <w:shd w:val="clear" w:color="auto" w:fill="auto"/>
        <w:kinsoku/>
        <w:wordWrap w:val="0"/>
        <w:overflowPunct/>
        <w:topLinePunct/>
        <w:autoSpaceDE/>
        <w:autoSpaceDN/>
        <w:bidi w:val="0"/>
        <w:adjustRightInd w:val="0"/>
        <w:snapToGrid w:val="0"/>
        <w:spacing w:line="360" w:lineRule="auto"/>
        <w:ind w:firstLine="480" w:firstLineChars="200"/>
        <w:textAlignment w:val="auto"/>
        <w:rPr>
          <w:rFonts w:hint="eastAsia" w:ascii="宋体" w:hAnsi="宋体" w:eastAsia="宋体" w:cs="宋体"/>
          <w:snapToGrid/>
          <w:color w:val="auto"/>
          <w:sz w:val="24"/>
          <w:szCs w:val="24"/>
          <w:highlight w:val="none"/>
          <w:lang w:val="zh-CN" w:eastAsia="zh-CN" w:bidi="ar-SA"/>
        </w:rPr>
      </w:pPr>
      <w:r>
        <w:rPr>
          <w:rFonts w:hint="eastAsia" w:ascii="宋体" w:hAnsi="宋体" w:eastAsia="宋体" w:cs="宋体"/>
          <w:snapToGrid/>
          <w:color w:val="auto"/>
          <w:sz w:val="24"/>
          <w:szCs w:val="24"/>
          <w:highlight w:val="none"/>
          <w:lang w:val="zh-CN" w:eastAsia="zh-CN" w:bidi="ar-SA"/>
        </w:rPr>
        <w:t>电子邮件：</w:t>
      </w:r>
      <w:r>
        <w:rPr>
          <w:rFonts w:hint="eastAsia" w:ascii="宋体" w:hAnsi="宋体" w:eastAsia="宋体" w:cs="宋体"/>
          <w:snapToGrid/>
          <w:color w:val="auto"/>
          <w:sz w:val="24"/>
          <w:szCs w:val="24"/>
          <w:highlight w:val="none"/>
          <w:lang w:val="zh-CN" w:eastAsia="zh-CN" w:bidi="ar-SA"/>
        </w:rPr>
        <w:fldChar w:fldCharType="begin"/>
      </w:r>
      <w:r>
        <w:rPr>
          <w:rFonts w:hint="eastAsia" w:ascii="宋体" w:hAnsi="宋体" w:eastAsia="宋体" w:cs="宋体"/>
          <w:snapToGrid/>
          <w:color w:val="auto"/>
          <w:sz w:val="24"/>
          <w:szCs w:val="24"/>
          <w:highlight w:val="none"/>
          <w:lang w:val="zh-CN" w:eastAsia="zh-CN" w:bidi="ar-SA"/>
        </w:rPr>
        <w:instrText xml:space="preserve"> HYPERLINK "mailto:3785837905@qq.com" </w:instrText>
      </w:r>
      <w:r>
        <w:rPr>
          <w:rFonts w:hint="eastAsia" w:ascii="宋体" w:hAnsi="宋体" w:eastAsia="宋体" w:cs="宋体"/>
          <w:snapToGrid/>
          <w:color w:val="auto"/>
          <w:sz w:val="24"/>
          <w:szCs w:val="24"/>
          <w:highlight w:val="none"/>
          <w:lang w:val="zh-CN" w:eastAsia="zh-CN" w:bidi="ar-SA"/>
        </w:rPr>
        <w:fldChar w:fldCharType="separate"/>
      </w:r>
      <w:r>
        <w:rPr>
          <w:rStyle w:val="33"/>
          <w:rFonts w:hint="eastAsia" w:ascii="宋体" w:hAnsi="宋体" w:eastAsia="宋体" w:cs="宋体"/>
          <w:snapToGrid/>
          <w:color w:val="auto"/>
          <w:sz w:val="24"/>
          <w:szCs w:val="24"/>
          <w:highlight w:val="none"/>
          <w:lang w:val="zh-CN" w:eastAsia="zh-CN" w:bidi="ar-SA"/>
        </w:rPr>
        <w:t>3785837905@qq.com</w:t>
      </w:r>
      <w:r>
        <w:rPr>
          <w:rStyle w:val="33"/>
          <w:rFonts w:hint="eastAsia" w:ascii="宋体" w:hAnsi="宋体" w:eastAsia="宋体" w:cs="宋体"/>
          <w:snapToGrid/>
          <w:color w:val="auto"/>
          <w:sz w:val="24"/>
          <w:szCs w:val="24"/>
          <w:highlight w:val="none"/>
          <w:lang w:val="zh-CN" w:eastAsia="zh-CN" w:bidi="ar-SA"/>
        </w:rPr>
        <w:br w:type="page"/>
      </w:r>
      <w:r>
        <w:rPr>
          <w:rFonts w:hint="eastAsia" w:ascii="宋体" w:hAnsi="宋体" w:eastAsia="宋体" w:cs="宋体"/>
          <w:snapToGrid/>
          <w:color w:val="auto"/>
          <w:sz w:val="24"/>
          <w:szCs w:val="24"/>
          <w:highlight w:val="none"/>
          <w:lang w:val="zh-CN" w:eastAsia="zh-CN" w:bidi="ar-SA"/>
        </w:rPr>
        <w:fldChar w:fldCharType="end"/>
      </w:r>
    </w:p>
    <w:p w14:paraId="5A0517B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 w:val="0"/>
          <w:bCs w:val="0"/>
          <w:color w:val="auto"/>
          <w:highlight w:val="none"/>
        </w:rPr>
      </w:pPr>
      <w:bookmarkStart w:id="16" w:name="_Toc24477"/>
      <w:r>
        <w:rPr>
          <w:rFonts w:hint="eastAsia" w:ascii="方正小标宋简体" w:hAnsi="方正小标宋简体" w:eastAsia="方正小标宋简体" w:cs="方正小标宋简体"/>
          <w:b w:val="0"/>
          <w:bCs w:val="0"/>
          <w:color w:val="auto"/>
          <w:highlight w:val="none"/>
        </w:rPr>
        <w:t xml:space="preserve">第二章 </w:t>
      </w:r>
      <w:r>
        <w:rPr>
          <w:rFonts w:hint="eastAsia" w:ascii="方正小标宋简体" w:hAnsi="方正小标宋简体" w:eastAsia="方正小标宋简体" w:cs="方正小标宋简体"/>
          <w:b w:val="0"/>
          <w:bCs w:val="0"/>
          <w:color w:val="auto"/>
          <w:highlight w:val="none"/>
          <w:lang w:val="en-US" w:eastAsia="zh-CN"/>
        </w:rPr>
        <w:t xml:space="preserve"> </w:t>
      </w:r>
      <w:r>
        <w:rPr>
          <w:rFonts w:hint="eastAsia" w:ascii="方正小标宋简体" w:hAnsi="方正小标宋简体" w:eastAsia="方正小标宋简体" w:cs="方正小标宋简体"/>
          <w:b w:val="0"/>
          <w:bCs w:val="0"/>
          <w:color w:val="auto"/>
          <w:highlight w:val="none"/>
        </w:rPr>
        <w:t>磋商须知</w:t>
      </w:r>
      <w:bookmarkEnd w:id="10"/>
      <w:bookmarkEnd w:id="11"/>
      <w:bookmarkEnd w:id="12"/>
      <w:bookmarkEnd w:id="13"/>
      <w:bookmarkEnd w:id="14"/>
      <w:bookmarkEnd w:id="15"/>
      <w:bookmarkEnd w:id="16"/>
    </w:p>
    <w:p w14:paraId="1C5DE815">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Theme="minorEastAsia" w:hAnsiTheme="minorEastAsia" w:eastAsiaTheme="minorEastAsia" w:cstheme="minorEastAsia"/>
          <w:color w:val="auto"/>
          <w:highlight w:val="none"/>
        </w:rPr>
      </w:pPr>
      <w:bookmarkStart w:id="17" w:name="_Toc13886_WPSOffice_Level1"/>
      <w:r>
        <w:rPr>
          <w:rFonts w:hint="eastAsia" w:asciiTheme="minorEastAsia" w:hAnsiTheme="minorEastAsia" w:eastAsiaTheme="minorEastAsia" w:cstheme="minorEastAsia"/>
          <w:color w:val="auto"/>
          <w:highlight w:val="none"/>
        </w:rPr>
        <w:t>一、供应商须知附表</w:t>
      </w:r>
      <w:bookmarkEnd w:id="17"/>
    </w:p>
    <w:tbl>
      <w:tblPr>
        <w:tblStyle w:val="25"/>
        <w:tblW w:w="0" w:type="auto"/>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2148"/>
        <w:gridCol w:w="6056"/>
      </w:tblGrid>
      <w:tr w14:paraId="0025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748AC08">
            <w:pPr>
              <w:pStyle w:val="51"/>
              <w:keepNext w:val="0"/>
              <w:keepLines w:val="0"/>
              <w:pageBreakBefore w:val="0"/>
              <w:widowControl w:val="0"/>
              <w:kinsoku/>
              <w:overflowPunct/>
              <w:bidi w:val="0"/>
              <w:spacing w:line="360" w:lineRule="auto"/>
              <w:ind w:right="0" w:righ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序号</w:t>
            </w:r>
          </w:p>
        </w:tc>
        <w:tc>
          <w:tcPr>
            <w:tcW w:w="2209" w:type="dxa"/>
            <w:vAlign w:val="center"/>
          </w:tcPr>
          <w:p w14:paraId="403B42A6">
            <w:pPr>
              <w:pStyle w:val="51"/>
              <w:keepNext w:val="0"/>
              <w:keepLines w:val="0"/>
              <w:pageBreakBefore w:val="0"/>
              <w:widowControl w:val="0"/>
              <w:kinsoku/>
              <w:overflowPunct/>
              <w:bidi w:val="0"/>
              <w:spacing w:line="360" w:lineRule="auto"/>
              <w:ind w:left="38" w:leftChars="0" w:firstLine="480" w:firstLineChars="20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应知事项</w:t>
            </w:r>
          </w:p>
        </w:tc>
        <w:tc>
          <w:tcPr>
            <w:tcW w:w="6405" w:type="dxa"/>
            <w:vAlign w:val="center"/>
          </w:tcPr>
          <w:p w14:paraId="4A80DC3B">
            <w:pPr>
              <w:pStyle w:val="51"/>
              <w:keepNext w:val="0"/>
              <w:keepLines w:val="0"/>
              <w:pageBreakBefore w:val="0"/>
              <w:widowControl w:val="0"/>
              <w:kinsoku/>
              <w:overflowPunct/>
              <w:bidi w:val="0"/>
              <w:spacing w:line="360" w:lineRule="auto"/>
              <w:ind w:left="0" w:leftChars="0" w:right="0" w:rightChars="0" w:firstLine="480" w:firstLineChars="20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说明和要求</w:t>
            </w:r>
          </w:p>
        </w:tc>
      </w:tr>
      <w:tr w14:paraId="64A3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B6B97FF">
            <w:pPr>
              <w:keepNext w:val="0"/>
              <w:keepLines w:val="0"/>
              <w:pageBreakBefore w:val="0"/>
              <w:widowControl w:val="0"/>
              <w:kinsoku/>
              <w:overflowPunct/>
              <w:bidi w:val="0"/>
              <w:spacing w:line="360" w:lineRule="auto"/>
              <w:ind w:right="0" w:rightChars="0"/>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1</w:t>
            </w:r>
          </w:p>
        </w:tc>
        <w:tc>
          <w:tcPr>
            <w:tcW w:w="2209" w:type="dxa"/>
            <w:vAlign w:val="center"/>
          </w:tcPr>
          <w:p w14:paraId="6C47D92B">
            <w:pPr>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确定邀请磋商的供应商数量和方式</w:t>
            </w:r>
          </w:p>
        </w:tc>
        <w:tc>
          <w:tcPr>
            <w:tcW w:w="6405" w:type="dxa"/>
            <w:vAlign w:val="center"/>
          </w:tcPr>
          <w:p w14:paraId="46B6F94F">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本次磋商邀请的供应商数量：不少于3家。</w:t>
            </w:r>
          </w:p>
          <w:p w14:paraId="374B97BD">
            <w:pPr>
              <w:keepNext w:val="0"/>
              <w:keepLines w:val="0"/>
              <w:pageBreakBefore w:val="0"/>
              <w:widowControl w:val="0"/>
              <w:kinsoku/>
              <w:overflowPunct/>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本次采购采取以发布公告的方式邀请参加磋商的供应商。</w:t>
            </w:r>
          </w:p>
        </w:tc>
      </w:tr>
      <w:tr w14:paraId="3E0A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2DBFB67">
            <w:pPr>
              <w:pStyle w:val="51"/>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2</w:t>
            </w:r>
          </w:p>
        </w:tc>
        <w:tc>
          <w:tcPr>
            <w:tcW w:w="2209" w:type="dxa"/>
            <w:vAlign w:val="center"/>
          </w:tcPr>
          <w:p w14:paraId="6ADBC01F">
            <w:pPr>
              <w:pStyle w:val="51"/>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采购预算（实质性要求）</w:t>
            </w:r>
          </w:p>
        </w:tc>
        <w:tc>
          <w:tcPr>
            <w:tcW w:w="6405" w:type="dxa"/>
            <w:vAlign w:val="top"/>
          </w:tcPr>
          <w:p w14:paraId="663D5036">
            <w:pPr>
              <w:pStyle w:val="51"/>
              <w:keepNext w:val="0"/>
              <w:keepLines w:val="0"/>
              <w:pageBreakBefore w:val="0"/>
              <w:widowControl w:val="0"/>
              <w:kinsoku/>
              <w:overflowPunct/>
              <w:bidi w:val="0"/>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bidi="ar-SA"/>
              </w:rPr>
              <w:t>采购预算：</w:t>
            </w:r>
            <w:r>
              <w:rPr>
                <w:rFonts w:hint="eastAsia" w:asciiTheme="minorEastAsia" w:hAnsiTheme="minorEastAsia" w:eastAsiaTheme="minorEastAsia" w:cstheme="minorEastAsia"/>
                <w:color w:val="auto"/>
                <w:sz w:val="24"/>
                <w:szCs w:val="24"/>
                <w:highlight w:val="none"/>
                <w:lang w:val="en-US" w:eastAsia="zh-CN"/>
              </w:rPr>
              <w:t>197000.00元。</w:t>
            </w:r>
          </w:p>
          <w:p w14:paraId="4039AC39">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color w:val="auto"/>
                <w:highlight w:val="none"/>
                <w:lang w:val="zh-CN"/>
              </w:rPr>
              <w:t>报价超过最高限价响应无效</w:t>
            </w:r>
            <w:r>
              <w:rPr>
                <w:rFonts w:hint="eastAsia" w:asciiTheme="minorEastAsia" w:hAnsiTheme="minorEastAsia" w:eastAsiaTheme="minorEastAsia" w:cstheme="minorEastAsia"/>
                <w:color w:val="auto"/>
                <w:sz w:val="24"/>
                <w:szCs w:val="24"/>
                <w:highlight w:val="none"/>
                <w:lang w:val="zh-CN" w:eastAsia="zh-CN" w:bidi="ar-SA"/>
              </w:rPr>
              <w:t>。</w:t>
            </w:r>
          </w:p>
        </w:tc>
      </w:tr>
      <w:tr w14:paraId="4CA4A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2BB3C46">
            <w:pPr>
              <w:pStyle w:val="51"/>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3</w:t>
            </w:r>
          </w:p>
        </w:tc>
        <w:tc>
          <w:tcPr>
            <w:tcW w:w="2209" w:type="dxa"/>
            <w:vAlign w:val="center"/>
          </w:tcPr>
          <w:p w14:paraId="400ED9B6">
            <w:pPr>
              <w:pStyle w:val="51"/>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asciiTheme="minorEastAsia" w:hAnsiTheme="minorEastAsia" w:eastAsiaTheme="minorEastAsia" w:cstheme="minorEastAsia"/>
                <w:color w:val="auto"/>
                <w:sz w:val="24"/>
                <w:szCs w:val="24"/>
                <w:highlight w:val="none"/>
                <w:lang w:val="zh-CN" w:eastAsia="zh-CN" w:bidi="ar-SA"/>
              </w:rPr>
              <w:t>最高限价（实质性要求）</w:t>
            </w:r>
          </w:p>
        </w:tc>
        <w:tc>
          <w:tcPr>
            <w:tcW w:w="6405" w:type="dxa"/>
            <w:vAlign w:val="center"/>
          </w:tcPr>
          <w:p w14:paraId="71CAAB98">
            <w:pPr>
              <w:pStyle w:val="51"/>
              <w:keepNext w:val="0"/>
              <w:keepLines w:val="0"/>
              <w:pageBreakBefore w:val="0"/>
              <w:widowControl w:val="0"/>
              <w:kinsoku/>
              <w:overflowPunct/>
              <w:bidi w:val="0"/>
              <w:spacing w:line="360" w:lineRule="auto"/>
              <w:ind w:firstLine="480" w:firstLineChars="200"/>
              <w:jc w:val="both"/>
              <w:textAlignment w:val="auto"/>
              <w:rPr>
                <w:rFonts w:hint="default" w:asciiTheme="minorEastAsia" w:hAnsiTheme="minorEastAsia" w:eastAsiaTheme="minorEastAsia" w:cstheme="minorEastAsia"/>
                <w:color w:val="auto"/>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zh-CN" w:eastAsia="zh-CN" w:bidi="ar-SA"/>
              </w:rPr>
              <w:t>采购预算：</w:t>
            </w:r>
            <w:r>
              <w:rPr>
                <w:rFonts w:hint="eastAsia" w:asciiTheme="minorEastAsia" w:hAnsiTheme="minorEastAsia" w:eastAsiaTheme="minorEastAsia" w:cstheme="minorEastAsia"/>
                <w:color w:val="auto"/>
                <w:sz w:val="24"/>
                <w:szCs w:val="24"/>
                <w:highlight w:val="none"/>
                <w:lang w:val="en-US" w:eastAsia="zh-CN"/>
              </w:rPr>
              <w:t>197000.00元。</w:t>
            </w:r>
          </w:p>
          <w:p w14:paraId="48BFAA5F">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sz w:val="24"/>
                <w:szCs w:val="24"/>
                <w:highlight w:val="none"/>
                <w:lang w:val="zh-CN" w:eastAsia="zh-CN" w:bidi="ar-SA"/>
              </w:rPr>
            </w:pPr>
            <w:r>
              <w:rPr>
                <w:rFonts w:hint="eastAsia"/>
                <w:color w:val="auto"/>
                <w:highlight w:val="none"/>
                <w:lang w:val="zh-CN"/>
              </w:rPr>
              <w:t>报价超过最高限价响应无效</w:t>
            </w:r>
            <w:r>
              <w:rPr>
                <w:rFonts w:hint="eastAsia" w:asciiTheme="minorEastAsia" w:hAnsiTheme="minorEastAsia" w:eastAsiaTheme="minorEastAsia" w:cstheme="minorEastAsia"/>
                <w:color w:val="auto"/>
                <w:sz w:val="24"/>
                <w:szCs w:val="24"/>
                <w:highlight w:val="none"/>
                <w:lang w:val="zh-CN" w:eastAsia="zh-CN" w:bidi="ar-SA"/>
              </w:rPr>
              <w:t>。</w:t>
            </w:r>
          </w:p>
        </w:tc>
      </w:tr>
      <w:tr w14:paraId="7E75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E19B7BA">
            <w:pPr>
              <w:pStyle w:val="51"/>
              <w:keepNext w:val="0"/>
              <w:keepLines w:val="0"/>
              <w:pageBreakBefore w:val="0"/>
              <w:widowControl w:val="0"/>
              <w:kinsoku/>
              <w:overflowPunct/>
              <w:bidi w:val="0"/>
              <w:spacing w:line="360" w:lineRule="auto"/>
              <w:ind w:right="0" w:righ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4</w:t>
            </w:r>
          </w:p>
        </w:tc>
        <w:tc>
          <w:tcPr>
            <w:tcW w:w="2209" w:type="dxa"/>
            <w:vAlign w:val="center"/>
          </w:tcPr>
          <w:p w14:paraId="7D0A2A90">
            <w:pPr>
              <w:pStyle w:val="51"/>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联合体</w:t>
            </w:r>
          </w:p>
        </w:tc>
        <w:tc>
          <w:tcPr>
            <w:tcW w:w="6405" w:type="dxa"/>
            <w:vAlign w:val="center"/>
          </w:tcPr>
          <w:p w14:paraId="30D2B27A">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不允许联合体磋商</w:t>
            </w:r>
          </w:p>
        </w:tc>
      </w:tr>
      <w:tr w14:paraId="7755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B37FE63">
            <w:pPr>
              <w:pStyle w:val="51"/>
              <w:keepNext w:val="0"/>
              <w:keepLines w:val="0"/>
              <w:pageBreakBefore w:val="0"/>
              <w:widowControl w:val="0"/>
              <w:kinsoku/>
              <w:overflowPunct/>
              <w:bidi w:val="0"/>
              <w:spacing w:line="360" w:lineRule="auto"/>
              <w:ind w:right="0" w:rightChars="0"/>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5</w:t>
            </w:r>
          </w:p>
        </w:tc>
        <w:tc>
          <w:tcPr>
            <w:tcW w:w="2209" w:type="dxa"/>
            <w:vAlign w:val="center"/>
          </w:tcPr>
          <w:p w14:paraId="16330CEE">
            <w:pPr>
              <w:pStyle w:val="51"/>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低于成本价</w:t>
            </w:r>
          </w:p>
          <w:p w14:paraId="3F8EEE9B">
            <w:pPr>
              <w:pStyle w:val="51"/>
              <w:keepNext w:val="0"/>
              <w:keepLines w:val="0"/>
              <w:pageBreakBefore w:val="0"/>
              <w:widowControl w:val="0"/>
              <w:kinsoku/>
              <w:overflowPunct/>
              <w:bidi w:val="0"/>
              <w:spacing w:line="360" w:lineRule="auto"/>
              <w:jc w:val="center"/>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不正当竞争预防措施（实质性要求）</w:t>
            </w:r>
          </w:p>
        </w:tc>
        <w:tc>
          <w:tcPr>
            <w:tcW w:w="6405" w:type="dxa"/>
            <w:vAlign w:val="top"/>
          </w:tcPr>
          <w:p w14:paraId="7EFF30E1">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1、在评审过程中，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处理。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0CE7A842">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76BFA3F8">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3、供应商提供书面说明后，磋商小组应当结合采购项目采购需求、专业实际情况、供应商财务状况报告、与其他供应商比较情况等就供应商书面说明进行审查评价。供应商拒绝或者变相拒绝提供有效书面说明或者书面说明不能证明其报价合理性的，磋商小组应当将其投标文件作为无效处理。</w:t>
            </w:r>
          </w:p>
        </w:tc>
      </w:tr>
      <w:tr w14:paraId="6987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9" w:hRule="atLeast"/>
        </w:trPr>
        <w:tc>
          <w:tcPr>
            <w:tcW w:w="726" w:type="dxa"/>
            <w:vAlign w:val="center"/>
          </w:tcPr>
          <w:p w14:paraId="2DE98AE8">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6</w:t>
            </w:r>
          </w:p>
        </w:tc>
        <w:tc>
          <w:tcPr>
            <w:tcW w:w="2209" w:type="dxa"/>
            <w:vAlign w:val="center"/>
          </w:tcPr>
          <w:p w14:paraId="0F18CCD8">
            <w:pPr>
              <w:pStyle w:val="51"/>
              <w:kinsoku/>
              <w:overflowPunct/>
              <w:bidi w:val="0"/>
              <w:ind w:left="38" w:firstLine="480" w:firstLineChars="200"/>
              <w:jc w:val="center"/>
              <w:rPr>
                <w:rFonts w:hint="eastAsia"/>
                <w:color w:val="auto"/>
                <w:highlight w:val="none"/>
                <w:lang w:val="zh-CN"/>
              </w:rPr>
            </w:pPr>
            <w:r>
              <w:rPr>
                <w:rFonts w:hint="eastAsia"/>
                <w:color w:val="auto"/>
                <w:highlight w:val="none"/>
                <w:lang w:val="zh-CN"/>
              </w:rPr>
              <w:t>小微企业（监狱企业、残疾人福利性单位视同小微企业）价格扣除</w:t>
            </w:r>
          </w:p>
          <w:p w14:paraId="106243B8">
            <w:pPr>
              <w:pStyle w:val="51"/>
              <w:kinsoku/>
              <w:overflowPunct/>
              <w:bidi w:val="0"/>
              <w:ind w:left="38" w:firstLine="480" w:firstLineChars="200"/>
              <w:jc w:val="center"/>
              <w:rPr>
                <w:color w:val="auto"/>
                <w:highlight w:val="none"/>
                <w:lang w:val="zh-CN"/>
              </w:rPr>
            </w:pPr>
            <w:r>
              <w:rPr>
                <w:rFonts w:hint="eastAsia"/>
                <w:color w:val="auto"/>
                <w:highlight w:val="none"/>
                <w:lang w:val="zh-CN"/>
              </w:rPr>
              <w:t>（实质性要求）</w:t>
            </w:r>
          </w:p>
          <w:p w14:paraId="08636533">
            <w:pPr>
              <w:pStyle w:val="51"/>
              <w:kinsoku/>
              <w:overflowPunct/>
              <w:bidi w:val="0"/>
              <w:ind w:left="38" w:leftChars="0" w:firstLine="480" w:firstLineChars="200"/>
              <w:jc w:val="center"/>
              <w:rPr>
                <w:rFonts w:hint="eastAsia" w:asciiTheme="minorEastAsia" w:hAnsiTheme="minorEastAsia" w:eastAsiaTheme="minorEastAsia" w:cstheme="minorEastAsia"/>
                <w:color w:val="auto"/>
                <w:highlight w:val="none"/>
                <w:vertAlign w:val="baseline"/>
              </w:rPr>
            </w:pPr>
          </w:p>
        </w:tc>
        <w:tc>
          <w:tcPr>
            <w:tcW w:w="6405" w:type="dxa"/>
            <w:vAlign w:val="top"/>
          </w:tcPr>
          <w:p w14:paraId="6F9E9FBC">
            <w:pPr>
              <w:keepNext w:val="0"/>
              <w:keepLines w:val="0"/>
              <w:pageBreakBefore w:val="0"/>
              <w:widowControl w:val="0"/>
              <w:kinsoku/>
              <w:wordWrap/>
              <w:overflowPunct/>
              <w:topLinePunct w:val="0"/>
              <w:bidi w:val="0"/>
              <w:snapToGrid/>
              <w:spacing w:line="360" w:lineRule="auto"/>
              <w:ind w:right="170" w:rightChars="5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小微企业（监狱企业、残疾人福利性单位视同小微企业）价格扣除</w:t>
            </w:r>
            <w:r>
              <w:rPr>
                <w:rFonts w:hint="eastAsia" w:hAnsi="宋体"/>
                <w:color w:val="auto"/>
                <w:sz w:val="24"/>
                <w:highlight w:val="none"/>
                <w:lang w:eastAsia="zh-CN"/>
              </w:rPr>
              <w:t>：</w:t>
            </w:r>
          </w:p>
          <w:p w14:paraId="484EB901">
            <w:pPr>
              <w:keepNext w:val="0"/>
              <w:keepLines w:val="0"/>
              <w:pageBreakBefore w:val="0"/>
              <w:widowControl w:val="0"/>
              <w:kinsoku/>
              <w:wordWrap/>
              <w:overflowPunct/>
              <w:topLinePunct w:val="0"/>
              <w:bidi w:val="0"/>
              <w:snapToGrid/>
              <w:spacing w:line="360" w:lineRule="auto"/>
              <w:ind w:left="170" w:leftChars="50" w:right="170" w:rightChars="50" w:firstLine="480" w:firstLineChars="200"/>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s="宋体"/>
                <w:color w:val="auto"/>
                <w:sz w:val="24"/>
                <w:szCs w:val="22"/>
                <w:highlight w:val="none"/>
              </w:rPr>
              <w:t xml:space="preserve"> </w:t>
            </w:r>
            <w:r>
              <w:rPr>
                <w:rFonts w:hint="eastAsia" w:ascii="宋体" w:hAnsi="宋体"/>
                <w:color w:val="auto"/>
                <w:sz w:val="24"/>
                <w:highlight w:val="none"/>
              </w:rPr>
              <w:t>对小型和微型企业服务的价格给予20%的价格扣除，用扣除后的价格参与评标。</w:t>
            </w:r>
          </w:p>
          <w:p w14:paraId="099204F9">
            <w:pPr>
              <w:keepNext w:val="0"/>
              <w:keepLines w:val="0"/>
              <w:pageBreakBefore w:val="0"/>
              <w:widowControl w:val="0"/>
              <w:kinsoku/>
              <w:wordWrap/>
              <w:overflowPunct/>
              <w:topLinePunct w:val="0"/>
              <w:bidi w:val="0"/>
              <w:snapToGrid/>
              <w:spacing w:line="360" w:lineRule="auto"/>
              <w:ind w:left="170" w:leftChars="50" w:right="170" w:rightChars="50" w:firstLine="480" w:firstLineChars="200"/>
              <w:textAlignment w:val="auto"/>
              <w:rPr>
                <w:rFonts w:hint="eastAsia" w:asciiTheme="minorEastAsia" w:hAnsiTheme="minorEastAsia" w:eastAsiaTheme="minorEastAsia" w:cstheme="minorEastAsia"/>
                <w:color w:val="auto"/>
                <w:highlight w:val="none"/>
                <w:vertAlign w:val="baseline"/>
              </w:rPr>
            </w:pPr>
            <w:r>
              <w:rPr>
                <w:rFonts w:hint="eastAsia" w:ascii="宋体" w:hAnsi="宋体"/>
                <w:color w:val="auto"/>
                <w:sz w:val="24"/>
                <w:highlight w:val="none"/>
              </w:rPr>
              <w:t>2.参加政府采购活动的中小企业应当提供《中小企业声明函》原件。监狱企业应当提供《监狱企业证明》原件。残疾人福利性单位应当提供《残疾人福利性单位声明函》原件。</w:t>
            </w:r>
          </w:p>
        </w:tc>
      </w:tr>
      <w:tr w14:paraId="13D39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1D82250">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7</w:t>
            </w:r>
          </w:p>
        </w:tc>
        <w:tc>
          <w:tcPr>
            <w:tcW w:w="2209" w:type="dxa"/>
            <w:vAlign w:val="center"/>
          </w:tcPr>
          <w:p w14:paraId="0318709C">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磋商情况公告</w:t>
            </w:r>
          </w:p>
        </w:tc>
        <w:tc>
          <w:tcPr>
            <w:tcW w:w="6405" w:type="dxa"/>
            <w:vAlign w:val="center"/>
          </w:tcPr>
          <w:p w14:paraId="4CD2E48B">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供应商资格审查情况、磋商情况、报价情况、磋商结果等在</w:t>
            </w:r>
            <w:r>
              <w:rPr>
                <w:rFonts w:hint="eastAsia" w:asciiTheme="minorEastAsia" w:hAnsiTheme="minorEastAsia" w:eastAsiaTheme="minorEastAsia" w:cstheme="minorEastAsia"/>
                <w:bCs/>
                <w:color w:val="auto"/>
                <w:sz w:val="24"/>
                <w:szCs w:val="24"/>
                <w:highlight w:val="none"/>
                <w:lang w:val="en-US" w:eastAsia="zh-CN"/>
              </w:rPr>
              <w:t>广元市水利局官网</w:t>
            </w:r>
            <w:r>
              <w:rPr>
                <w:rFonts w:hint="eastAsia" w:asciiTheme="minorEastAsia" w:hAnsiTheme="minorEastAsia" w:eastAsiaTheme="minorEastAsia" w:cstheme="minorEastAsia"/>
                <w:color w:val="auto"/>
                <w:highlight w:val="none"/>
                <w:lang w:val="zh-CN"/>
              </w:rPr>
              <w:t>公示。</w:t>
            </w:r>
          </w:p>
        </w:tc>
      </w:tr>
      <w:tr w14:paraId="31F0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C3A07F3">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highlight w:val="none"/>
                <w:vertAlign w:val="baseline"/>
                <w:lang w:eastAsia="zh-CN"/>
              </w:rPr>
            </w:pPr>
            <w:r>
              <w:rPr>
                <w:rFonts w:hint="eastAsia" w:asciiTheme="minorEastAsia" w:hAnsiTheme="minorEastAsia" w:eastAsiaTheme="minorEastAsia" w:cstheme="minorEastAsia"/>
                <w:color w:val="auto"/>
                <w:highlight w:val="none"/>
                <w:lang w:val="en-US" w:eastAsia="zh-CN"/>
              </w:rPr>
              <w:t>8</w:t>
            </w:r>
          </w:p>
        </w:tc>
        <w:tc>
          <w:tcPr>
            <w:tcW w:w="2209" w:type="dxa"/>
            <w:vAlign w:val="center"/>
          </w:tcPr>
          <w:p w14:paraId="27FCD154">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en-US" w:eastAsia="zh-CN"/>
              </w:rPr>
              <w:t>磋商文件、</w:t>
            </w:r>
            <w:r>
              <w:rPr>
                <w:rFonts w:hint="eastAsia" w:asciiTheme="minorEastAsia" w:hAnsiTheme="minorEastAsia" w:eastAsiaTheme="minorEastAsia" w:cstheme="minorEastAsia"/>
                <w:color w:val="auto"/>
                <w:highlight w:val="none"/>
                <w:lang w:val="zh-CN"/>
              </w:rPr>
              <w:t>磋商过程、结果工作咨询</w:t>
            </w:r>
          </w:p>
        </w:tc>
        <w:tc>
          <w:tcPr>
            <w:tcW w:w="6405" w:type="dxa"/>
            <w:vAlign w:val="center"/>
          </w:tcPr>
          <w:p w14:paraId="7321DD10">
            <w:pPr>
              <w:pStyle w:val="68"/>
              <w:keepNext w:val="0"/>
              <w:keepLines w:val="0"/>
              <w:pageBreakBefore w:val="0"/>
              <w:widowControl w:val="0"/>
              <w:kinsoku/>
              <w:wordWrap w:val="0"/>
              <w:overflowPunct/>
              <w:topLinePunct/>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snapToGrid/>
                <w:color w:val="auto"/>
                <w:sz w:val="24"/>
                <w:szCs w:val="24"/>
                <w:highlight w:val="none"/>
                <w:lang w:val="en-US" w:eastAsia="zh-CN" w:bidi="ar-SA"/>
              </w:rPr>
            </w:pPr>
            <w:r>
              <w:rPr>
                <w:rFonts w:hint="eastAsia" w:asciiTheme="minorEastAsia" w:hAnsiTheme="minorEastAsia" w:eastAsiaTheme="minorEastAsia" w:cstheme="minorEastAsia"/>
                <w:snapToGrid/>
                <w:color w:val="auto"/>
                <w:sz w:val="24"/>
                <w:szCs w:val="24"/>
                <w:highlight w:val="none"/>
                <w:lang w:val="en-US" w:eastAsia="zh-CN" w:bidi="ar-SA"/>
              </w:rPr>
              <w:t>联 系 人：粟女士</w:t>
            </w:r>
          </w:p>
          <w:p w14:paraId="17223B76">
            <w:pPr>
              <w:pStyle w:val="68"/>
              <w:keepNext w:val="0"/>
              <w:keepLines w:val="0"/>
              <w:pageBreakBefore w:val="0"/>
              <w:widowControl w:val="0"/>
              <w:shd w:val="clear" w:color="auto" w:fill="auto"/>
              <w:kinsoku/>
              <w:wordWrap w:val="0"/>
              <w:overflowPunct/>
              <w:topLinePunct/>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highlight w:val="none"/>
                <w:vertAlign w:val="baseline"/>
              </w:rPr>
            </w:pPr>
            <w:r>
              <w:rPr>
                <w:rFonts w:hint="eastAsia" w:ascii="宋体" w:hAnsi="宋体" w:eastAsia="宋体" w:cs="宋体"/>
                <w:snapToGrid/>
                <w:color w:val="auto"/>
                <w:sz w:val="24"/>
                <w:szCs w:val="24"/>
                <w:highlight w:val="none"/>
                <w:lang w:val="zh-CN" w:eastAsia="zh-CN" w:bidi="ar-SA"/>
              </w:rPr>
              <w:t>联系电话：</w:t>
            </w:r>
            <w:r>
              <w:rPr>
                <w:rFonts w:hint="eastAsia" w:ascii="宋体" w:hAnsi="宋体" w:eastAsia="宋体" w:cs="宋体"/>
                <w:snapToGrid/>
                <w:color w:val="auto"/>
                <w:sz w:val="24"/>
                <w:szCs w:val="24"/>
                <w:highlight w:val="none"/>
                <w:lang w:val="en-US" w:eastAsia="zh-CN" w:bidi="ar-SA"/>
              </w:rPr>
              <w:t>18190702575</w:t>
            </w:r>
          </w:p>
        </w:tc>
      </w:tr>
      <w:tr w14:paraId="5CA4A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E50703B">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default"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lang w:val="en-US" w:eastAsia="zh-CN"/>
              </w:rPr>
              <w:t>9</w:t>
            </w:r>
          </w:p>
        </w:tc>
        <w:tc>
          <w:tcPr>
            <w:tcW w:w="2209" w:type="dxa"/>
            <w:vAlign w:val="center"/>
          </w:tcPr>
          <w:p w14:paraId="10D3CEE5">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磋商保证金</w:t>
            </w:r>
          </w:p>
        </w:tc>
        <w:tc>
          <w:tcPr>
            <w:tcW w:w="6405" w:type="dxa"/>
            <w:vAlign w:val="center"/>
          </w:tcPr>
          <w:p w14:paraId="58A413FA">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本项目不收取。</w:t>
            </w:r>
          </w:p>
        </w:tc>
      </w:tr>
      <w:tr w14:paraId="241A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4F17C1C">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default" w:asciiTheme="minorEastAsia" w:hAnsiTheme="minorEastAsia" w:eastAsiaTheme="minorEastAsia" w:cstheme="minorEastAsia"/>
                <w:color w:val="auto"/>
                <w:highlight w:val="none"/>
                <w:vertAlign w:val="baseline"/>
                <w:lang w:val="en-US" w:eastAsia="zh-CN"/>
              </w:rPr>
            </w:pPr>
            <w:r>
              <w:rPr>
                <w:rFonts w:hint="eastAsia" w:asciiTheme="minorEastAsia" w:hAnsiTheme="minorEastAsia" w:eastAsiaTheme="minorEastAsia" w:cstheme="minorEastAsia"/>
                <w:color w:val="auto"/>
                <w:highlight w:val="none"/>
                <w:vertAlign w:val="baseline"/>
                <w:lang w:val="en-US" w:eastAsia="zh-CN"/>
              </w:rPr>
              <w:t>10</w:t>
            </w:r>
          </w:p>
        </w:tc>
        <w:tc>
          <w:tcPr>
            <w:tcW w:w="2209" w:type="dxa"/>
            <w:vAlign w:val="center"/>
          </w:tcPr>
          <w:p w14:paraId="1EECA539">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成交通知书领取</w:t>
            </w:r>
          </w:p>
        </w:tc>
        <w:tc>
          <w:tcPr>
            <w:tcW w:w="6405" w:type="dxa"/>
            <w:vAlign w:val="center"/>
          </w:tcPr>
          <w:p w14:paraId="539744B2">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结果公告在</w:t>
            </w:r>
            <w:r>
              <w:rPr>
                <w:rFonts w:hint="eastAsia" w:asciiTheme="minorEastAsia" w:hAnsiTheme="minorEastAsia" w:eastAsiaTheme="minorEastAsia" w:cstheme="minorEastAsia"/>
                <w:bCs/>
                <w:color w:val="auto"/>
                <w:sz w:val="24"/>
                <w:szCs w:val="24"/>
                <w:highlight w:val="none"/>
                <w:lang w:val="en-US" w:eastAsia="zh-CN"/>
              </w:rPr>
              <w:t>广元市水利局官网</w:t>
            </w:r>
            <w:r>
              <w:rPr>
                <w:rFonts w:hint="eastAsia" w:asciiTheme="minorEastAsia" w:hAnsiTheme="minorEastAsia" w:eastAsiaTheme="minorEastAsia" w:cstheme="minorEastAsia"/>
                <w:color w:val="auto"/>
                <w:highlight w:val="none"/>
                <w:lang w:val="zh-CN"/>
              </w:rPr>
              <w:t>公示后，请成交供应商凭有效身份证明证件到四川立格建设项目管理有限公司领取成交通知书。</w:t>
            </w:r>
          </w:p>
          <w:p w14:paraId="45B1CF40">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联系电话：</w:t>
            </w:r>
            <w:r>
              <w:rPr>
                <w:rFonts w:hint="eastAsia" w:asciiTheme="minorEastAsia" w:hAnsiTheme="minorEastAsia" w:eastAsiaTheme="minorEastAsia" w:cstheme="minorEastAsia"/>
                <w:color w:val="auto"/>
                <w:highlight w:val="none"/>
                <w:lang w:val="zh-CN" w:eastAsia="zh-CN"/>
              </w:rPr>
              <w:t>18190702575</w:t>
            </w:r>
          </w:p>
        </w:tc>
      </w:tr>
      <w:tr w14:paraId="5A46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6A64E7F">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highlight w:val="none"/>
                <w:vertAlign w:val="baseline"/>
                <w:lang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1</w:t>
            </w:r>
          </w:p>
        </w:tc>
        <w:tc>
          <w:tcPr>
            <w:tcW w:w="2209" w:type="dxa"/>
            <w:vAlign w:val="center"/>
          </w:tcPr>
          <w:p w14:paraId="11814BCA">
            <w:pPr>
              <w:pStyle w:val="51"/>
              <w:keepNext w:val="0"/>
              <w:keepLines w:val="0"/>
              <w:pageBreakBefore w:val="0"/>
              <w:widowControl w:val="0"/>
              <w:kinsoku/>
              <w:overflowPunct/>
              <w:bidi w:val="0"/>
              <w:spacing w:line="360" w:lineRule="auto"/>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供应商</w:t>
            </w:r>
            <w:r>
              <w:rPr>
                <w:rFonts w:hint="eastAsia" w:asciiTheme="minorEastAsia" w:hAnsiTheme="minorEastAsia" w:eastAsiaTheme="minorEastAsia" w:cstheme="minorEastAsia"/>
                <w:color w:val="auto"/>
                <w:highlight w:val="none"/>
                <w:lang w:val="en-US" w:eastAsia="zh-CN"/>
              </w:rPr>
              <w:t>询问、</w:t>
            </w:r>
            <w:r>
              <w:rPr>
                <w:rFonts w:hint="eastAsia" w:asciiTheme="minorEastAsia" w:hAnsiTheme="minorEastAsia" w:eastAsiaTheme="minorEastAsia" w:cstheme="minorEastAsia"/>
                <w:color w:val="auto"/>
                <w:highlight w:val="none"/>
                <w:lang w:val="zh-CN"/>
              </w:rPr>
              <w:t>质疑</w:t>
            </w:r>
          </w:p>
        </w:tc>
        <w:tc>
          <w:tcPr>
            <w:tcW w:w="6405" w:type="dxa"/>
            <w:vAlign w:val="center"/>
          </w:tcPr>
          <w:p w14:paraId="71F87E99">
            <w:pPr>
              <w:keepNext w:val="0"/>
              <w:keepLines w:val="0"/>
              <w:pageBreakBefore w:val="0"/>
              <w:widowControl w:val="0"/>
              <w:kinsoku/>
              <w:overflowPunct/>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根据委托代理协议约定，对磋商文件的</w:t>
            </w:r>
            <w:r>
              <w:rPr>
                <w:rFonts w:hint="eastAsia" w:asciiTheme="minorEastAsia" w:hAnsiTheme="minorEastAsia" w:eastAsiaTheme="minorEastAsia" w:cstheme="minorEastAsia"/>
                <w:color w:val="auto"/>
                <w:sz w:val="24"/>
                <w:szCs w:val="24"/>
                <w:highlight w:val="none"/>
                <w:lang w:val="en-US" w:eastAsia="zh-CN"/>
              </w:rPr>
              <w:t>询问、</w:t>
            </w:r>
            <w:r>
              <w:rPr>
                <w:rFonts w:hint="eastAsia" w:asciiTheme="minorEastAsia" w:hAnsiTheme="minorEastAsia" w:eastAsiaTheme="minorEastAsia" w:cstheme="minorEastAsia"/>
                <w:color w:val="auto"/>
                <w:sz w:val="24"/>
                <w:szCs w:val="24"/>
                <w:highlight w:val="none"/>
                <w:lang w:val="zh-CN"/>
              </w:rPr>
              <w:t>质疑由四川立格建设项目管理有限公司负责答复；对磋商过程的质疑由四川立格建设项目管理有限公司负责答复；对磋商结果的质疑由四川立格建设项目管理有限公司负责答复。</w:t>
            </w:r>
          </w:p>
          <w:p w14:paraId="21225124">
            <w:pPr>
              <w:pStyle w:val="51"/>
              <w:keepNext w:val="0"/>
              <w:keepLines w:val="0"/>
              <w:pageBreakBefore w:val="0"/>
              <w:widowControl w:val="0"/>
              <w:kinsoku/>
              <w:overflowPunct/>
              <w:bidi w:val="0"/>
              <w:spacing w:line="360" w:lineRule="auto"/>
              <w:ind w:firstLine="480" w:firstLineChars="200"/>
              <w:jc w:val="both"/>
              <w:textAlignment w:val="auto"/>
              <w:rPr>
                <w:rFonts w:hint="default" w:asciiTheme="minorEastAsia" w:hAnsiTheme="minorEastAsia" w:eastAsiaTheme="minorEastAsia" w:cstheme="minorEastAsia"/>
                <w:color w:val="auto"/>
                <w:highlight w:val="none"/>
                <w:lang w:val="en-US"/>
              </w:rPr>
            </w:pPr>
            <w:r>
              <w:rPr>
                <w:rFonts w:hint="eastAsia" w:asciiTheme="minorEastAsia" w:hAnsiTheme="minorEastAsia" w:eastAsiaTheme="minorEastAsia" w:cstheme="minorEastAsia"/>
                <w:color w:val="auto"/>
                <w:highlight w:val="none"/>
                <w:lang w:val="zh-CN"/>
              </w:rPr>
              <w:t>联 系 人：</w:t>
            </w:r>
            <w:r>
              <w:rPr>
                <w:rFonts w:hint="eastAsia" w:asciiTheme="minorEastAsia" w:hAnsiTheme="minorEastAsia" w:eastAsiaTheme="minorEastAsia" w:cstheme="minorEastAsia"/>
                <w:color w:val="auto"/>
                <w:highlight w:val="none"/>
                <w:lang w:val="en-US" w:eastAsia="zh-CN"/>
              </w:rPr>
              <w:t>粟女士</w:t>
            </w:r>
          </w:p>
          <w:p w14:paraId="3B4DDE2D">
            <w:pPr>
              <w:pStyle w:val="51"/>
              <w:keepNext w:val="0"/>
              <w:keepLines w:val="0"/>
              <w:pageBreakBefore w:val="0"/>
              <w:widowControl w:val="0"/>
              <w:kinsoku/>
              <w:overflowPunct/>
              <w:bidi w:val="0"/>
              <w:spacing w:line="360" w:lineRule="auto"/>
              <w:ind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联系电话：</w:t>
            </w:r>
            <w:r>
              <w:rPr>
                <w:rFonts w:hint="eastAsia" w:asciiTheme="minorEastAsia" w:hAnsiTheme="minorEastAsia" w:eastAsiaTheme="minorEastAsia" w:cstheme="minorEastAsia"/>
                <w:color w:val="auto"/>
                <w:highlight w:val="none"/>
                <w:lang w:val="zh-CN" w:eastAsia="zh-CN"/>
              </w:rPr>
              <w:t>18190702575</w:t>
            </w:r>
          </w:p>
        </w:tc>
      </w:tr>
      <w:tr w14:paraId="1244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C3E4119">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highlight w:val="none"/>
                <w:vertAlign w:val="baseline"/>
                <w:lang w:eastAsia="zh-CN"/>
              </w:rPr>
            </w:pPr>
            <w:r>
              <w:rPr>
                <w:rFonts w:hint="eastAsia" w:asciiTheme="minorEastAsia" w:hAnsiTheme="minorEastAsia" w:eastAsiaTheme="minorEastAsia" w:cstheme="minorEastAsia"/>
                <w:color w:val="auto"/>
                <w:highlight w:val="none"/>
              </w:rPr>
              <w:t>1</w:t>
            </w:r>
            <w:r>
              <w:rPr>
                <w:rFonts w:hint="eastAsia" w:asciiTheme="minorEastAsia" w:hAnsiTheme="minorEastAsia" w:eastAsiaTheme="minorEastAsia" w:cstheme="minorEastAsia"/>
                <w:color w:val="auto"/>
                <w:highlight w:val="none"/>
                <w:lang w:val="en-US" w:eastAsia="zh-CN"/>
              </w:rPr>
              <w:t>2</w:t>
            </w:r>
          </w:p>
        </w:tc>
        <w:tc>
          <w:tcPr>
            <w:tcW w:w="2209" w:type="dxa"/>
            <w:vAlign w:val="center"/>
          </w:tcPr>
          <w:p w14:paraId="7D093B8A">
            <w:pPr>
              <w:pStyle w:val="54"/>
              <w:keepNext w:val="0"/>
              <w:keepLines w:val="0"/>
              <w:pageBreakBefore w:val="0"/>
              <w:widowControl w:val="0"/>
              <w:tabs>
                <w:tab w:val="left" w:pos="7665"/>
              </w:tabs>
              <w:kinsoku/>
              <w:overflowPunct/>
              <w:bidi w:val="0"/>
              <w:snapToGrid w:val="0"/>
              <w:spacing w:line="360" w:lineRule="auto"/>
              <w:ind w:firstLine="480" w:firstLineChars="200"/>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szCs w:val="24"/>
                <w:highlight w:val="none"/>
                <w:lang w:val="en-US" w:eastAsia="zh-CN"/>
              </w:rPr>
              <w:t>采购</w:t>
            </w:r>
            <w:r>
              <w:rPr>
                <w:rFonts w:hint="eastAsia" w:asciiTheme="minorEastAsia" w:hAnsiTheme="minorEastAsia" w:eastAsiaTheme="minorEastAsia" w:cstheme="minorEastAsia"/>
                <w:color w:val="auto"/>
                <w:szCs w:val="24"/>
                <w:highlight w:val="none"/>
              </w:rPr>
              <w:t>代理服务费</w:t>
            </w:r>
          </w:p>
        </w:tc>
        <w:tc>
          <w:tcPr>
            <w:tcW w:w="6405" w:type="dxa"/>
            <w:vAlign w:val="center"/>
          </w:tcPr>
          <w:p w14:paraId="192400D1">
            <w:pPr>
              <w:pStyle w:val="51"/>
              <w:keepNext w:val="0"/>
              <w:keepLines w:val="0"/>
              <w:pageBreakBefore w:val="0"/>
              <w:widowControl w:val="0"/>
              <w:kinsoku/>
              <w:overflowPunct/>
              <w:bidi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本项目收取代理服务费</w:t>
            </w:r>
          </w:p>
          <w:p w14:paraId="503FD17D">
            <w:pPr>
              <w:pStyle w:val="51"/>
              <w:keepNext w:val="0"/>
              <w:keepLines w:val="0"/>
              <w:pageBreakBefore w:val="0"/>
              <w:widowControl w:val="0"/>
              <w:kinsoku/>
              <w:overflowPunct/>
              <w:bidi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代理服务费用收取对象：成交供应商</w:t>
            </w:r>
          </w:p>
          <w:p w14:paraId="019EF0A8">
            <w:pPr>
              <w:pStyle w:val="51"/>
              <w:keepNext w:val="0"/>
              <w:keepLines w:val="0"/>
              <w:pageBreakBefore w:val="0"/>
              <w:widowControl w:val="0"/>
              <w:kinsoku/>
              <w:overflowPunct/>
              <w:bidi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代理服务费收费标准：参照&lt;国家计委关于印发《招标代理服务收费管理暂行办法》的通知&gt;（计价格【2002】1980号）计算，按下浮20%收取。</w:t>
            </w:r>
          </w:p>
          <w:p w14:paraId="7B32A121">
            <w:pPr>
              <w:pStyle w:val="51"/>
              <w:keepNext w:val="0"/>
              <w:keepLines w:val="0"/>
              <w:pageBreakBefore w:val="0"/>
              <w:widowControl w:val="0"/>
              <w:kinsoku/>
              <w:overflowPunct/>
              <w:bidi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账户名：四川立格建设项目管理有限公司</w:t>
            </w:r>
          </w:p>
          <w:p w14:paraId="1EC29812">
            <w:pPr>
              <w:pStyle w:val="51"/>
              <w:keepNext w:val="0"/>
              <w:keepLines w:val="0"/>
              <w:pageBreakBefore w:val="0"/>
              <w:widowControl w:val="0"/>
              <w:kinsoku/>
              <w:overflowPunct/>
              <w:bidi w:val="0"/>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账号：5105 0187 5136 0000 2990</w:t>
            </w:r>
          </w:p>
          <w:p w14:paraId="2565C0C2">
            <w:pPr>
              <w:pStyle w:val="51"/>
              <w:keepNext w:val="0"/>
              <w:keepLines w:val="0"/>
              <w:pageBreakBefore w:val="0"/>
              <w:widowControl w:val="0"/>
              <w:kinsoku/>
              <w:overflowPunct/>
              <w:bidi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开户银行：中国建设银行股份有限公司成都南郊支行</w:t>
            </w:r>
          </w:p>
        </w:tc>
      </w:tr>
      <w:tr w14:paraId="3156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9AF289A">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highlight w:val="none"/>
                <w:lang w:val="zh-CN"/>
              </w:rPr>
              <w:t>1</w:t>
            </w:r>
            <w:r>
              <w:rPr>
                <w:rFonts w:hint="eastAsia" w:asciiTheme="minorEastAsia" w:hAnsiTheme="minorEastAsia" w:eastAsiaTheme="minorEastAsia" w:cstheme="minorEastAsia"/>
                <w:color w:val="auto"/>
                <w:highlight w:val="none"/>
                <w:lang w:val="en-US" w:eastAsia="zh-CN"/>
              </w:rPr>
              <w:t>3</w:t>
            </w:r>
          </w:p>
        </w:tc>
        <w:tc>
          <w:tcPr>
            <w:tcW w:w="2209" w:type="dxa"/>
            <w:vAlign w:val="center"/>
          </w:tcPr>
          <w:p w14:paraId="37EE5B48">
            <w:pPr>
              <w:pStyle w:val="51"/>
              <w:keepNext w:val="0"/>
              <w:keepLines w:val="0"/>
              <w:pageBreakBefore w:val="0"/>
              <w:widowControl w:val="0"/>
              <w:kinsoku/>
              <w:overflowPunct/>
              <w:bidi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szCs w:val="24"/>
                <w:highlight w:val="none"/>
                <w:lang w:val="zh-CN"/>
              </w:rPr>
              <w:t>其他</w:t>
            </w:r>
          </w:p>
        </w:tc>
        <w:tc>
          <w:tcPr>
            <w:tcW w:w="6405" w:type="dxa"/>
            <w:vAlign w:val="center"/>
          </w:tcPr>
          <w:p w14:paraId="7C7C0F7D">
            <w:pPr>
              <w:keepNext w:val="0"/>
              <w:keepLines w:val="0"/>
              <w:pageBreakBefore w:val="0"/>
              <w:widowControl w:val="0"/>
              <w:kinsoku/>
              <w:overflowPunct/>
              <w:autoSpaceDE/>
              <w:autoSpaceDN/>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1、标的名称：防汛信息系统运行维护。</w:t>
            </w:r>
          </w:p>
          <w:p w14:paraId="12180919">
            <w:pPr>
              <w:keepNext w:val="0"/>
              <w:keepLines w:val="0"/>
              <w:pageBreakBefore w:val="0"/>
              <w:widowControl w:val="0"/>
              <w:kinsoku/>
              <w:overflowPunct/>
              <w:bidi w:val="0"/>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2、所属行业：</w:t>
            </w:r>
            <w:r>
              <w:rPr>
                <w:rFonts w:hint="eastAsia" w:ascii="宋体" w:hAnsi="宋体" w:eastAsia="宋体" w:cs="宋体"/>
                <w:color w:val="auto"/>
                <w:sz w:val="24"/>
                <w:szCs w:val="24"/>
                <w:highlight w:val="none"/>
              </w:rPr>
              <w:t>软件和信息技术服务业</w:t>
            </w:r>
            <w:r>
              <w:rPr>
                <w:rFonts w:hint="eastAsia" w:asciiTheme="minorEastAsia" w:hAnsiTheme="minorEastAsia" w:eastAsiaTheme="minorEastAsia" w:cstheme="minorEastAsia"/>
                <w:b/>
                <w:bCs/>
                <w:color w:val="auto"/>
                <w:sz w:val="24"/>
                <w:szCs w:val="24"/>
                <w:highlight w:val="none"/>
                <w:lang w:val="en-US" w:eastAsia="zh-CN"/>
              </w:rPr>
              <w:t>。</w:t>
            </w:r>
          </w:p>
          <w:p w14:paraId="7982BDC1">
            <w:pPr>
              <w:keepNext w:val="0"/>
              <w:keepLines w:val="0"/>
              <w:pageBreakBefore w:val="0"/>
              <w:widowControl w:val="0"/>
              <w:kinsoku/>
              <w:overflowPunct/>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lang w:val="zh-CN" w:eastAsia="zh-CN"/>
              </w:rPr>
              <w:t>本文所称“以上”、“以下”“内”“超过”、“以内”，包括本数；所称的“不足”，不包括本数。</w:t>
            </w:r>
          </w:p>
          <w:p w14:paraId="5566A68B">
            <w:pPr>
              <w:pStyle w:val="7"/>
              <w:keepNext w:val="0"/>
              <w:keepLines w:val="0"/>
              <w:pageBreakBefore w:val="0"/>
              <w:widowControl w:val="0"/>
              <w:kinsoku/>
              <w:overflowPunct/>
              <w:bidi w:val="0"/>
              <w:spacing w:line="360" w:lineRule="auto"/>
              <w:ind w:left="0" w:leftChars="0" w:firstLine="480" w:firstLineChars="200"/>
              <w:textAlignment w:val="auto"/>
              <w:rPr>
                <w:rFonts w:hint="eastAsia" w:asciiTheme="minorEastAsia" w:hAnsiTheme="minorEastAsia" w:eastAsiaTheme="minorEastAsia" w:cstheme="minorEastAsia"/>
                <w:color w:val="auto"/>
                <w:highlight w:val="none"/>
                <w:vertAlign w:val="baseline"/>
              </w:rPr>
            </w:pPr>
            <w:r>
              <w:rPr>
                <w:rFonts w:hint="eastAsia" w:asciiTheme="minorEastAsia" w:hAnsiTheme="minorEastAsia" w:eastAsiaTheme="minorEastAsia" w:cstheme="minorEastAsia"/>
                <w:color w:val="auto"/>
                <w:sz w:val="24"/>
                <w:szCs w:val="24"/>
                <w:highlight w:val="none"/>
                <w:lang w:val="en-US" w:eastAsia="zh-CN"/>
              </w:rPr>
              <w:t>4、本表是对磋商须知的补充，本磋商文件的其他内容与本表有不一致的，以本表为准。</w:t>
            </w:r>
          </w:p>
        </w:tc>
      </w:tr>
    </w:tbl>
    <w:p w14:paraId="62931C2A">
      <w:pPr>
        <w:kinsoku/>
        <w:overflowPunct/>
        <w:bidi w:val="0"/>
        <w:ind w:firstLine="680" w:firstLineChars="200"/>
        <w:rPr>
          <w:rFonts w:hint="eastAsia" w:asciiTheme="minorEastAsia" w:hAnsiTheme="minorEastAsia" w:eastAsiaTheme="minorEastAsia" w:cstheme="minorEastAsia"/>
          <w:color w:val="auto"/>
          <w:highlight w:val="none"/>
        </w:rPr>
      </w:pPr>
    </w:p>
    <w:p w14:paraId="34B15B5C">
      <w:pPr>
        <w:pStyle w:val="3"/>
        <w:kinsoku/>
        <w:overflowPunct/>
        <w:bidi w:val="0"/>
        <w:ind w:firstLine="643" w:firstLineChars="200"/>
        <w:jc w:val="center"/>
        <w:rPr>
          <w:rFonts w:hint="eastAsia" w:asciiTheme="minorEastAsia" w:hAnsiTheme="minorEastAsia" w:eastAsiaTheme="minorEastAsia" w:cstheme="minorEastAsia"/>
          <w:color w:val="auto"/>
          <w:highlight w:val="none"/>
        </w:rPr>
      </w:pPr>
      <w:bookmarkStart w:id="18" w:name="_Toc20619_WPSOffice_Level1"/>
      <w:r>
        <w:rPr>
          <w:rFonts w:hint="eastAsia" w:asciiTheme="minorEastAsia" w:hAnsiTheme="minorEastAsia" w:eastAsiaTheme="minorEastAsia" w:cstheme="minorEastAsia"/>
          <w:color w:val="auto"/>
          <w:highlight w:val="none"/>
        </w:rPr>
        <w:t>二、总  则</w:t>
      </w:r>
      <w:bookmarkEnd w:id="18"/>
      <w:bookmarkStart w:id="19" w:name="_Toc183582205"/>
      <w:bookmarkStart w:id="20" w:name="_Toc183682342"/>
      <w:bookmarkStart w:id="21" w:name="_Toc217446034"/>
    </w:p>
    <w:p w14:paraId="6AFCFB2C">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bookmarkEnd w:id="19"/>
      <w:bookmarkEnd w:id="20"/>
      <w:r>
        <w:rPr>
          <w:rFonts w:hint="eastAsia" w:asciiTheme="minorEastAsia" w:hAnsiTheme="minorEastAsia" w:eastAsiaTheme="minorEastAsia" w:cstheme="minorEastAsia"/>
          <w:color w:val="auto"/>
          <w:sz w:val="24"/>
          <w:szCs w:val="24"/>
          <w:highlight w:val="none"/>
        </w:rPr>
        <w:t>适用范围</w:t>
      </w:r>
      <w:bookmarkEnd w:id="21"/>
    </w:p>
    <w:p w14:paraId="25E3E38B">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本磋商文件仅适用于本次磋商所叙述的服务采购。</w:t>
      </w:r>
    </w:p>
    <w:p w14:paraId="146D9D9F">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本磋商文件的解释权归采购人和采购代理机构所有。</w:t>
      </w:r>
    </w:p>
    <w:p w14:paraId="0F8A50AF">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Theme="minorEastAsia" w:hAnsiTheme="minorEastAsia" w:eastAsiaTheme="minorEastAsia" w:cstheme="minorEastAsia"/>
          <w:color w:val="auto"/>
          <w:sz w:val="24"/>
          <w:szCs w:val="24"/>
          <w:highlight w:val="none"/>
        </w:rPr>
      </w:pPr>
      <w:bookmarkStart w:id="22" w:name="_Toc183582206"/>
      <w:bookmarkStart w:id="23" w:name="_Toc183682343"/>
      <w:bookmarkStart w:id="24" w:name="_Toc217446035"/>
      <w:r>
        <w:rPr>
          <w:rFonts w:hint="eastAsia" w:asciiTheme="minorEastAsia" w:hAnsiTheme="minorEastAsia" w:eastAsiaTheme="minorEastAsia" w:cstheme="minorEastAsia"/>
          <w:color w:val="auto"/>
          <w:sz w:val="24"/>
          <w:szCs w:val="24"/>
          <w:highlight w:val="none"/>
        </w:rPr>
        <w:t>2.</w:t>
      </w:r>
      <w:bookmarkEnd w:id="22"/>
      <w:bookmarkEnd w:id="23"/>
      <w:bookmarkEnd w:id="24"/>
      <w:r>
        <w:rPr>
          <w:rFonts w:hint="eastAsia" w:asciiTheme="minorEastAsia" w:hAnsiTheme="minorEastAsia" w:eastAsiaTheme="minorEastAsia" w:cstheme="minorEastAsia"/>
          <w:color w:val="auto"/>
          <w:sz w:val="24"/>
          <w:szCs w:val="24"/>
          <w:highlight w:val="none"/>
        </w:rPr>
        <w:t>采购主体</w:t>
      </w:r>
    </w:p>
    <w:p w14:paraId="04F96A18">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2.1本次磋商的采购人是</w:t>
      </w:r>
      <w:r>
        <w:rPr>
          <w:rFonts w:hint="eastAsia" w:asciiTheme="minorEastAsia" w:hAnsiTheme="minorEastAsia" w:eastAsiaTheme="minorEastAsia" w:cstheme="minorEastAsia"/>
          <w:color w:val="auto"/>
          <w:sz w:val="24"/>
          <w:szCs w:val="24"/>
          <w:highlight w:val="none"/>
          <w:u w:val="single"/>
          <w:lang w:eastAsia="zh-CN"/>
        </w:rPr>
        <w:t>广元市水利局</w:t>
      </w:r>
      <w:r>
        <w:rPr>
          <w:rFonts w:hint="eastAsia" w:asciiTheme="minorEastAsia" w:hAnsiTheme="minorEastAsia" w:eastAsiaTheme="minorEastAsia" w:cstheme="minorEastAsia"/>
          <w:color w:val="auto"/>
          <w:sz w:val="24"/>
          <w:szCs w:val="24"/>
          <w:highlight w:val="none"/>
        </w:rPr>
        <w:t xml:space="preserve"> 。</w:t>
      </w:r>
    </w:p>
    <w:p w14:paraId="46212436">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2.2本次磋商的采购代理机构是</w:t>
      </w:r>
      <w:r>
        <w:rPr>
          <w:rFonts w:hint="eastAsia" w:asciiTheme="minorEastAsia" w:hAnsiTheme="minorEastAsia" w:eastAsiaTheme="minorEastAsia" w:cstheme="minorEastAsia"/>
          <w:color w:val="auto"/>
          <w:sz w:val="24"/>
          <w:szCs w:val="24"/>
          <w:highlight w:val="none"/>
          <w:u w:val="single"/>
          <w:lang w:eastAsia="zh-CN"/>
        </w:rPr>
        <w:t>四川立格建设项目管理有限公司</w:t>
      </w:r>
      <w:r>
        <w:rPr>
          <w:rFonts w:hint="eastAsia" w:asciiTheme="minorEastAsia" w:hAnsiTheme="minorEastAsia" w:eastAsiaTheme="minorEastAsia" w:cstheme="minorEastAsia"/>
          <w:color w:val="auto"/>
          <w:sz w:val="24"/>
          <w:szCs w:val="24"/>
          <w:highlight w:val="none"/>
        </w:rPr>
        <w:t>。</w:t>
      </w:r>
    </w:p>
    <w:p w14:paraId="0BEAFD8D">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Theme="minorEastAsia" w:hAnsiTheme="minorEastAsia" w:eastAsiaTheme="minorEastAsia" w:cstheme="minorEastAsia"/>
          <w:color w:val="auto"/>
          <w:sz w:val="24"/>
          <w:szCs w:val="24"/>
          <w:highlight w:val="none"/>
        </w:rPr>
      </w:pPr>
      <w:bookmarkStart w:id="25" w:name="_Toc183582207"/>
      <w:bookmarkStart w:id="26" w:name="_Toc183682344"/>
      <w:bookmarkStart w:id="27" w:name="_Toc217446036"/>
      <w:bookmarkStart w:id="28" w:name="_Toc217390843"/>
      <w:r>
        <w:rPr>
          <w:rFonts w:hint="eastAsia" w:asciiTheme="minorEastAsia" w:hAnsiTheme="minorEastAsia" w:eastAsiaTheme="minorEastAsia" w:cstheme="minorEastAsia"/>
          <w:color w:val="auto"/>
          <w:sz w:val="24"/>
          <w:szCs w:val="24"/>
          <w:highlight w:val="none"/>
        </w:rPr>
        <w:t>3.合格</w:t>
      </w:r>
      <w:bookmarkEnd w:id="25"/>
      <w:bookmarkEnd w:id="26"/>
      <w:bookmarkEnd w:id="27"/>
      <w:bookmarkEnd w:id="28"/>
      <w:r>
        <w:rPr>
          <w:rFonts w:hint="eastAsia" w:asciiTheme="minorEastAsia" w:hAnsiTheme="minorEastAsia" w:eastAsiaTheme="minorEastAsia" w:cstheme="minorEastAsia"/>
          <w:color w:val="auto"/>
          <w:sz w:val="24"/>
          <w:szCs w:val="24"/>
          <w:highlight w:val="none"/>
        </w:rPr>
        <w:t>供应商（实质性要求）</w:t>
      </w:r>
    </w:p>
    <w:p w14:paraId="3237B700">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z w:val="24"/>
          <w:szCs w:val="24"/>
          <w:highlight w:val="none"/>
        </w:rPr>
        <w:t>3.1 具备法律法规和本采购文件规定的资格条件</w:t>
      </w:r>
      <w:r>
        <w:rPr>
          <w:rFonts w:hint="eastAsia" w:asciiTheme="minorEastAsia" w:hAnsiTheme="minorEastAsia" w:eastAsiaTheme="minorEastAsia" w:cstheme="minorEastAsia"/>
          <w:color w:val="auto"/>
          <w:spacing w:val="-4"/>
          <w:sz w:val="24"/>
          <w:szCs w:val="24"/>
          <w:highlight w:val="none"/>
        </w:rPr>
        <w:t>；</w:t>
      </w:r>
    </w:p>
    <w:p w14:paraId="291B9DFD">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rPr>
          <w:rFonts w:hint="eastAsia"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3.2 不属于禁止参加本项目采购活动的供应商；</w:t>
      </w:r>
    </w:p>
    <w:p w14:paraId="7EFC43EF">
      <w:pPr>
        <w:keepNext w:val="0"/>
        <w:keepLines w:val="0"/>
        <w:pageBreakBefore w:val="0"/>
        <w:widowControl w:val="0"/>
        <w:tabs>
          <w:tab w:val="left" w:pos="7665"/>
        </w:tabs>
        <w:kinsoku/>
        <w:wordWrap/>
        <w:overflowPunct/>
        <w:topLinePunct w:val="0"/>
        <w:autoSpaceDE/>
        <w:autoSpaceDN/>
        <w:bidi w:val="0"/>
        <w:snapToGrid/>
        <w:spacing w:line="360" w:lineRule="auto"/>
        <w:ind w:firstLine="464"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3.3 按照规定</w:t>
      </w:r>
      <w:r>
        <w:rPr>
          <w:rFonts w:hint="eastAsia" w:asciiTheme="minorEastAsia" w:hAnsiTheme="minorEastAsia" w:eastAsiaTheme="minorEastAsia" w:cstheme="minorEastAsia"/>
          <w:color w:val="auto"/>
          <w:sz w:val="24"/>
          <w:szCs w:val="24"/>
          <w:highlight w:val="none"/>
        </w:rPr>
        <w:t>获取了磋商文件，属于实质性参加采购活动的供应商。</w:t>
      </w:r>
      <w:bookmarkStart w:id="29" w:name="_Toc183682345"/>
      <w:bookmarkStart w:id="30" w:name="_Toc217446037"/>
      <w:bookmarkStart w:id="31" w:name="_Toc183582208"/>
    </w:p>
    <w:p w14:paraId="2FC4871D">
      <w:pPr>
        <w:pStyle w:val="4"/>
        <w:keepNext w:val="0"/>
        <w:keepLines w:val="0"/>
        <w:pageBreakBefore w:val="0"/>
        <w:widowControl w:val="0"/>
        <w:kinsoku/>
        <w:wordWrap/>
        <w:overflowPunct/>
        <w:topLinePunct w:val="0"/>
        <w:autoSpaceDE/>
        <w:autoSpaceDN/>
        <w:bidi w:val="0"/>
        <w:snapToGrid/>
        <w:spacing w:before="0"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4.磋商费用</w:t>
      </w:r>
      <w:bookmarkEnd w:id="29"/>
      <w:bookmarkEnd w:id="30"/>
      <w:bookmarkEnd w:id="31"/>
    </w:p>
    <w:p w14:paraId="79ED3E09">
      <w:pPr>
        <w:keepNext w:val="0"/>
        <w:keepLines w:val="0"/>
        <w:pageBreakBefore w:val="0"/>
        <w:widowControl w:val="0"/>
        <w:tabs>
          <w:tab w:val="left" w:pos="7665"/>
        </w:tabs>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供应商应自行承担参加磋商活动的全部费用。</w:t>
      </w:r>
    </w:p>
    <w:p w14:paraId="27CD2F14">
      <w:pPr>
        <w:pStyle w:val="55"/>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5.充分、公平竞争保障措施</w:t>
      </w:r>
    </w:p>
    <w:p w14:paraId="17A44C6E">
      <w:pPr>
        <w:pStyle w:val="55"/>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8BC8FD5">
      <w:pPr>
        <w:pStyle w:val="55"/>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64CAE35D">
      <w:pPr>
        <w:pStyle w:val="55"/>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5.3前期参与供应商处理。为采购项目提供整体设计、规范编制或者项目管理、监理、检测等服务的</w:t>
      </w:r>
      <w:r>
        <w:rPr>
          <w:rFonts w:hint="eastAsia" w:asciiTheme="minorEastAsia" w:hAnsiTheme="minorEastAsia" w:eastAsiaTheme="minorEastAsia" w:cstheme="minorEastAsia"/>
          <w:color w:val="auto"/>
          <w:sz w:val="24"/>
          <w:szCs w:val="24"/>
          <w:highlight w:val="none"/>
          <w:u w:val="single"/>
        </w:rPr>
        <w:t>供</w:t>
      </w:r>
      <w:r>
        <w:rPr>
          <w:rFonts w:hint="eastAsia" w:asciiTheme="minorEastAsia" w:hAnsiTheme="minorEastAsia" w:eastAsiaTheme="minorEastAsia" w:cstheme="minorEastAsia"/>
          <w:color w:val="auto"/>
          <w:sz w:val="24"/>
          <w:szCs w:val="24"/>
          <w:highlight w:val="none"/>
        </w:rPr>
        <w:t>应商，不得再参加该采购项目的其他采购活动。供应商为采购人、采购代理机构在确定采购需求、编制采购文件过程中提供咨询论证，其提供的咨询论证意见成为采购文件中规定的供应商资格条件、技术服务商务要求、</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因素和标准、采购合同等实质性内容条款的，视同为采购项目提供规范编制。</w:t>
      </w:r>
    </w:p>
    <w:p w14:paraId="015B11E7">
      <w:pPr>
        <w:pStyle w:val="55"/>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5.4供应商实际控制人或者中高级管理人员，同时是采购代理机构工作人员，不得参与本项目采购活动。</w:t>
      </w:r>
    </w:p>
    <w:p w14:paraId="77456F7F">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5.5同一母公司的两家以上的子公司不得以不同供应商身份同时参加本项目同一合同项下的采购活动。</w:t>
      </w:r>
    </w:p>
    <w:p w14:paraId="03B2636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5.6供应商与采购代理机构存在关联关系，或者是采购代理机构的母公司或子公司，不得参加本项目采购活动。</w:t>
      </w:r>
    </w:p>
    <w:p w14:paraId="1B999E48">
      <w:pPr>
        <w:pStyle w:val="55"/>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5.7回避。采购活动中，采购人员及相关人员与供应商有下列利害关系之一的，应当回避：</w:t>
      </w:r>
    </w:p>
    <w:p w14:paraId="06B2DA1A">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（1）参加采购活动前3年内与供应商存在劳动关系；</w:t>
      </w:r>
    </w:p>
    <w:p w14:paraId="2F5CB5C3">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（2）参加采购活动前3年内担任供应商的董事、监事；</w:t>
      </w:r>
    </w:p>
    <w:p w14:paraId="270EBD48">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（3）参加采购活动前3年内是供应商的控股股东或者实际控制人；</w:t>
      </w:r>
    </w:p>
    <w:p w14:paraId="17E93149">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（4）与供应商的法定代表人或者负责人有夫妻、直系血亲、三代以内旁系血亲或者近姻亲关系；</w:t>
      </w:r>
    </w:p>
    <w:p w14:paraId="1AD1E6A6">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（5）与供应商有其他可能影响采购活动公平、公正进行的关系。</w:t>
      </w:r>
    </w:p>
    <w:p w14:paraId="34277F5F">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磋商小组成员。</w:t>
      </w:r>
    </w:p>
    <w:p w14:paraId="2DAAAD79">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供应商认为采购人员及相关人员与其他供应商有利害关系的，可以向采购代理机构书面提出回避申请，并说明理由。采购代理机构将及时询问被申请回避人员，有利害关系的被申请回避人员应当回避。</w:t>
      </w:r>
    </w:p>
    <w:p w14:paraId="50ECE861">
      <w:pPr>
        <w:pStyle w:val="55"/>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6.联合体竞争性磋商（实质性要求）</w:t>
      </w:r>
    </w:p>
    <w:p w14:paraId="0135B982">
      <w:pPr>
        <w:pStyle w:val="55"/>
        <w:keepNext w:val="0"/>
        <w:keepLines w:val="0"/>
        <w:pageBreakBefore w:val="0"/>
        <w:widowControl w:val="0"/>
        <w:kinsoku/>
        <w:wordWrap/>
        <w:overflowPunct/>
        <w:topLinePunct w:val="0"/>
        <w:autoSpaceDE/>
        <w:autoSpaceDN/>
        <w:bidi w:val="0"/>
        <w:snapToGrid/>
        <w:spacing w:line="360" w:lineRule="auto"/>
        <w:ind w:left="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本项目不接受联合体参与磋商。</w:t>
      </w:r>
    </w:p>
    <w:p w14:paraId="4E7C1F2E">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7.响应文件有效期（实质性要求）</w:t>
      </w:r>
    </w:p>
    <w:p w14:paraId="2593EDE6">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响应文件有效期为递交磋商响应文件截止之日起90天。供应商响应文件中必须载明响应文件有效期，响应文件中载明的响应文件有效期可以长于磋商文件规定的期限，但不得短于磋商文件规定的期限。否则，其响应文件将作为无效处理。</w:t>
      </w:r>
    </w:p>
    <w:p w14:paraId="3B7EB9CE">
      <w:pPr>
        <w:pStyle w:val="12"/>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8.</w:t>
      </w:r>
      <w:r>
        <w:rPr>
          <w:rFonts w:hint="eastAsia" w:asciiTheme="minorEastAsia" w:hAnsiTheme="minorEastAsia" w:eastAsiaTheme="minorEastAsia" w:cstheme="minorEastAsia"/>
          <w:b/>
          <w:bCs/>
          <w:color w:val="auto"/>
          <w:sz w:val="24"/>
          <w:szCs w:val="24"/>
          <w:highlight w:val="none"/>
        </w:rPr>
        <w:t>知识产权</w:t>
      </w:r>
    </w:p>
    <w:p w14:paraId="0FD2D211">
      <w:pPr>
        <w:pStyle w:val="12"/>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3F883A9D">
      <w:pPr>
        <w:pStyle w:val="12"/>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除非磋商文件特别规定，采购人享有本项目实施过程中产生的知识成果及知识产权。</w:t>
      </w:r>
    </w:p>
    <w:p w14:paraId="1655AA5E">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供应商将在采购项目实施过程中采用自有或者第三方知识成果的，应当在响应文件中载明，并提供相关知识产权证明文件。使用该知识成果后，供应商需提供开发接口和开发手册等技术资料，并承诺提供无限期支持，采购人享有使用权（含采购人委托第三方在该项目后续开发的使用权）。</w:t>
      </w:r>
    </w:p>
    <w:p w14:paraId="3775BE03">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如采用供应商所不拥有的知识产权，则在报价中必须包括合法获取该知识产权的相关费用。</w:t>
      </w:r>
    </w:p>
    <w:p w14:paraId="74D3B435">
      <w:pPr>
        <w:pStyle w:val="3"/>
        <w:kinsoku/>
        <w:overflowPunct/>
        <w:bidi w:val="0"/>
        <w:ind w:firstLine="643" w:firstLineChars="200"/>
        <w:jc w:val="center"/>
        <w:rPr>
          <w:rFonts w:hint="eastAsia" w:asciiTheme="minorEastAsia" w:hAnsiTheme="minorEastAsia" w:eastAsiaTheme="minorEastAsia" w:cstheme="minorEastAsia"/>
          <w:color w:val="auto"/>
          <w:sz w:val="24"/>
          <w:szCs w:val="24"/>
          <w:highlight w:val="none"/>
        </w:rPr>
      </w:pPr>
      <w:bookmarkStart w:id="32" w:name="_Toc22085_WPSOffice_Level1"/>
      <w:bookmarkStart w:id="33" w:name="_Toc183682346"/>
      <w:bookmarkStart w:id="34" w:name="_Toc77400779"/>
      <w:bookmarkStart w:id="35" w:name="_Toc183582209"/>
      <w:bookmarkStart w:id="36" w:name="_Toc89075875"/>
      <w:bookmarkStart w:id="37" w:name="_Toc217446038"/>
      <w:r>
        <w:rPr>
          <w:rFonts w:hint="eastAsia" w:asciiTheme="minorEastAsia" w:hAnsiTheme="minorEastAsia" w:eastAsiaTheme="minorEastAsia" w:cstheme="minorEastAsia"/>
          <w:color w:val="auto"/>
          <w:highlight w:val="none"/>
        </w:rPr>
        <w:t>三、磋商文件</w:t>
      </w:r>
      <w:bookmarkEnd w:id="32"/>
      <w:bookmarkEnd w:id="33"/>
      <w:bookmarkEnd w:id="34"/>
      <w:bookmarkEnd w:id="35"/>
      <w:bookmarkEnd w:id="36"/>
      <w:bookmarkEnd w:id="37"/>
      <w:bookmarkStart w:id="38" w:name="_Toc183582210"/>
      <w:bookmarkStart w:id="39" w:name="_Toc217446039"/>
      <w:bookmarkStart w:id="40" w:name="_Toc183682347"/>
    </w:p>
    <w:p w14:paraId="1CA9C7BE">
      <w:pPr>
        <w:pStyle w:val="4"/>
        <w:keepNext w:val="0"/>
        <w:keepLines w:val="0"/>
        <w:widowControl w:val="0"/>
        <w:kinsoku/>
        <w:overflowPunct/>
        <w:bidi w:val="0"/>
        <w:spacing w:before="0" w:after="0"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1．磋商文件的构成</w:t>
      </w:r>
      <w:bookmarkEnd w:id="38"/>
      <w:bookmarkEnd w:id="39"/>
      <w:bookmarkEnd w:id="40"/>
    </w:p>
    <w:p w14:paraId="6468185C">
      <w:pPr>
        <w:tabs>
          <w:tab w:val="left" w:pos="720"/>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1 磋商文件是供应商准备响应文件和参加磋商的依据，同时也是磋商的重要依据。磋商文件用以阐明磋商项目所需的资质、技术、服务及报价等要求、磋商程序、有关规定和注意事项以及合同主要条款等。</w:t>
      </w:r>
    </w:p>
    <w:p w14:paraId="29287E63">
      <w:pPr>
        <w:tabs>
          <w:tab w:val="left" w:pos="7665"/>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法律责任。</w:t>
      </w:r>
      <w:bookmarkStart w:id="41" w:name="_Toc183582211"/>
      <w:bookmarkStart w:id="42" w:name="_Toc217446040"/>
      <w:bookmarkStart w:id="43" w:name="_Toc183682348"/>
    </w:p>
    <w:bookmarkEnd w:id="41"/>
    <w:bookmarkEnd w:id="42"/>
    <w:bookmarkEnd w:id="43"/>
    <w:p w14:paraId="6FD57E3A">
      <w:pPr>
        <w:pStyle w:val="77"/>
        <w:kinsoku/>
        <w:overflowPunct/>
        <w:bidi w:val="0"/>
        <w:spacing w:line="360" w:lineRule="auto"/>
        <w:ind w:firstLine="482" w:firstLineChars="200"/>
        <w:jc w:val="left"/>
        <w:outlineLvl w:val="3"/>
        <w:rPr>
          <w:rFonts w:hint="eastAsia" w:asciiTheme="minorEastAsia" w:hAnsiTheme="minorEastAsia" w:eastAsiaTheme="minorEastAsia" w:cstheme="minorEastAsia"/>
          <w:b/>
          <w:bCs/>
          <w:color w:val="auto"/>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bidi="ar-SA"/>
        </w:rPr>
        <w:t>2.磋商文件的澄清或者修改</w:t>
      </w:r>
    </w:p>
    <w:p w14:paraId="6E120539">
      <w:pPr>
        <w:tabs>
          <w:tab w:val="left" w:pos="7665"/>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2.1 </w:t>
      </w:r>
      <w:r>
        <w:rPr>
          <w:rFonts w:hint="eastAsia" w:asciiTheme="minorEastAsia" w:hAnsiTheme="minorEastAsia" w:eastAsiaTheme="minorEastAsia" w:cstheme="minorEastAsia"/>
          <w:color w:val="auto"/>
          <w:sz w:val="24"/>
          <w:szCs w:val="24"/>
          <w:highlight w:val="none"/>
        </w:rPr>
        <w:t>提交首次响应文件截止之日前，采购人或者代理机构可以对已发出的磋商文件进行必要的澄清或者修改。</w:t>
      </w:r>
    </w:p>
    <w:p w14:paraId="5DB76D10">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2.2 </w:t>
      </w:r>
      <w:r>
        <w:rPr>
          <w:rFonts w:hint="eastAsia" w:asciiTheme="minorEastAsia" w:hAnsiTheme="minorEastAsia" w:eastAsiaTheme="minorEastAsia" w:cstheme="minorEastAsia"/>
          <w:color w:val="auto"/>
          <w:sz w:val="24"/>
          <w:szCs w:val="24"/>
          <w:highlight w:val="none"/>
        </w:rPr>
        <w:t>采购代理机构对已发出的磋商文件进行澄清或者修改，将在</w:t>
      </w:r>
      <w:r>
        <w:rPr>
          <w:rFonts w:hint="eastAsia" w:asciiTheme="minorEastAsia" w:hAnsiTheme="minorEastAsia" w:eastAsiaTheme="minorEastAsia" w:cstheme="minorEastAsia"/>
          <w:color w:val="auto"/>
          <w:sz w:val="24"/>
          <w:szCs w:val="24"/>
          <w:highlight w:val="none"/>
          <w:lang w:eastAsia="zh-CN"/>
        </w:rPr>
        <w:t>广元市水利局官网（http://water.cngy.gov.cn/index.html)</w:t>
      </w:r>
      <w:r>
        <w:rPr>
          <w:rFonts w:hint="eastAsia" w:asciiTheme="minorEastAsia" w:hAnsiTheme="minorEastAsia" w:eastAsiaTheme="minorEastAsia" w:cstheme="minorEastAsia"/>
          <w:color w:val="auto"/>
          <w:sz w:val="24"/>
          <w:szCs w:val="24"/>
          <w:highlight w:val="none"/>
        </w:rPr>
        <w:t>即时以公告方式予以通知，</w:t>
      </w:r>
      <w:r>
        <w:rPr>
          <w:rFonts w:hint="eastAsia" w:asciiTheme="minorEastAsia" w:hAnsiTheme="minorEastAsia" w:eastAsiaTheme="minorEastAsia" w:cstheme="minorEastAsia"/>
          <w:b/>
          <w:bCs/>
          <w:color w:val="auto"/>
          <w:sz w:val="24"/>
          <w:szCs w:val="24"/>
          <w:highlight w:val="none"/>
        </w:rPr>
        <w:t>请各供应商及时查阅、下载。</w:t>
      </w:r>
      <w:r>
        <w:rPr>
          <w:rFonts w:hint="eastAsia" w:asciiTheme="minorEastAsia" w:hAnsiTheme="minorEastAsia" w:eastAsiaTheme="minorEastAsia" w:cstheme="minorEastAsia"/>
          <w:color w:val="auto"/>
          <w:sz w:val="24"/>
          <w:szCs w:val="24"/>
          <w:highlight w:val="none"/>
        </w:rPr>
        <w:t>各供应商不得以没有看到澄清或更正公告为由而拒绝接受澄清或修改通知。该澄清或者修改的内容为磋商文件的组成部分，澄清或者修改的内容可能影响响应文件编制的，采购代理机构发布公告通知供应商的时间，应当在提交首次响应文件截止之日起5日前；不足上述时间的，应当顺延递交响应文件的截止时间。</w:t>
      </w:r>
    </w:p>
    <w:p w14:paraId="6A83E6C9">
      <w:pPr>
        <w:tabs>
          <w:tab w:val="left" w:pos="7665"/>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2.3 </w:t>
      </w:r>
      <w:r>
        <w:rPr>
          <w:rFonts w:hint="eastAsia" w:asciiTheme="minorEastAsia" w:hAnsiTheme="minorEastAsia" w:eastAsiaTheme="minorEastAsia" w:cstheme="minorEastAsia"/>
          <w:color w:val="auto"/>
          <w:sz w:val="24"/>
          <w:szCs w:val="24"/>
          <w:highlight w:val="none"/>
        </w:rPr>
        <w:t>供应商应当及时查看更正公告、更正信息，并根据更正公告、更正信息要求，下载更正后的磋商文件，进行响应文件编制。</w:t>
      </w:r>
    </w:p>
    <w:p w14:paraId="03954280">
      <w:pPr>
        <w:kinsoku/>
        <w:overflowPunct/>
        <w:bidi w:val="0"/>
        <w:ind w:firstLine="680" w:firstLineChars="200"/>
        <w:rPr>
          <w:rFonts w:hint="eastAsia" w:asciiTheme="minorEastAsia" w:hAnsiTheme="minorEastAsia" w:eastAsiaTheme="minorEastAsia" w:cstheme="minorEastAsia"/>
          <w:color w:val="auto"/>
          <w:highlight w:val="none"/>
        </w:rPr>
      </w:pPr>
    </w:p>
    <w:p w14:paraId="4D1DCF52">
      <w:pPr>
        <w:pStyle w:val="3"/>
        <w:kinsoku/>
        <w:overflowPunct/>
        <w:bidi w:val="0"/>
        <w:ind w:firstLine="643" w:firstLineChars="200"/>
        <w:jc w:val="center"/>
        <w:rPr>
          <w:rFonts w:hint="eastAsia" w:asciiTheme="minorEastAsia" w:hAnsiTheme="minorEastAsia" w:eastAsiaTheme="minorEastAsia" w:cstheme="minorEastAsia"/>
          <w:color w:val="auto"/>
          <w:sz w:val="24"/>
          <w:szCs w:val="24"/>
          <w:highlight w:val="none"/>
        </w:rPr>
      </w:pPr>
      <w:bookmarkStart w:id="44" w:name="_Toc77400780"/>
      <w:bookmarkStart w:id="45" w:name="_Toc183582214"/>
      <w:bookmarkStart w:id="46" w:name="_Toc89075876"/>
      <w:bookmarkStart w:id="47" w:name="_Toc183682351"/>
      <w:bookmarkStart w:id="48" w:name="_Toc217446042"/>
      <w:bookmarkStart w:id="49" w:name="_Toc26276_WPSOffice_Level1"/>
      <w:r>
        <w:rPr>
          <w:rFonts w:hint="eastAsia" w:asciiTheme="minorEastAsia" w:hAnsiTheme="minorEastAsia" w:eastAsiaTheme="minorEastAsia" w:cstheme="minorEastAsia"/>
          <w:color w:val="auto"/>
          <w:highlight w:val="none"/>
        </w:rPr>
        <w:t>四、响应文件</w:t>
      </w:r>
      <w:bookmarkEnd w:id="44"/>
      <w:bookmarkEnd w:id="45"/>
      <w:bookmarkEnd w:id="46"/>
      <w:bookmarkEnd w:id="47"/>
      <w:bookmarkEnd w:id="48"/>
      <w:bookmarkEnd w:id="49"/>
    </w:p>
    <w:p w14:paraId="109D5B6C">
      <w:pPr>
        <w:pStyle w:val="4"/>
        <w:keepNext w:val="0"/>
        <w:keepLines w:val="0"/>
        <w:widowControl w:val="0"/>
        <w:kinsoku/>
        <w:overflowPunct/>
        <w:bidi w:val="0"/>
        <w:spacing w:before="0" w:after="0" w:line="500" w:lineRule="exact"/>
        <w:ind w:firstLine="482" w:firstLineChars="200"/>
        <w:rPr>
          <w:rFonts w:hint="eastAsia" w:asciiTheme="minorEastAsia" w:hAnsiTheme="minorEastAsia" w:eastAsiaTheme="minorEastAsia" w:cstheme="minorEastAsia"/>
          <w:color w:val="auto"/>
          <w:sz w:val="24"/>
          <w:szCs w:val="24"/>
          <w:highlight w:val="none"/>
        </w:rPr>
      </w:pPr>
      <w:bookmarkStart w:id="50" w:name="_Toc183682352"/>
      <w:bookmarkStart w:id="51" w:name="_Toc183582215"/>
      <w:bookmarkStart w:id="52" w:name="_Toc217446043"/>
      <w:r>
        <w:rPr>
          <w:rFonts w:hint="eastAsia" w:asciiTheme="minorEastAsia" w:hAnsiTheme="minorEastAsia" w:eastAsiaTheme="minorEastAsia" w:cstheme="minorEastAsia"/>
          <w:color w:val="auto"/>
          <w:sz w:val="24"/>
          <w:szCs w:val="24"/>
          <w:highlight w:val="none"/>
        </w:rPr>
        <w:t>1.响应文件的组成</w:t>
      </w:r>
    </w:p>
    <w:p w14:paraId="7BB2E7BA">
      <w:pPr>
        <w:kinsoku/>
        <w:overflowPunct/>
        <w:bidi w:val="0"/>
        <w:spacing w:line="500" w:lineRule="exact"/>
        <w:ind w:left="3" w:leftChars="1"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按照磋商文件的规定和要求编制响应文件。供应商在成交后将成交项目的非主体、非关键性工作分包他人完成的，应当在响应文件中载明或磋商过程中澄清。供应商编写的响应文件应包括资格性响应文件和技术、商务响应文件两部分及其相对应的电子文档，分册装订。</w:t>
      </w:r>
    </w:p>
    <w:p w14:paraId="67446837">
      <w:pPr>
        <w:pStyle w:val="4"/>
        <w:keepNext w:val="0"/>
        <w:keepLines w:val="0"/>
        <w:widowControl w:val="0"/>
        <w:kinsoku/>
        <w:overflowPunct/>
        <w:bidi w:val="0"/>
        <w:spacing w:before="0" w:after="0" w:line="500" w:lineRule="exact"/>
        <w:ind w:firstLine="482" w:firstLineChars="20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Cs w:val="0"/>
          <w:color w:val="auto"/>
          <w:sz w:val="24"/>
          <w:szCs w:val="24"/>
          <w:highlight w:val="none"/>
        </w:rPr>
        <w:t>2.响应文件的语言</w:t>
      </w:r>
      <w:bookmarkEnd w:id="50"/>
      <w:bookmarkEnd w:id="51"/>
      <w:bookmarkEnd w:id="52"/>
      <w:r>
        <w:rPr>
          <w:rFonts w:hint="eastAsia" w:asciiTheme="minorEastAsia" w:hAnsiTheme="minorEastAsia" w:eastAsiaTheme="minorEastAsia" w:cstheme="minorEastAsia"/>
          <w:bCs w:val="0"/>
          <w:color w:val="auto"/>
          <w:sz w:val="24"/>
          <w:szCs w:val="24"/>
          <w:highlight w:val="none"/>
        </w:rPr>
        <w:t>（实质性要求）</w:t>
      </w:r>
    </w:p>
    <w:p w14:paraId="7EA4EF17">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ED880A3">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2.2翻译的中文资料与外文资料如果出现差异和矛盾，以中文为准。但不能故意错误翻译，否则，供应商的响应文件将作为无效处理。</w:t>
      </w:r>
      <w:bookmarkStart w:id="53" w:name="_Toc183582216"/>
      <w:bookmarkStart w:id="54" w:name="_Toc183682353"/>
      <w:bookmarkStart w:id="55" w:name="_Toc217446044"/>
    </w:p>
    <w:p w14:paraId="348F091B">
      <w:pPr>
        <w:pStyle w:val="4"/>
        <w:keepNext w:val="0"/>
        <w:keepLines w:val="0"/>
        <w:widowControl w:val="0"/>
        <w:kinsoku/>
        <w:overflowPunct/>
        <w:bidi w:val="0"/>
        <w:spacing w:before="0" w:after="0" w:line="500" w:lineRule="exact"/>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3.计量单位</w:t>
      </w:r>
      <w:bookmarkEnd w:id="53"/>
      <w:bookmarkEnd w:id="54"/>
      <w:bookmarkEnd w:id="55"/>
      <w:r>
        <w:rPr>
          <w:rFonts w:hint="eastAsia" w:asciiTheme="minorEastAsia" w:hAnsiTheme="minorEastAsia" w:eastAsiaTheme="minorEastAsia" w:cstheme="minorEastAsia"/>
          <w:color w:val="auto"/>
          <w:sz w:val="24"/>
          <w:szCs w:val="24"/>
          <w:highlight w:val="none"/>
        </w:rPr>
        <w:t>（实质性要求）</w:t>
      </w:r>
    </w:p>
    <w:p w14:paraId="0057AEEF">
      <w:pPr>
        <w:kinsoku/>
        <w:overflowPunct/>
        <w:bidi w:val="0"/>
        <w:spacing w:line="500" w:lineRule="exact"/>
        <w:ind w:firstLine="480"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t>除磋商文件中另有规定外，本次采购项目所有合同项下的报价均采用国家法定的计量单位。</w:t>
      </w:r>
      <w:bookmarkStart w:id="56" w:name="_Toc217446045"/>
      <w:r>
        <w:rPr>
          <w:rFonts w:hint="eastAsia" w:asciiTheme="minorEastAsia" w:hAnsiTheme="minorEastAsia" w:eastAsiaTheme="minorEastAsia" w:cstheme="minorEastAsia"/>
          <w:color w:val="auto"/>
          <w:sz w:val="24"/>
          <w:szCs w:val="24"/>
          <w:highlight w:val="none"/>
        </w:rPr>
        <w:t xml:space="preserve"> </w:t>
      </w:r>
    </w:p>
    <w:p w14:paraId="1338BBA1">
      <w:pPr>
        <w:kinsoku/>
        <w:overflowPunct/>
        <w:bidi w:val="0"/>
        <w:spacing w:line="5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color w:val="auto"/>
          <w:sz w:val="24"/>
          <w:szCs w:val="24"/>
          <w:highlight w:val="none"/>
        </w:rPr>
        <w:t>4.报价</w:t>
      </w:r>
      <w:r>
        <w:rPr>
          <w:rFonts w:hint="eastAsia" w:asciiTheme="minorEastAsia" w:hAnsiTheme="minorEastAsia" w:eastAsiaTheme="minorEastAsia" w:cstheme="minorEastAsia"/>
          <w:b/>
          <w:bCs/>
          <w:color w:val="auto"/>
          <w:sz w:val="24"/>
          <w:szCs w:val="24"/>
          <w:highlight w:val="none"/>
        </w:rPr>
        <w:t>货币（实质性要求）</w:t>
      </w:r>
    </w:p>
    <w:bookmarkEnd w:id="56"/>
    <w:p w14:paraId="62DB9D46">
      <w:pPr>
        <w:kinsoku/>
        <w:overflowPunct/>
        <w:bidi w:val="0"/>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.1供应商应认真核实本项目的</w:t>
      </w:r>
      <w:r>
        <w:rPr>
          <w:rFonts w:hint="eastAsia" w:asciiTheme="minorEastAsia" w:hAnsiTheme="minorEastAsia" w:eastAsiaTheme="minorEastAsia" w:cstheme="minorEastAsia"/>
          <w:b w:val="0"/>
          <w:bCs w:val="0"/>
          <w:color w:val="auto"/>
          <w:sz w:val="24"/>
          <w:szCs w:val="24"/>
          <w:highlight w:val="none"/>
          <w:lang w:val="en-US" w:eastAsia="zh-CN"/>
        </w:rPr>
        <w:t>报价内容。</w:t>
      </w:r>
    </w:p>
    <w:p w14:paraId="6EE37F17">
      <w:pPr>
        <w:kinsoku/>
        <w:overflowPunct/>
        <w:bidi w:val="0"/>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.2所有报价一律以人民币报价。采购人不接受任何非人民币币种的报价。</w:t>
      </w:r>
    </w:p>
    <w:p w14:paraId="2409F1E4">
      <w:pPr>
        <w:kinsoku/>
        <w:overflowPunct/>
        <w:bidi w:val="0"/>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w:t>
      </w:r>
      <w:r>
        <w:rPr>
          <w:rFonts w:hint="eastAsia" w:asciiTheme="minorEastAsia" w:hAnsiTheme="minorEastAsia" w:eastAsiaTheme="minorEastAsia" w:cstheme="minorEastAsia"/>
          <w:b w:val="0"/>
          <w:bCs w:val="0"/>
          <w:color w:val="auto"/>
          <w:sz w:val="24"/>
          <w:szCs w:val="24"/>
          <w:highlight w:val="none"/>
        </w:rPr>
        <w:t>.3供应商的报价是其响应本项目要求的全部工作内容的价格体现，包括供应商完成本项目所需的一切费用。</w:t>
      </w:r>
    </w:p>
    <w:p w14:paraId="69CB076B">
      <w:pPr>
        <w:kinsoku/>
        <w:overflowPunct/>
        <w:bidi w:val="0"/>
        <w:spacing w:line="500" w:lineRule="exact"/>
        <w:ind w:firstLine="480" w:firstLineChars="200"/>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4.4</w:t>
      </w:r>
      <w:r>
        <w:rPr>
          <w:rFonts w:hint="eastAsia" w:asciiTheme="minorEastAsia" w:hAnsiTheme="minorEastAsia" w:eastAsiaTheme="minorEastAsia" w:cstheme="minorEastAsia"/>
          <w:b w:val="0"/>
          <w:bCs w:val="0"/>
          <w:color w:val="auto"/>
          <w:sz w:val="24"/>
          <w:szCs w:val="24"/>
          <w:highlight w:val="none"/>
        </w:rPr>
        <w:t>供应商最后报价超过采购预算或最高限价（金额详见“供应商须知附表”）的, 其响应文件按无效处理。</w:t>
      </w:r>
    </w:p>
    <w:p w14:paraId="572F02F6">
      <w:pPr>
        <w:kinsoku/>
        <w:overflowPunct/>
        <w:bidi w:val="0"/>
        <w:spacing w:line="500" w:lineRule="exact"/>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5.响应文件格式</w:t>
      </w:r>
    </w:p>
    <w:p w14:paraId="2A602A03">
      <w:pPr>
        <w:kinsoku/>
        <w:overflowPunct/>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5.1供应商应执行磋商文件第八章的规定要求。</w:t>
      </w:r>
    </w:p>
    <w:p w14:paraId="41B0CA91">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5.2对于没有格式要求的磋商文件由供应商自行编写。</w:t>
      </w:r>
      <w:bookmarkStart w:id="57" w:name="_Toc183582224"/>
      <w:bookmarkStart w:id="58" w:name="_Toc217446051"/>
      <w:bookmarkStart w:id="59" w:name="_Toc183682361"/>
    </w:p>
    <w:p w14:paraId="221CD43B">
      <w:pPr>
        <w:kinsoku/>
        <w:overflowPunct/>
        <w:bidi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6.响应文件的编制和签署</w:t>
      </w:r>
    </w:p>
    <w:p w14:paraId="170A48AD">
      <w:pPr>
        <w:kinsoku/>
        <w:overflowPunct/>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6.1资格性响应文件正本1份副本</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bCs/>
          <w:color w:val="auto"/>
          <w:sz w:val="24"/>
          <w:szCs w:val="24"/>
          <w:highlight w:val="none"/>
        </w:rPr>
        <w:t>，并在其封面上清楚地标明资格性响应文件、采购项目名称、采购项目编号、包件号及名称（若有）、供应商名称以及“正本”或“副本”字样。若正本和副本有不一致的内容，以正本书面响应文件为准。</w:t>
      </w:r>
    </w:p>
    <w:p w14:paraId="64BE0528">
      <w:pPr>
        <w:kinsoku/>
        <w:overflowPunct/>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6.2技术、商务响应文件正本1份副本</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份，并在其封面上清楚地标明技术、商务响应文件、采购项目名称、采购项目编号、包件号及名称（若有）、供应商名称以及“正本”或“副本”字样。若正本和副本有不一致的内容，以正本书面响应文件为准。</w:t>
      </w:r>
    </w:p>
    <w:bookmarkEnd w:id="57"/>
    <w:bookmarkEnd w:id="58"/>
    <w:bookmarkEnd w:id="59"/>
    <w:p w14:paraId="4911F6D8">
      <w:pPr>
        <w:kinsoku/>
        <w:overflowPunct/>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6.3 响应文件正本和副本均需在规定签章处签字和盖章。响应文件副本可采用正本的复印件，电子文档采用U盘制作</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lang w:val="en-US" w:eastAsia="zh-CN"/>
        </w:rPr>
        <w:t>资格响应文件、</w:t>
      </w:r>
      <w:r>
        <w:rPr>
          <w:rFonts w:hint="eastAsia" w:asciiTheme="minorEastAsia" w:hAnsiTheme="minorEastAsia" w:eastAsiaTheme="minorEastAsia" w:cstheme="minorEastAsia"/>
          <w:bCs/>
          <w:color w:val="auto"/>
          <w:sz w:val="24"/>
          <w:szCs w:val="24"/>
          <w:highlight w:val="none"/>
        </w:rPr>
        <w:t>技术、商务响应文件</w:t>
      </w:r>
      <w:r>
        <w:rPr>
          <w:rFonts w:hint="eastAsia" w:asciiTheme="minorEastAsia" w:hAnsiTheme="minorEastAsia" w:eastAsiaTheme="minorEastAsia" w:cstheme="minorEastAsia"/>
          <w:bCs/>
          <w:color w:val="auto"/>
          <w:sz w:val="24"/>
          <w:szCs w:val="24"/>
          <w:highlight w:val="none"/>
          <w:lang w:val="en-US" w:eastAsia="zh-CN"/>
        </w:rPr>
        <w:t>签字盖章的扫描件</w:t>
      </w:r>
      <w:r>
        <w:rPr>
          <w:rFonts w:hint="eastAsia" w:asciiTheme="minorEastAsia" w:hAnsiTheme="minorEastAsia" w:eastAsiaTheme="minorEastAsia" w:cstheme="minorEastAsia"/>
          <w:bCs/>
          <w:color w:val="auto"/>
          <w:sz w:val="24"/>
          <w:szCs w:val="24"/>
          <w:highlight w:val="none"/>
          <w:lang w:eastAsia="zh-CN"/>
        </w:rPr>
        <w:t>）</w:t>
      </w:r>
      <w:r>
        <w:rPr>
          <w:rFonts w:hint="eastAsia" w:asciiTheme="minorEastAsia" w:hAnsiTheme="minorEastAsia" w:eastAsiaTheme="minorEastAsia" w:cstheme="minorEastAsia"/>
          <w:bCs/>
          <w:color w:val="auto"/>
          <w:sz w:val="24"/>
          <w:szCs w:val="24"/>
          <w:highlight w:val="none"/>
        </w:rPr>
        <w:t>。</w:t>
      </w:r>
    </w:p>
    <w:p w14:paraId="29065253">
      <w:pPr>
        <w:kinsoku/>
        <w:overflowPunct/>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6.4响应文件的打印和书写应清楚工整，任何行间插字、涂改或增删，必须由供应商的法定代表人或其授权代表签字并盖供应商公章。</w:t>
      </w:r>
    </w:p>
    <w:p w14:paraId="37AAD088">
      <w:pPr>
        <w:kinsoku/>
        <w:overflowPunct/>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6.5</w:t>
      </w:r>
      <w:r>
        <w:rPr>
          <w:rFonts w:hint="eastAsia" w:asciiTheme="minorEastAsia" w:hAnsiTheme="minorEastAsia" w:eastAsiaTheme="minorEastAsia" w:cstheme="minorEastAsia"/>
          <w:b/>
          <w:color w:val="auto"/>
          <w:sz w:val="24"/>
          <w:szCs w:val="24"/>
          <w:highlight w:val="none"/>
        </w:rPr>
        <w:t>（实质性要求）</w:t>
      </w:r>
      <w:r>
        <w:rPr>
          <w:rFonts w:hint="eastAsia" w:asciiTheme="minorEastAsia" w:hAnsiTheme="minorEastAsia" w:eastAsiaTheme="minorEastAsia" w:cstheme="minorEastAsia"/>
          <w:bCs/>
          <w:color w:val="auto"/>
          <w:sz w:val="24"/>
          <w:szCs w:val="24"/>
          <w:highlight w:val="none"/>
        </w:rPr>
        <w:t>响应文件应由供应商法定代表人或其授权代表在响应文件要求的地方签字（或加盖私人印章），要求加盖公章的地方加盖单位公章，不得使用专用章（如经济合同章、投标专用章等）或下属单位印章代替。</w:t>
      </w:r>
    </w:p>
    <w:p w14:paraId="0D050A46">
      <w:pPr>
        <w:kinsoku/>
        <w:overflowPunct/>
        <w:bidi w:val="0"/>
        <w:spacing w:line="500" w:lineRule="exact"/>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6.6响应文件正本和副本需要逐页编目编码。</w:t>
      </w:r>
    </w:p>
    <w:p w14:paraId="49313CE0">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6.7响应文件正本和副本应当采用胶装方式装订成册，不得散装或者</w:t>
      </w:r>
      <w:r>
        <w:rPr>
          <w:rFonts w:hint="eastAsia" w:asciiTheme="minorEastAsia" w:hAnsiTheme="minorEastAsia" w:eastAsiaTheme="minorEastAsia" w:cstheme="minorEastAsia"/>
          <w:color w:val="auto"/>
          <w:sz w:val="24"/>
          <w:szCs w:val="24"/>
          <w:highlight w:val="none"/>
          <w:lang w:val="en-US" w:eastAsia="zh-CN"/>
        </w:rPr>
        <w:t>活</w:t>
      </w:r>
      <w:r>
        <w:rPr>
          <w:rFonts w:hint="eastAsia" w:asciiTheme="minorEastAsia" w:hAnsiTheme="minorEastAsia" w:eastAsiaTheme="minorEastAsia" w:cstheme="minorEastAsia"/>
          <w:color w:val="auto"/>
          <w:sz w:val="24"/>
          <w:szCs w:val="24"/>
          <w:highlight w:val="none"/>
        </w:rPr>
        <w:t>页装订。</w:t>
      </w:r>
    </w:p>
    <w:p w14:paraId="4731BDCB">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6.8响应文件应根据磋商文件的要求制作，签署、盖章。</w:t>
      </w:r>
    </w:p>
    <w:p w14:paraId="554B4683">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6.9响应文件统一用A4幅面纸印制，除另有规定外。</w:t>
      </w:r>
      <w:bookmarkStart w:id="60" w:name="_Toc183582226"/>
      <w:bookmarkStart w:id="61" w:name="_Toc183682363"/>
      <w:bookmarkStart w:id="62" w:name="_Toc217446053"/>
      <w:bookmarkStart w:id="63" w:name="_Toc89075877"/>
      <w:bookmarkStart w:id="64" w:name="_Toc77400781"/>
    </w:p>
    <w:p w14:paraId="4FF65495">
      <w:pPr>
        <w:tabs>
          <w:tab w:val="left" w:pos="1080"/>
        </w:tabs>
        <w:kinsoku/>
        <w:overflowPunct/>
        <w:bidi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7.响应文件的密封和标注（不属于本项目磋商小组评审范畴，由采购人、采购代理机构在接收响应文件时及时处理）</w:t>
      </w:r>
    </w:p>
    <w:p w14:paraId="160774C8">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7.1 响应文件可以单独密封包装，也可以所有响应文件密封包装在一个密封袋内。</w:t>
      </w:r>
    </w:p>
    <w:p w14:paraId="6A06C0B9">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7.2 响应文件密封袋的最外层应清楚地标明采购项目名称、采购项目编号、包件号及名称（若有）、供应商名称。</w:t>
      </w:r>
    </w:p>
    <w:p w14:paraId="75A38627">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7.3 所有外层密封袋的封口处应粘贴牢固。</w:t>
      </w:r>
    </w:p>
    <w:p w14:paraId="1109F3BA">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7.4 未按以上要求进行密封和标注的响应文件，采购人、采购代理机构将拒收或者在时间允许的范围内，要求修改完善后接收。</w:t>
      </w:r>
    </w:p>
    <w:p w14:paraId="60ECF75B">
      <w:pPr>
        <w:tabs>
          <w:tab w:val="left" w:pos="1080"/>
        </w:tabs>
        <w:kinsoku/>
        <w:overflowPunct/>
        <w:bidi w:val="0"/>
        <w:spacing w:line="5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8.响应文件的递交</w:t>
      </w:r>
    </w:p>
    <w:p w14:paraId="15C417AF">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8.1 资格性响应文件和技术、商务响应文件及电子文档应于递交响应文件截止时间前送达指定地点，采购代理机构拒绝接收截止时间后送达的响应文件。</w:t>
      </w:r>
    </w:p>
    <w:p w14:paraId="2386136C">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8.2 采购代理机构将向通过资格审查的供应商发出磋商邀请；告知未通过资格审查的供应商未通过的原因。</w:t>
      </w:r>
    </w:p>
    <w:p w14:paraId="151BE997">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8.3 报价表在磋商后，磋商小组要求供应商进行最后报价时递交。</w:t>
      </w:r>
    </w:p>
    <w:p w14:paraId="4892CD36">
      <w:pPr>
        <w:tabs>
          <w:tab w:val="left" w:pos="1080"/>
        </w:tabs>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8.4 本次采购不接收邮寄的响应文件。</w:t>
      </w:r>
    </w:p>
    <w:bookmarkEnd w:id="60"/>
    <w:bookmarkEnd w:id="61"/>
    <w:bookmarkEnd w:id="62"/>
    <w:bookmarkEnd w:id="63"/>
    <w:bookmarkEnd w:id="64"/>
    <w:p w14:paraId="491B8BFA">
      <w:pPr>
        <w:tabs>
          <w:tab w:val="left" w:pos="1080"/>
        </w:tabs>
        <w:kinsoku/>
        <w:overflowPunct/>
        <w:bidi w:val="0"/>
        <w:spacing w:line="500" w:lineRule="exact"/>
        <w:ind w:firstLine="482" w:firstLineChars="200"/>
        <w:rPr>
          <w:rFonts w:hint="eastAsia" w:asciiTheme="minorEastAsia" w:hAnsiTheme="minorEastAsia" w:eastAsiaTheme="minorEastAsia" w:cstheme="minorEastAsia"/>
          <w:b/>
          <w:color w:val="auto"/>
          <w:sz w:val="24"/>
          <w:szCs w:val="24"/>
          <w:highlight w:val="none"/>
        </w:rPr>
      </w:pPr>
      <w:bookmarkStart w:id="65" w:name="_Toc217446055"/>
      <w:bookmarkStart w:id="66" w:name="_Toc183582228"/>
      <w:bookmarkStart w:id="67" w:name="_Toc183682365"/>
      <w:r>
        <w:rPr>
          <w:rFonts w:hint="eastAsia" w:asciiTheme="minorEastAsia" w:hAnsiTheme="minorEastAsia" w:eastAsiaTheme="minorEastAsia" w:cstheme="minorEastAsia"/>
          <w:b/>
          <w:color w:val="auto"/>
          <w:sz w:val="24"/>
          <w:szCs w:val="24"/>
          <w:highlight w:val="none"/>
        </w:rPr>
        <w:t>9.响应文件的修改和撤回（补充、修改响应文件的密封和标注按照本章“</w:t>
      </w:r>
      <w:r>
        <w:rPr>
          <w:rFonts w:hint="eastAsia" w:asciiTheme="minorEastAsia" w:hAnsiTheme="minorEastAsia" w:eastAsiaTheme="minorEastAsia" w:cstheme="minorEastAsia"/>
          <w:b/>
          <w:color w:val="auto"/>
          <w:sz w:val="24"/>
          <w:szCs w:val="24"/>
          <w:highlight w:val="none"/>
          <w:lang w:val="en-US" w:eastAsia="zh-CN"/>
        </w:rPr>
        <w:t>7</w:t>
      </w:r>
      <w:r>
        <w:rPr>
          <w:rFonts w:hint="eastAsia" w:asciiTheme="minorEastAsia" w:hAnsiTheme="minorEastAsia" w:eastAsiaTheme="minorEastAsia" w:cstheme="minorEastAsia"/>
          <w:b/>
          <w:color w:val="auto"/>
          <w:sz w:val="24"/>
          <w:szCs w:val="24"/>
          <w:highlight w:val="none"/>
        </w:rPr>
        <w:t>.响应文件的密封和标注”规定处理）</w:t>
      </w:r>
    </w:p>
    <w:p w14:paraId="137FC304">
      <w:pPr>
        <w:pStyle w:val="7"/>
        <w:kinsoku/>
        <w:overflowPunct/>
        <w:bidi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2BF932FE">
      <w:pPr>
        <w:kinsoku/>
        <w:overflowPunct/>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9.2供应商对响应文件修改的书面材料或撤回的通知应该按规定进行编写、密封、标注和递送，并注明“修改响应文件”字样。</w:t>
      </w:r>
    </w:p>
    <w:p w14:paraId="5F4CD6DD">
      <w:pPr>
        <w:kinsoku/>
        <w:overflowPunct/>
        <w:bidi w:val="0"/>
        <w:adjustRightInd w:val="0"/>
        <w:snapToGrid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9.3供应商不得在递交截止时间起至响应文件有效期期满前撤销其响应文件。</w:t>
      </w:r>
    </w:p>
    <w:p w14:paraId="73195627">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9.4 响应文件中报价如果出现下列不一致的，可按以下原则进行修改：</w:t>
      </w:r>
    </w:p>
    <w:p w14:paraId="79107435">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（1）大写金额和小写金额不一致的，以大写金额为准，但大写金额文字存在错误的，应当先对大写金额的文字错误进行澄清、说明或者更正，再行修正。</w:t>
      </w:r>
    </w:p>
    <w:p w14:paraId="5E5EBB90">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（2）总价金额与按单价汇总金额不一致的，以单价金额计算结果为准，但单价或者单价汇总金额存在数字或者文字错误的，应当先对数字或者文字错误进行澄清、说明或者更正，再行修正。</w:t>
      </w:r>
    </w:p>
    <w:p w14:paraId="4202FDFC">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（3）单价金额小数点或者百分比有明显错位的，以总价为准，修正单价。</w:t>
      </w:r>
    </w:p>
    <w:p w14:paraId="654D4656">
      <w:pPr>
        <w:pStyle w:val="7"/>
        <w:kinsoku/>
        <w:overflowPunct/>
        <w:bidi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5515BD15">
      <w:pPr>
        <w:pStyle w:val="7"/>
        <w:kinsoku/>
        <w:overflowPunct/>
        <w:bidi w:val="0"/>
        <w:spacing w:line="5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10.供应商对其提交的响应文件的真实性、合法性承担法律责任。</w:t>
      </w:r>
      <w:bookmarkEnd w:id="65"/>
      <w:bookmarkEnd w:id="66"/>
      <w:bookmarkEnd w:id="67"/>
      <w:bookmarkStart w:id="68" w:name="_Toc77400782"/>
      <w:bookmarkStart w:id="69" w:name="_Toc89075878"/>
      <w:bookmarkStart w:id="70" w:name="_Toc217446056"/>
      <w:bookmarkStart w:id="71" w:name="_Toc183682368"/>
      <w:bookmarkStart w:id="72" w:name="_Toc183582231"/>
    </w:p>
    <w:p w14:paraId="7E7C74C3">
      <w:pPr>
        <w:pStyle w:val="3"/>
        <w:kinsoku/>
        <w:overflowPunct/>
        <w:bidi w:val="0"/>
        <w:ind w:firstLine="643" w:firstLineChars="200"/>
        <w:jc w:val="center"/>
        <w:rPr>
          <w:rFonts w:hint="eastAsia" w:asciiTheme="minorEastAsia" w:hAnsiTheme="minorEastAsia" w:eastAsiaTheme="minorEastAsia" w:cstheme="minorEastAsia"/>
          <w:color w:val="auto"/>
          <w:highlight w:val="none"/>
        </w:rPr>
      </w:pPr>
      <w:bookmarkStart w:id="73" w:name="_Toc12944_WPSOffice_Level1"/>
      <w:r>
        <w:rPr>
          <w:rFonts w:hint="eastAsia" w:asciiTheme="minorEastAsia" w:hAnsiTheme="minorEastAsia" w:eastAsiaTheme="minorEastAsia" w:cstheme="minorEastAsia"/>
          <w:color w:val="auto"/>
          <w:highlight w:val="none"/>
        </w:rPr>
        <w:t>五、评审</w:t>
      </w:r>
      <w:bookmarkEnd w:id="73"/>
    </w:p>
    <w:p w14:paraId="1FE2F072">
      <w:pPr>
        <w:kinsoku/>
        <w:overflowPunct/>
        <w:bidi w:val="0"/>
        <w:ind w:firstLine="480" w:firstLineChars="200"/>
        <w:rPr>
          <w:rFonts w:hint="eastAsia" w:asciiTheme="minorEastAsia" w:hAnsiTheme="minorEastAsia" w:eastAsiaTheme="minorEastAsia" w:cstheme="minorEastAsia"/>
          <w:b w:val="0"/>
          <w:bCs/>
          <w:color w:val="auto"/>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bidi="ar-SA"/>
        </w:rPr>
        <w:t>磋商小组的组建及其评审工作按照有关法律制度和本文件第九章的规定进行。</w:t>
      </w:r>
    </w:p>
    <w:p w14:paraId="5B34F5CC">
      <w:pPr>
        <w:pStyle w:val="3"/>
        <w:kinsoku/>
        <w:overflowPunct/>
        <w:bidi w:val="0"/>
        <w:ind w:firstLine="643" w:firstLineChars="200"/>
        <w:jc w:val="center"/>
        <w:rPr>
          <w:rFonts w:hint="eastAsia" w:asciiTheme="minorEastAsia" w:hAnsiTheme="minorEastAsia" w:eastAsiaTheme="minorEastAsia" w:cstheme="minorEastAsia"/>
          <w:color w:val="auto"/>
          <w:highlight w:val="none"/>
        </w:rPr>
      </w:pPr>
      <w:bookmarkStart w:id="74" w:name="_Toc29343_WPSOffice_Level1"/>
      <w:r>
        <w:rPr>
          <w:rFonts w:hint="eastAsia" w:asciiTheme="minorEastAsia" w:hAnsiTheme="minorEastAsia" w:eastAsiaTheme="minorEastAsia" w:cstheme="minorEastAsia"/>
          <w:color w:val="auto"/>
          <w:highlight w:val="none"/>
        </w:rPr>
        <w:t>六、成交事项</w:t>
      </w:r>
      <w:bookmarkEnd w:id="74"/>
    </w:p>
    <w:p w14:paraId="6E20A64E">
      <w:pPr>
        <w:keepNext w:val="0"/>
        <w:keepLines w:val="0"/>
        <w:pageBreakBefore w:val="0"/>
        <w:widowControl w:val="0"/>
        <w:kinsoku/>
        <w:wordWrap/>
        <w:overflowPunct/>
        <w:topLinePunct w:val="0"/>
        <w:autoSpaceDE/>
        <w:autoSpaceDN/>
        <w:bidi w:val="0"/>
        <w:adjustRightInd/>
        <w:snapToGrid/>
        <w:spacing w:after="0" w:line="400" w:lineRule="exact"/>
        <w:ind w:firstLine="482"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1.确定成交供应商</w:t>
      </w:r>
    </w:p>
    <w:p w14:paraId="5C85DA5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eastAsia="zh-CN"/>
        </w:rPr>
        <w:t>方式一：</w:t>
      </w:r>
      <w:r>
        <w:rPr>
          <w:rFonts w:hint="eastAsia" w:asciiTheme="minorEastAsia" w:hAnsiTheme="minorEastAsia" w:eastAsiaTheme="minorEastAsia" w:cstheme="minorEastAsia"/>
          <w:b w:val="0"/>
          <w:color w:val="auto"/>
          <w:sz w:val="24"/>
          <w:szCs w:val="24"/>
          <w:highlight w:val="none"/>
        </w:rPr>
        <w:t>采购</w:t>
      </w:r>
      <w:r>
        <w:rPr>
          <w:rFonts w:hint="eastAsia" w:asciiTheme="minorEastAsia" w:hAnsiTheme="minorEastAsia" w:eastAsiaTheme="minorEastAsia" w:cstheme="minorEastAsia"/>
          <w:b w:val="0"/>
          <w:color w:val="auto"/>
          <w:sz w:val="24"/>
          <w:szCs w:val="24"/>
          <w:highlight w:val="none"/>
          <w:lang w:eastAsia="zh-CN"/>
        </w:rPr>
        <w:t>单位授权</w:t>
      </w:r>
      <w:r>
        <w:rPr>
          <w:rFonts w:hint="eastAsia" w:asciiTheme="minorEastAsia" w:hAnsiTheme="minorEastAsia" w:eastAsiaTheme="minorEastAsia" w:cstheme="minorEastAsia"/>
          <w:b w:val="0"/>
          <w:color w:val="auto"/>
          <w:sz w:val="24"/>
          <w:szCs w:val="24"/>
          <w:highlight w:val="none"/>
        </w:rPr>
        <w:t>磋商小组</w:t>
      </w:r>
      <w:r>
        <w:rPr>
          <w:rFonts w:hint="eastAsia" w:asciiTheme="minorEastAsia" w:hAnsiTheme="minorEastAsia" w:eastAsiaTheme="minorEastAsia" w:cstheme="minorEastAsia"/>
          <w:b w:val="0"/>
          <w:color w:val="auto"/>
          <w:sz w:val="24"/>
          <w:szCs w:val="24"/>
          <w:highlight w:val="none"/>
          <w:lang w:eastAsia="zh-CN"/>
        </w:rPr>
        <w:t>按照评审原则直接确定</w:t>
      </w:r>
      <w:r>
        <w:rPr>
          <w:rFonts w:hint="eastAsia" w:asciiTheme="minorEastAsia" w:hAnsiTheme="minorEastAsia" w:eastAsiaTheme="minorEastAsia" w:cstheme="minorEastAsia"/>
          <w:b w:val="0"/>
          <w:color w:val="auto"/>
          <w:sz w:val="24"/>
          <w:szCs w:val="24"/>
          <w:highlight w:val="none"/>
        </w:rPr>
        <w:t>成交供应商</w:t>
      </w:r>
      <w:r>
        <w:rPr>
          <w:rFonts w:hint="eastAsia" w:asciiTheme="minorEastAsia" w:hAnsiTheme="minorEastAsia" w:eastAsiaTheme="minorEastAsia" w:cstheme="minorEastAsia"/>
          <w:b w:val="0"/>
          <w:color w:val="auto"/>
          <w:sz w:val="24"/>
          <w:szCs w:val="24"/>
          <w:highlight w:val="none"/>
          <w:lang w:eastAsia="zh-CN"/>
        </w:rPr>
        <w:t>。</w:t>
      </w:r>
    </w:p>
    <w:p w14:paraId="0D371128">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lang w:eastAsia="zh-CN"/>
        </w:rPr>
      </w:pPr>
      <w:r>
        <w:rPr>
          <w:rFonts w:hint="eastAsia" w:asciiTheme="minorEastAsia" w:hAnsiTheme="minorEastAsia" w:eastAsiaTheme="minorEastAsia" w:cstheme="minorEastAsia"/>
          <w:b w:val="0"/>
          <w:color w:val="auto"/>
          <w:sz w:val="24"/>
          <w:szCs w:val="24"/>
          <w:highlight w:val="none"/>
          <w:lang w:eastAsia="zh-CN"/>
        </w:rPr>
        <w:t>方式二：</w:t>
      </w:r>
      <w:r>
        <w:rPr>
          <w:rFonts w:hint="eastAsia" w:asciiTheme="minorEastAsia" w:hAnsiTheme="minorEastAsia" w:eastAsiaTheme="minorEastAsia" w:cstheme="minorEastAsia"/>
          <w:b w:val="0"/>
          <w:color w:val="auto"/>
          <w:sz w:val="24"/>
          <w:szCs w:val="24"/>
          <w:highlight w:val="none"/>
        </w:rPr>
        <w:t>采购</w:t>
      </w:r>
      <w:r>
        <w:rPr>
          <w:rFonts w:hint="eastAsia" w:asciiTheme="minorEastAsia" w:hAnsiTheme="minorEastAsia" w:eastAsiaTheme="minorEastAsia" w:cstheme="minorEastAsia"/>
          <w:b w:val="0"/>
          <w:color w:val="auto"/>
          <w:sz w:val="24"/>
          <w:szCs w:val="24"/>
          <w:highlight w:val="none"/>
          <w:lang w:eastAsia="zh-CN"/>
        </w:rPr>
        <w:t>单位按照评标报告中</w:t>
      </w:r>
      <w:r>
        <w:rPr>
          <w:rFonts w:hint="eastAsia" w:asciiTheme="minorEastAsia" w:hAnsiTheme="minorEastAsia" w:eastAsiaTheme="minorEastAsia" w:cstheme="minorEastAsia"/>
          <w:b w:val="0"/>
          <w:color w:val="auto"/>
          <w:sz w:val="24"/>
          <w:szCs w:val="24"/>
          <w:highlight w:val="none"/>
        </w:rPr>
        <w:t>推荐的成交候选</w:t>
      </w:r>
      <w:r>
        <w:rPr>
          <w:rFonts w:hint="eastAsia" w:asciiTheme="minorEastAsia" w:hAnsiTheme="minorEastAsia" w:eastAsiaTheme="minorEastAsia" w:cstheme="minorEastAsia"/>
          <w:b w:val="0"/>
          <w:color w:val="auto"/>
          <w:sz w:val="24"/>
          <w:szCs w:val="24"/>
          <w:highlight w:val="none"/>
          <w:lang w:eastAsia="zh-CN"/>
        </w:rPr>
        <w:t>人</w:t>
      </w:r>
      <w:r>
        <w:rPr>
          <w:rFonts w:hint="eastAsia" w:asciiTheme="minorEastAsia" w:hAnsiTheme="minorEastAsia" w:eastAsiaTheme="minorEastAsia" w:cstheme="minorEastAsia"/>
          <w:b w:val="0"/>
          <w:color w:val="auto"/>
          <w:sz w:val="24"/>
          <w:szCs w:val="24"/>
          <w:highlight w:val="none"/>
        </w:rPr>
        <w:t>确定成交供应商</w:t>
      </w:r>
      <w:r>
        <w:rPr>
          <w:rFonts w:hint="eastAsia" w:asciiTheme="minorEastAsia" w:hAnsiTheme="minorEastAsia" w:eastAsiaTheme="minorEastAsia" w:cstheme="minorEastAsia"/>
          <w:b w:val="0"/>
          <w:color w:val="auto"/>
          <w:sz w:val="24"/>
          <w:szCs w:val="24"/>
          <w:highlight w:val="none"/>
          <w:lang w:eastAsia="zh-CN"/>
        </w:rPr>
        <w:t>。</w:t>
      </w:r>
    </w:p>
    <w:p w14:paraId="6D057E88">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highlight w:val="none"/>
          <w:u w:val="single"/>
          <w:lang w:eastAsia="zh-CN"/>
        </w:rPr>
      </w:pPr>
      <w:r>
        <w:rPr>
          <w:rFonts w:hint="eastAsia" w:asciiTheme="minorEastAsia" w:hAnsiTheme="minorEastAsia" w:eastAsiaTheme="minorEastAsia" w:cstheme="minorEastAsia"/>
          <w:b/>
          <w:bCs/>
          <w:color w:val="auto"/>
          <w:sz w:val="24"/>
          <w:szCs w:val="24"/>
          <w:highlight w:val="none"/>
          <w:u w:val="single"/>
          <w:lang w:eastAsia="zh-CN"/>
        </w:rPr>
        <w:t>本项目采用方式一确定成交供应商。</w:t>
      </w:r>
    </w:p>
    <w:p w14:paraId="660523EE">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2.成交结果</w:t>
      </w:r>
    </w:p>
    <w:p w14:paraId="5D510BC2">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2.1采购人确定成交供应商后，将及时书面通知采购代理机构，发出成交通知书并发布成交结果公告。</w:t>
      </w:r>
    </w:p>
    <w:p w14:paraId="64BED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2.2成交供应商应当及时领取成交通知书。</w:t>
      </w:r>
    </w:p>
    <w:p w14:paraId="74500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2.3成交供应商不能及时领取成交通知书，采购人或者采购代理机应当通过邮寄、快递等方式将项目成交通知书送达成交供应商。</w:t>
      </w:r>
    </w:p>
    <w:p w14:paraId="7B600A87">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3.成交通知书</w:t>
      </w:r>
    </w:p>
    <w:p w14:paraId="399EA6DC">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3.1成交通知书为签订采购合同的依据之一，是合同的有效组成部分。</w:t>
      </w:r>
    </w:p>
    <w:p w14:paraId="5C22EE60">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3.2成交通知书对采购人和成交供应商均具有法律效力。成交通知书发出后，采购人无正当理由改变成交结果，或者成交供应商无正当理由放弃成交的，将承担相应的法律责任。</w:t>
      </w:r>
    </w:p>
    <w:p w14:paraId="5A735C8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color w:val="auto"/>
          <w:sz w:val="24"/>
          <w:szCs w:val="24"/>
          <w:highlight w:val="none"/>
        </w:rPr>
      </w:pPr>
      <w:r>
        <w:rPr>
          <w:rFonts w:hint="eastAsia" w:asciiTheme="minorEastAsia" w:hAnsiTheme="minorEastAsia" w:eastAsiaTheme="minorEastAsia" w:cstheme="minorEastAsia"/>
          <w:b w:val="0"/>
          <w:color w:val="auto"/>
          <w:sz w:val="24"/>
          <w:szCs w:val="24"/>
          <w:highlight w:val="none"/>
        </w:rPr>
        <w:t>3.3成交供应商的响应文件作为无效响应文件处理或者有法律法规规章制度规定的成交无效情形的，采购代理机构在取得有权主体的认定以后，有权宣布发出的成交通知书无效，并收回发出的成交通知书，依法重新确定成交供应商或者重新开展采购活动。</w:t>
      </w:r>
    </w:p>
    <w:p w14:paraId="4D8044EA">
      <w:pPr>
        <w:pStyle w:val="3"/>
        <w:kinsoku/>
        <w:overflowPunct/>
        <w:bidi w:val="0"/>
        <w:ind w:firstLine="643" w:firstLineChars="200"/>
        <w:jc w:val="center"/>
        <w:rPr>
          <w:rFonts w:hint="eastAsia" w:asciiTheme="minorEastAsia" w:hAnsiTheme="minorEastAsia" w:eastAsiaTheme="minorEastAsia" w:cstheme="minorEastAsia"/>
          <w:color w:val="auto"/>
          <w:sz w:val="24"/>
          <w:szCs w:val="24"/>
          <w:highlight w:val="none"/>
        </w:rPr>
      </w:pPr>
      <w:bookmarkStart w:id="75" w:name="_Toc13869_WPSOffice_Level1"/>
      <w:r>
        <w:rPr>
          <w:rFonts w:hint="eastAsia" w:asciiTheme="minorEastAsia" w:hAnsiTheme="minorEastAsia" w:eastAsiaTheme="minorEastAsia" w:cstheme="minorEastAsia"/>
          <w:color w:val="auto"/>
          <w:highlight w:val="none"/>
        </w:rPr>
        <w:t>七、合同事项</w:t>
      </w:r>
      <w:bookmarkEnd w:id="75"/>
    </w:p>
    <w:p w14:paraId="321890CE">
      <w:pPr>
        <w:keepNext w:val="0"/>
        <w:keepLines w:val="0"/>
        <w:pageBreakBefore w:val="0"/>
        <w:widowControl w:val="0"/>
        <w:kinsoku/>
        <w:wordWrap/>
        <w:overflowPunct/>
        <w:topLinePunct w:val="0"/>
        <w:autoSpaceDE/>
        <w:autoSpaceDN/>
        <w:bidi w:val="0"/>
        <w:adjustRightInd/>
        <w:snapToGrid/>
        <w:spacing w:before="0" w:after="0" w:line="360" w:lineRule="auto"/>
        <w:ind w:firstLine="482" w:firstLineChars="200"/>
        <w:textAlignment w:val="auto"/>
        <w:outlineLvl w:val="9"/>
        <w:rPr>
          <w:rFonts w:hint="eastAsia" w:asciiTheme="minorEastAsia" w:hAnsiTheme="minorEastAsia" w:eastAsiaTheme="minorEastAsia" w:cstheme="minorEastAsia"/>
          <w:b/>
          <w:bCs/>
          <w:color w:val="auto"/>
          <w:sz w:val="24"/>
          <w:szCs w:val="24"/>
          <w:highlight w:val="none"/>
        </w:rPr>
      </w:pPr>
      <w:bookmarkStart w:id="76" w:name="_Toc101174151"/>
      <w:bookmarkStart w:id="77" w:name="_Toc101338364"/>
      <w:bookmarkStart w:id="78" w:name="_Toc430773927"/>
      <w:bookmarkStart w:id="79" w:name="_Toc209847069"/>
      <w:bookmarkStart w:id="80" w:name="_Toc101250646"/>
      <w:r>
        <w:rPr>
          <w:rFonts w:hint="eastAsia" w:asciiTheme="minorEastAsia" w:hAnsiTheme="minorEastAsia" w:eastAsiaTheme="minorEastAsia" w:cstheme="minorEastAsia"/>
          <w:b/>
          <w:bCs/>
          <w:color w:val="auto"/>
          <w:sz w:val="24"/>
          <w:szCs w:val="24"/>
          <w:highlight w:val="none"/>
        </w:rPr>
        <w:t>1.签订合同</w:t>
      </w:r>
      <w:bookmarkEnd w:id="76"/>
      <w:bookmarkEnd w:id="77"/>
      <w:bookmarkEnd w:id="78"/>
      <w:bookmarkEnd w:id="79"/>
      <w:bookmarkEnd w:id="80"/>
    </w:p>
    <w:p w14:paraId="6129C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成交供应商应在成交通知书发出之日起</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日内与采购人签订采购合同。由于成交供应商的原因逾期未与采购人签订采购合同的，将视为放弃成交，取消其成交资格并将按相关规定进行处理。</w:t>
      </w:r>
    </w:p>
    <w:p w14:paraId="67825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 磋商文件、成交供应商的响应文件及双方确认的澄清文件等，均为有法律约束力的合同组成部分。</w:t>
      </w:r>
    </w:p>
    <w:p w14:paraId="5E148F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 采购人不得向成交供应商提出任何不合理的要求，作为签订合同的条件，不得与成交供应商私下订立背离合同实质性内容的任何协议，所签订的合同不得对磋商文件和成交供应商响应文件确定的事项进行修改。</w:t>
      </w:r>
    </w:p>
    <w:p w14:paraId="042EF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1.4 成交供应商因不可抗力原因不能履行采购合同或放弃成交的，采购人可以与排在成交供应商之后第一位的成交候选人签订采购合同，以此类推。</w:t>
      </w:r>
    </w:p>
    <w:p w14:paraId="6AEDB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1.5竞争性磋商文件、成交供应商提交的响应文件、磋商中的最后报价、成交供应商承诺书、成交通知书等均称为有法律约束力的合同组成内容。</w:t>
      </w:r>
    </w:p>
    <w:p w14:paraId="47D996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2.合同分包（</w:t>
      </w:r>
      <w:r>
        <w:rPr>
          <w:rFonts w:hint="eastAsia" w:asciiTheme="minorEastAsia" w:hAnsiTheme="minorEastAsia" w:eastAsiaTheme="minorEastAsia" w:cstheme="minorEastAsia"/>
          <w:b/>
          <w:color w:val="auto"/>
          <w:sz w:val="24"/>
          <w:szCs w:val="24"/>
          <w:highlight w:val="none"/>
          <w:lang w:val="en-US" w:eastAsia="zh-CN"/>
        </w:rPr>
        <w:t>本项目不允许分包</w:t>
      </w:r>
      <w:r>
        <w:rPr>
          <w:rFonts w:hint="eastAsia" w:asciiTheme="minorEastAsia" w:hAnsiTheme="minorEastAsia" w:eastAsiaTheme="minorEastAsia" w:cstheme="minorEastAsia"/>
          <w:b/>
          <w:color w:val="auto"/>
          <w:sz w:val="24"/>
          <w:szCs w:val="24"/>
          <w:highlight w:val="none"/>
        </w:rPr>
        <w:t>）</w:t>
      </w:r>
    </w:p>
    <w:p w14:paraId="62A97A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分包履行合同的部分应当为采购项目的非主体、非关键性工作，不属于成交供应商的主要合同义务。</w:t>
      </w:r>
    </w:p>
    <w:p w14:paraId="17D47B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采购合同实行分包履行的，成交供应商就采购项目和分包项目向采购人负责，分包供应商就分包项目承担责任。</w:t>
      </w:r>
    </w:p>
    <w:p w14:paraId="2D1848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3.合同转包（</w:t>
      </w:r>
      <w:r>
        <w:rPr>
          <w:rFonts w:hint="eastAsia" w:asciiTheme="minorEastAsia" w:hAnsiTheme="minorEastAsia" w:eastAsiaTheme="minorEastAsia" w:cstheme="minorEastAsia"/>
          <w:b/>
          <w:color w:val="auto"/>
          <w:sz w:val="24"/>
          <w:szCs w:val="24"/>
          <w:highlight w:val="none"/>
          <w:lang w:val="en-US" w:eastAsia="zh-CN"/>
        </w:rPr>
        <w:t>本项目不允许转包</w:t>
      </w:r>
      <w:r>
        <w:rPr>
          <w:rFonts w:hint="eastAsia" w:asciiTheme="minorEastAsia" w:hAnsiTheme="minorEastAsia" w:eastAsiaTheme="minorEastAsia" w:cstheme="minorEastAsia"/>
          <w:b/>
          <w:color w:val="auto"/>
          <w:sz w:val="24"/>
          <w:szCs w:val="24"/>
          <w:highlight w:val="none"/>
        </w:rPr>
        <w:t>）</w:t>
      </w:r>
    </w:p>
    <w:p w14:paraId="4E1B44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29F361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3.2成交供应商转包的，视同拒绝履行采购合同义务，将依法追究法律责任。</w:t>
      </w:r>
    </w:p>
    <w:p w14:paraId="208A3DE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4.履行合同</w:t>
      </w:r>
    </w:p>
    <w:p w14:paraId="58F9A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 成交供应商与采购人签订合同后，合同双方应严格执行合同条款，履行合同规定的义务，保证合同的顺利完成。</w:t>
      </w:r>
    </w:p>
    <w:p w14:paraId="5B8296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 在合同履行过程中，如发生合同纠纷，合同双方应按照《</w:t>
      </w:r>
      <w:r>
        <w:rPr>
          <w:rFonts w:hint="eastAsia" w:asciiTheme="minorEastAsia" w:hAnsiTheme="minorEastAsia" w:eastAsiaTheme="minorEastAsia" w:cstheme="minorEastAsia"/>
          <w:color w:val="auto"/>
          <w:sz w:val="24"/>
          <w:szCs w:val="24"/>
          <w:highlight w:val="none"/>
          <w:lang w:val="en-US" w:eastAsia="zh-CN"/>
        </w:rPr>
        <w:t>中华人民共和国民法典</w:t>
      </w:r>
      <w:r>
        <w:rPr>
          <w:rFonts w:hint="eastAsia" w:asciiTheme="minorEastAsia" w:hAnsiTheme="minorEastAsia" w:eastAsiaTheme="minorEastAsia" w:cstheme="minorEastAsia"/>
          <w:color w:val="auto"/>
          <w:sz w:val="24"/>
          <w:szCs w:val="24"/>
          <w:highlight w:val="none"/>
        </w:rPr>
        <w:t>》的有关规定进行处理。</w:t>
      </w:r>
    </w:p>
    <w:p w14:paraId="47CD88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5.资金支付</w:t>
      </w:r>
    </w:p>
    <w:p w14:paraId="54C02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采购人将按照采购合同规定，及时向</w:t>
      </w:r>
      <w:r>
        <w:rPr>
          <w:rFonts w:hint="eastAsia" w:asciiTheme="minorEastAsia" w:hAnsiTheme="minorEastAsia" w:eastAsiaTheme="minorEastAsia" w:cstheme="minorEastAsia"/>
          <w:color w:val="auto"/>
          <w:sz w:val="24"/>
          <w:szCs w:val="24"/>
          <w:highlight w:val="none"/>
          <w:lang w:val="en-US" w:eastAsia="zh-CN"/>
        </w:rPr>
        <w:t>成交</w:t>
      </w:r>
      <w:r>
        <w:rPr>
          <w:rFonts w:hint="eastAsia" w:asciiTheme="minorEastAsia" w:hAnsiTheme="minorEastAsia" w:eastAsiaTheme="minorEastAsia" w:cstheme="minorEastAsia"/>
          <w:color w:val="auto"/>
          <w:sz w:val="24"/>
          <w:szCs w:val="24"/>
          <w:highlight w:val="none"/>
        </w:rPr>
        <w:t>供应商支付采购资金。本项目采购资金付款详见第</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章商务要求中付款方式。</w:t>
      </w:r>
    </w:p>
    <w:p w14:paraId="29B63971">
      <w:pPr>
        <w:pStyle w:val="3"/>
        <w:kinsoku/>
        <w:overflowPunct/>
        <w:bidi w:val="0"/>
        <w:ind w:firstLine="643" w:firstLineChars="200"/>
        <w:jc w:val="center"/>
        <w:rPr>
          <w:rFonts w:hint="eastAsia" w:asciiTheme="minorEastAsia" w:hAnsiTheme="minorEastAsia" w:eastAsiaTheme="minorEastAsia" w:cstheme="minorEastAsia"/>
          <w:color w:val="auto"/>
          <w:sz w:val="24"/>
          <w:szCs w:val="24"/>
          <w:highlight w:val="none"/>
        </w:rPr>
      </w:pPr>
      <w:bookmarkStart w:id="81" w:name="_Toc21189_WPSOffice_Level1"/>
      <w:r>
        <w:rPr>
          <w:rFonts w:hint="eastAsia" w:asciiTheme="minorEastAsia" w:hAnsiTheme="minorEastAsia" w:eastAsiaTheme="minorEastAsia" w:cstheme="minorEastAsia"/>
          <w:color w:val="auto"/>
          <w:highlight w:val="none"/>
        </w:rPr>
        <w:t>八、磋商纪律要求</w:t>
      </w:r>
      <w:bookmarkEnd w:id="81"/>
    </w:p>
    <w:p w14:paraId="2378983C">
      <w:pPr>
        <w:tabs>
          <w:tab w:val="left" w:pos="851"/>
        </w:tabs>
        <w:kinsoku/>
        <w:overflowPunct/>
        <w:bidi w:val="0"/>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1.供应商不得具有的情形</w:t>
      </w:r>
    </w:p>
    <w:p w14:paraId="57A44032">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供应商参加本项目磋商不得有下列情形：</w:t>
      </w:r>
    </w:p>
    <w:p w14:paraId="4A3D0247">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（1）提供虚假材料谋取成交；</w:t>
      </w:r>
    </w:p>
    <w:p w14:paraId="21BB81D7">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（2）采取不正当手段诋毁、排挤其他供应商；</w:t>
      </w:r>
    </w:p>
    <w:p w14:paraId="6396F0F8">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（3）与采购人、采购代理机构、或其他供应商恶意串通；</w:t>
      </w:r>
    </w:p>
    <w:p w14:paraId="10FA0B15">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（4）向采购人、采购代理机构、磋商小组成员行贿或者提供其他不正当利益；</w:t>
      </w:r>
    </w:p>
    <w:p w14:paraId="60D84D4A">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（5）在磋商过程中与采购人、采购代理机构进行协商；</w:t>
      </w:r>
    </w:p>
    <w:p w14:paraId="54BE5E50">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（6）成交后无正当理由拒不与采购人签订采购合同；</w:t>
      </w:r>
    </w:p>
    <w:p w14:paraId="23EFF225">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（7）未按照磋商文件确定的事项签订采购合同；</w:t>
      </w:r>
    </w:p>
    <w:p w14:paraId="303BB894">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（8）将采购合同转包或者违规分包；</w:t>
      </w:r>
    </w:p>
    <w:p w14:paraId="38840CBF">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（9）提供假冒伪劣产品；</w:t>
      </w:r>
    </w:p>
    <w:p w14:paraId="38C6889B">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（10）擅自变更、中止或者终止采购合同；</w:t>
      </w:r>
    </w:p>
    <w:p w14:paraId="5628E620">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（11）拒绝有关部门的监督检查或者向监督检查部门提供虚假情况；</w:t>
      </w:r>
    </w:p>
    <w:p w14:paraId="539AABA8">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（12）法律法规规定的其他情形。</w:t>
      </w:r>
    </w:p>
    <w:p w14:paraId="7502FE18">
      <w:pPr>
        <w:tabs>
          <w:tab w:val="left" w:pos="851"/>
        </w:tabs>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供应商有上述情形的，按照规定追究法律责任，具备（1）-（10）条情形之一的，同时将取消被确认为成交供应商的资格或者认定成交无效。</w:t>
      </w:r>
    </w:p>
    <w:p w14:paraId="52AD2E4B">
      <w:pPr>
        <w:pStyle w:val="3"/>
        <w:kinsoku/>
        <w:overflowPunct/>
        <w:bidi w:val="0"/>
        <w:ind w:firstLine="643" w:firstLineChars="200"/>
        <w:jc w:val="center"/>
        <w:rPr>
          <w:rFonts w:hint="eastAsia" w:asciiTheme="minorEastAsia" w:hAnsiTheme="minorEastAsia" w:eastAsiaTheme="minorEastAsia" w:cstheme="minorEastAsia"/>
          <w:color w:val="auto"/>
          <w:sz w:val="24"/>
          <w:szCs w:val="24"/>
          <w:highlight w:val="none"/>
        </w:rPr>
      </w:pPr>
      <w:bookmarkStart w:id="82" w:name="_Toc12262_WPSOffice_Level1"/>
      <w:r>
        <w:rPr>
          <w:rFonts w:hint="eastAsia" w:asciiTheme="minorEastAsia" w:hAnsiTheme="minorEastAsia" w:eastAsiaTheme="minorEastAsia" w:cstheme="minorEastAsia"/>
          <w:color w:val="auto"/>
          <w:highlight w:val="none"/>
        </w:rPr>
        <w:t>九、其  他</w:t>
      </w:r>
      <w:bookmarkEnd w:id="82"/>
    </w:p>
    <w:p w14:paraId="751E5377">
      <w:pPr>
        <w:tabs>
          <w:tab w:val="left" w:pos="851"/>
        </w:tabs>
        <w:kinsoku/>
        <w:overflowPunct/>
        <w:bidi w:val="0"/>
        <w:spacing w:line="460" w:lineRule="exact"/>
        <w:ind w:firstLine="480" w:firstLineChars="200"/>
        <w:jc w:val="left"/>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color w:val="auto"/>
          <w:sz w:val="24"/>
          <w:szCs w:val="24"/>
          <w:highlight w:val="none"/>
        </w:rPr>
        <w:t>本磋商文件中所引相关法律制度规定，在采购活动中有变化的，按照变化后的相关法律制度规定执行。本章规定的内容条款，在本项目递交响应文件截止时间届满后，因相关法律制度规定的变化导致不符合相关法律制度规定的，直接按照变化后的相关法律制度规定执行，本磋商文件不再做调整。</w:t>
      </w:r>
      <w:bookmarkStart w:id="83" w:name="_Toc3745_WPSOffice_Level1"/>
    </w:p>
    <w:p w14:paraId="783462C6">
      <w:pPr>
        <w:kinsoku/>
        <w:overflowPunct/>
        <w:bidi w:val="0"/>
        <w:ind w:firstLine="6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3D84A325">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bookmarkStart w:id="84" w:name="_Toc17683"/>
      <w:r>
        <w:rPr>
          <w:rFonts w:hint="eastAsia" w:asciiTheme="minorEastAsia" w:hAnsiTheme="minorEastAsia" w:eastAsiaTheme="minorEastAsia" w:cstheme="minorEastAsia"/>
          <w:color w:val="auto"/>
          <w:highlight w:val="none"/>
        </w:rPr>
        <w:t>第三章  供应商资格条件要求</w:t>
      </w:r>
      <w:bookmarkEnd w:id="83"/>
      <w:bookmarkEnd w:id="84"/>
    </w:p>
    <w:p w14:paraId="404E902E">
      <w:pPr>
        <w:keepNext/>
        <w:keepLines/>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leftChars="0" w:firstLine="482" w:firstLineChars="200"/>
        <w:textAlignment w:val="auto"/>
        <w:outlineLvl w:val="9"/>
        <w:rPr>
          <w:rFonts w:hint="eastAsia" w:asciiTheme="minorEastAsia" w:hAnsiTheme="minorEastAsia" w:eastAsiaTheme="minorEastAsia" w:cstheme="minorEastAsia"/>
          <w:b/>
          <w:bCs/>
          <w:color w:val="auto"/>
          <w:sz w:val="24"/>
          <w:szCs w:val="24"/>
          <w:highlight w:val="none"/>
        </w:rPr>
      </w:pPr>
      <w:bookmarkStart w:id="85" w:name="_Toc1464_WPSOffice_Level1"/>
      <w:r>
        <w:rPr>
          <w:rFonts w:hint="eastAsia" w:asciiTheme="minorEastAsia" w:hAnsiTheme="minorEastAsia" w:eastAsiaTheme="minorEastAsia" w:cstheme="minorEastAsia"/>
          <w:b/>
          <w:bCs/>
          <w:color w:val="auto"/>
          <w:sz w:val="24"/>
          <w:szCs w:val="24"/>
          <w:highlight w:val="none"/>
          <w:lang w:val="en-US" w:eastAsia="zh-CN" w:bidi="ar-SA"/>
        </w:rPr>
        <w:t>一、</w:t>
      </w:r>
      <w:r>
        <w:rPr>
          <w:rFonts w:hint="eastAsia" w:asciiTheme="minorEastAsia" w:hAnsiTheme="minorEastAsia" w:eastAsiaTheme="minorEastAsia" w:cstheme="minorEastAsia"/>
          <w:b/>
          <w:bCs/>
          <w:color w:val="auto"/>
          <w:sz w:val="24"/>
          <w:szCs w:val="24"/>
          <w:highlight w:val="none"/>
          <w:lang w:eastAsia="zh-CN"/>
        </w:rPr>
        <w:t>供应商</w:t>
      </w:r>
      <w:r>
        <w:rPr>
          <w:rFonts w:hint="eastAsia" w:asciiTheme="minorEastAsia" w:hAnsiTheme="minorEastAsia" w:eastAsiaTheme="minorEastAsia" w:cstheme="minorEastAsia"/>
          <w:b/>
          <w:bCs/>
          <w:color w:val="auto"/>
          <w:sz w:val="24"/>
          <w:szCs w:val="24"/>
          <w:highlight w:val="none"/>
        </w:rPr>
        <w:t>资格、资质性及其他类似效力要求</w:t>
      </w:r>
      <w:bookmarkEnd w:id="85"/>
    </w:p>
    <w:p w14:paraId="7D112973">
      <w:pPr>
        <w:pStyle w:val="61"/>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（一）资格要求</w:t>
      </w:r>
    </w:p>
    <w:p w14:paraId="6836B1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1.具备《中华人民共和国政府采购法》第二十二条规定的条件；</w:t>
      </w:r>
    </w:p>
    <w:p w14:paraId="2747B5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1.1.具备独立的承担民事责任能力；</w:t>
      </w:r>
    </w:p>
    <w:p w14:paraId="0FEC3C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1.2.具有良好的商业信誉和健全的财务会计制度；</w:t>
      </w:r>
    </w:p>
    <w:p w14:paraId="503BD3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1.3.具有依法缴纳税收和社会保障资金的良好记录：</w:t>
      </w:r>
    </w:p>
    <w:p w14:paraId="47B8F0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1.4.具有履行合同所必需的设备和专业技术能力；</w:t>
      </w:r>
    </w:p>
    <w:p w14:paraId="317E15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1.5.参加政府采购活动前三年内，在经营活动中没有重大违法记录；</w:t>
      </w:r>
    </w:p>
    <w:p w14:paraId="7EECC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1.6.法律、行政法规规定的其他条件。</w:t>
      </w:r>
    </w:p>
    <w:p w14:paraId="001703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2.供应商未对本次采购项目提供过整体设计、规范编制或者项目管理、监理、检测等服务；</w:t>
      </w:r>
    </w:p>
    <w:p w14:paraId="6444C3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3.单位负责人为同一人或者存在直接控股、管理关系的不同供应商，不得参加同一合同项下的采购活动；</w:t>
      </w:r>
    </w:p>
    <w:p w14:paraId="2298C9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4.供应商单位及其现任法定代表人/单位负责人、主要负责人不得具有行贿犯罪记录；</w:t>
      </w:r>
    </w:p>
    <w:p w14:paraId="0FABC9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.本项目不接受联合体磋商。</w:t>
      </w:r>
    </w:p>
    <w:p w14:paraId="5F51F3DC">
      <w:pPr>
        <w:pStyle w:val="10"/>
        <w:pageBreakBefore w:val="0"/>
        <w:widowControl w:val="0"/>
        <w:numPr>
          <w:ilvl w:val="0"/>
          <w:numId w:val="3"/>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资质性要求：无</w:t>
      </w:r>
    </w:p>
    <w:p w14:paraId="28283607">
      <w:pPr>
        <w:pStyle w:val="10"/>
        <w:pageBreakBefore w:val="0"/>
        <w:widowControl w:val="0"/>
        <w:numPr>
          <w:ilvl w:val="0"/>
          <w:numId w:val="3"/>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其他类似效力要求：</w:t>
      </w:r>
    </w:p>
    <w:p w14:paraId="79C9B6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bookmarkStart w:id="86" w:name="_Toc24074_WPSOffice_Level1"/>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法定代表人身份证明书原件（法定代表人参加磋商时提供）；</w:t>
      </w:r>
    </w:p>
    <w:p w14:paraId="5C5A2A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Theme="minorEastAsia" w:hAnsiTheme="minorEastAsia" w:eastAsiaTheme="minorEastAsia" w:cstheme="minorEastAsia"/>
          <w:bCs/>
          <w:color w:val="auto"/>
          <w:sz w:val="24"/>
          <w:szCs w:val="24"/>
          <w:highlight w:val="none"/>
          <w:lang w:val="en-US" w:eastAsia="zh-CN"/>
        </w:rPr>
        <w:t>2.</w:t>
      </w:r>
      <w:r>
        <w:rPr>
          <w:rFonts w:hint="eastAsia" w:asciiTheme="minorEastAsia" w:hAnsiTheme="minorEastAsia" w:eastAsiaTheme="minorEastAsia" w:cstheme="minorEastAsia"/>
          <w:bCs/>
          <w:color w:val="auto"/>
          <w:sz w:val="24"/>
          <w:szCs w:val="24"/>
          <w:highlight w:val="none"/>
        </w:rPr>
        <w:t>法定代表人授权委托书原件（非法定代表人参加磋商标时提供）。</w:t>
      </w:r>
    </w:p>
    <w:p w14:paraId="6B04301C">
      <w:pPr>
        <w:kinsoku/>
        <w:overflowPunct/>
        <w:bidi w:val="0"/>
        <w:ind w:firstLine="643" w:firstLineChars="200"/>
        <w:jc w:val="center"/>
        <w:rPr>
          <w:rFonts w:hint="eastAsia" w:asciiTheme="minorEastAsia" w:hAnsiTheme="minorEastAsia" w:eastAsiaTheme="minorEastAsia" w:cstheme="minorEastAsia"/>
          <w:b/>
          <w:color w:val="auto"/>
          <w:sz w:val="32"/>
          <w:szCs w:val="32"/>
          <w:highlight w:val="none"/>
        </w:rPr>
      </w:pPr>
    </w:p>
    <w:p w14:paraId="55E876A5">
      <w:pPr>
        <w:kinsoku/>
        <w:overflowPunct/>
        <w:bidi w:val="0"/>
        <w:ind w:firstLine="883" w:firstLineChars="200"/>
        <w:rPr>
          <w:rFonts w:hint="eastAsia" w:asciiTheme="minorEastAsia" w:hAnsiTheme="minorEastAsia" w:eastAsiaTheme="minorEastAsia" w:cstheme="minorEastAsia"/>
          <w:b/>
          <w:bCs/>
          <w:color w:val="auto"/>
          <w:kern w:val="44"/>
          <w:sz w:val="44"/>
          <w:szCs w:val="44"/>
          <w:highlight w:val="none"/>
          <w:lang w:val="en-US" w:eastAsia="zh-CN" w:bidi="ar-SA"/>
        </w:rPr>
      </w:pPr>
      <w:r>
        <w:rPr>
          <w:rFonts w:hint="eastAsia" w:asciiTheme="minorEastAsia" w:hAnsiTheme="minorEastAsia" w:eastAsiaTheme="minorEastAsia" w:cstheme="minorEastAsia"/>
          <w:b/>
          <w:bCs/>
          <w:color w:val="auto"/>
          <w:kern w:val="44"/>
          <w:sz w:val="44"/>
          <w:szCs w:val="44"/>
          <w:highlight w:val="none"/>
          <w:lang w:val="en-US" w:eastAsia="zh-CN" w:bidi="ar-SA"/>
        </w:rPr>
        <w:br w:type="page"/>
      </w:r>
    </w:p>
    <w:p w14:paraId="1B44DE0B">
      <w:pPr>
        <w:pStyle w:val="2"/>
        <w:keepNext/>
        <w:keepLines/>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Theme="minorEastAsia" w:hAnsiTheme="minorEastAsia" w:eastAsiaTheme="minorEastAsia" w:cstheme="minorEastAsia"/>
          <w:b/>
          <w:bCs/>
          <w:color w:val="auto"/>
          <w:kern w:val="44"/>
          <w:sz w:val="44"/>
          <w:szCs w:val="44"/>
          <w:highlight w:val="none"/>
          <w:lang w:val="en-US" w:eastAsia="zh-CN" w:bidi="ar-SA"/>
        </w:rPr>
      </w:pPr>
      <w:bookmarkStart w:id="87" w:name="_Toc16045"/>
      <w:r>
        <w:rPr>
          <w:rFonts w:hint="eastAsia" w:asciiTheme="minorEastAsia" w:hAnsiTheme="minorEastAsia" w:eastAsiaTheme="minorEastAsia" w:cstheme="minorEastAsia"/>
          <w:b/>
          <w:bCs/>
          <w:color w:val="auto"/>
          <w:kern w:val="44"/>
          <w:sz w:val="44"/>
          <w:szCs w:val="44"/>
          <w:highlight w:val="none"/>
          <w:lang w:val="en-US" w:eastAsia="zh-CN" w:bidi="ar-SA"/>
        </w:rPr>
        <w:t>第四章  供应商资格证明材料</w:t>
      </w:r>
      <w:bookmarkEnd w:id="86"/>
      <w:bookmarkEnd w:id="87"/>
    </w:p>
    <w:p w14:paraId="003A1214">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Theme="minorEastAsia" w:hAnsiTheme="minorEastAsia" w:eastAsiaTheme="minorEastAsia" w:cstheme="minorEastAsia"/>
          <w:b w:val="0"/>
          <w:bCs w:val="0"/>
          <w:color w:val="auto"/>
          <w:sz w:val="24"/>
          <w:szCs w:val="24"/>
          <w:highlight w:val="none"/>
        </w:rPr>
      </w:pPr>
      <w:bookmarkStart w:id="88" w:name="_Toc27345_WPSOffice_Level1"/>
      <w:r>
        <w:rPr>
          <w:rFonts w:hint="eastAsia" w:asciiTheme="minorEastAsia" w:hAnsiTheme="minorEastAsia" w:eastAsiaTheme="minorEastAsia" w:cstheme="minorEastAsia"/>
          <w:b w:val="0"/>
          <w:bCs w:val="0"/>
          <w:color w:val="auto"/>
          <w:sz w:val="24"/>
          <w:szCs w:val="24"/>
          <w:highlight w:val="none"/>
        </w:rPr>
        <w:t>一、应当提供的</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资格、资质性及其他类似效力要求的相关证明材料</w:t>
      </w:r>
      <w:bookmarkEnd w:id="88"/>
    </w:p>
    <w:p w14:paraId="1DD26D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1.具有独立承担民事责任的能力：</w:t>
      </w:r>
    </w:p>
    <w:p w14:paraId="39C43B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①供应商为企业（包括合伙企业）、个体工商户的提供工商营业执照或提供由工商行政管理部门核发的法人或者其他组织统一社会信用代码的营业执照</w:t>
      </w:r>
      <w:r>
        <w:rPr>
          <w:rFonts w:hint="eastAsia" w:asciiTheme="minorEastAsia" w:hAnsiTheme="minorEastAsia" w:eastAsiaTheme="minorEastAsia" w:cstheme="minorEastAsia"/>
          <w:b w:val="0"/>
          <w:bCs w:val="0"/>
          <w:color w:val="auto"/>
          <w:sz w:val="24"/>
          <w:szCs w:val="24"/>
          <w:highlight w:val="none"/>
          <w:lang w:val="en-US" w:eastAsia="zh-CN"/>
        </w:rPr>
        <w:t>复印件</w:t>
      </w:r>
      <w:r>
        <w:rPr>
          <w:rFonts w:hint="eastAsia" w:asciiTheme="minorEastAsia" w:hAnsiTheme="minorEastAsia" w:eastAsiaTheme="minorEastAsia" w:cstheme="minorEastAsia"/>
          <w:b w:val="0"/>
          <w:bCs w:val="0"/>
          <w:color w:val="auto"/>
          <w:sz w:val="24"/>
          <w:szCs w:val="24"/>
          <w:highlight w:val="none"/>
        </w:rPr>
        <w:t>；②供应商属于银行、保险、石油石化、电力、电信等有行业特殊情况的，提供企业分支机构营业执照或统一社会信用代码的营业执照扫</w:t>
      </w:r>
      <w:r>
        <w:rPr>
          <w:rFonts w:hint="eastAsia" w:asciiTheme="minorEastAsia" w:hAnsiTheme="minorEastAsia" w:eastAsiaTheme="minorEastAsia" w:cstheme="minorEastAsia"/>
          <w:b w:val="0"/>
          <w:bCs w:val="0"/>
          <w:color w:val="auto"/>
          <w:sz w:val="24"/>
          <w:szCs w:val="24"/>
          <w:highlight w:val="none"/>
          <w:lang w:val="en-US" w:eastAsia="zh-CN"/>
        </w:rPr>
        <w:t>复印件</w:t>
      </w:r>
      <w:r>
        <w:rPr>
          <w:rFonts w:hint="eastAsia" w:asciiTheme="minorEastAsia" w:hAnsiTheme="minorEastAsia" w:eastAsiaTheme="minorEastAsia" w:cstheme="minorEastAsia"/>
          <w:b w:val="0"/>
          <w:bCs w:val="0"/>
          <w:color w:val="auto"/>
          <w:sz w:val="24"/>
          <w:szCs w:val="24"/>
          <w:highlight w:val="none"/>
        </w:rPr>
        <w:t>；③供应商为其他组织的，提供事业单位法人证书或执业许可证等证明文件</w:t>
      </w:r>
      <w:r>
        <w:rPr>
          <w:rFonts w:hint="eastAsia" w:asciiTheme="minorEastAsia" w:hAnsiTheme="minorEastAsia" w:eastAsiaTheme="minorEastAsia" w:cstheme="minorEastAsia"/>
          <w:b w:val="0"/>
          <w:bCs w:val="0"/>
          <w:color w:val="auto"/>
          <w:sz w:val="24"/>
          <w:szCs w:val="24"/>
          <w:highlight w:val="none"/>
          <w:lang w:val="en-US" w:eastAsia="zh-CN"/>
        </w:rPr>
        <w:t>复印件</w:t>
      </w:r>
      <w:r>
        <w:rPr>
          <w:rFonts w:hint="eastAsia" w:asciiTheme="minorEastAsia" w:hAnsiTheme="minorEastAsia" w:eastAsiaTheme="minorEastAsia" w:cstheme="minorEastAsia"/>
          <w:b w:val="0"/>
          <w:bCs w:val="0"/>
          <w:color w:val="auto"/>
          <w:sz w:val="24"/>
          <w:szCs w:val="24"/>
          <w:highlight w:val="none"/>
        </w:rPr>
        <w:t>。</w:t>
      </w:r>
    </w:p>
    <w:p w14:paraId="40F074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2.具有良好的商业信誉和健全的财务会计制度</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健全的财务会计制度提供下述证明资料之一</w:t>
      </w:r>
      <w:r>
        <w:rPr>
          <w:rFonts w:hint="eastAsia" w:asciiTheme="minorEastAsia" w:hAnsiTheme="minorEastAsia" w:eastAsiaTheme="minorEastAsia" w:cstheme="minorEastAsia"/>
          <w:b w:val="0"/>
          <w:bCs w:val="0"/>
          <w:color w:val="auto"/>
          <w:sz w:val="24"/>
          <w:szCs w:val="24"/>
          <w:highlight w:val="none"/>
          <w:lang w:eastAsia="zh-CN"/>
        </w:rPr>
        <w:t>：</w:t>
      </w:r>
    </w:p>
    <w:p w14:paraId="5AD164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①可提供20</w:t>
      </w:r>
      <w:r>
        <w:rPr>
          <w:rFonts w:hint="eastAsia" w:asciiTheme="minorEastAsia" w:hAnsiTheme="minorEastAsia" w:eastAsiaTheme="minorEastAsia" w:cstheme="minorEastAsia"/>
          <w:b w:val="0"/>
          <w:bCs w:val="0"/>
          <w:color w:val="auto"/>
          <w:sz w:val="24"/>
          <w:szCs w:val="24"/>
          <w:highlight w:val="none"/>
          <w:lang w:val="en-US" w:eastAsia="zh-CN"/>
        </w:rPr>
        <w:t>23或2024</w:t>
      </w:r>
      <w:r>
        <w:rPr>
          <w:rFonts w:hint="eastAsia" w:asciiTheme="minorEastAsia" w:hAnsiTheme="minorEastAsia" w:eastAsiaTheme="minorEastAsia" w:cstheme="minorEastAsia"/>
          <w:b w:val="0"/>
          <w:bCs w:val="0"/>
          <w:color w:val="auto"/>
          <w:sz w:val="24"/>
          <w:szCs w:val="24"/>
          <w:highlight w:val="none"/>
        </w:rPr>
        <w:t>年度经审计的财务报告复印件或</w:t>
      </w:r>
      <w:r>
        <w:rPr>
          <w:rFonts w:hint="eastAsia" w:ascii="宋体" w:hAnsi="宋体" w:cs="宋体"/>
          <w:b w:val="0"/>
          <w:bCs w:val="0"/>
          <w:color w:val="auto"/>
          <w:sz w:val="24"/>
          <w:highlight w:val="none"/>
        </w:rPr>
        <w:t>供应商内部的财务报表复印件（至少包含资产负债表</w:t>
      </w:r>
      <w:r>
        <w:rPr>
          <w:rFonts w:hint="eastAsia" w:ascii="宋体" w:hAnsi="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利润表</w:t>
      </w:r>
      <w:r>
        <w:rPr>
          <w:rFonts w:hint="eastAsia" w:ascii="宋体" w:hAnsi="宋体" w:cs="宋体"/>
          <w:b w:val="0"/>
          <w:bCs w:val="0"/>
          <w:color w:val="auto"/>
          <w:sz w:val="24"/>
          <w:highlight w:val="none"/>
        </w:rPr>
        <w:t>）</w:t>
      </w:r>
      <w:r>
        <w:rPr>
          <w:rFonts w:hint="eastAsia" w:asciiTheme="minorEastAsia" w:hAnsiTheme="minorEastAsia" w:eastAsiaTheme="minorEastAsia" w:cstheme="minorEastAsia"/>
          <w:b w:val="0"/>
          <w:bCs w:val="0"/>
          <w:color w:val="auto"/>
          <w:sz w:val="24"/>
          <w:szCs w:val="24"/>
          <w:highlight w:val="none"/>
        </w:rPr>
        <w:t>；</w:t>
      </w:r>
    </w:p>
    <w:p w14:paraId="7EF580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②可提供距文件递交截止日一年内银行出具的资信证明（复印件）；</w:t>
      </w:r>
    </w:p>
    <w:p w14:paraId="13A40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rPr>
        <w:t>③供应商注册时间至文件递交截止日不足一年的，也可提供在工商备案的公司章程（复印件）</w:t>
      </w:r>
      <w:r>
        <w:rPr>
          <w:rFonts w:hint="eastAsia" w:asciiTheme="minorEastAsia" w:hAnsiTheme="minorEastAsia" w:eastAsiaTheme="minorEastAsia" w:cstheme="minorEastAsia"/>
          <w:b w:val="0"/>
          <w:bCs w:val="0"/>
          <w:color w:val="auto"/>
          <w:sz w:val="24"/>
          <w:szCs w:val="24"/>
          <w:highlight w:val="none"/>
          <w:lang w:eastAsia="zh-CN"/>
        </w:rPr>
        <w:t>；</w:t>
      </w:r>
    </w:p>
    <w:p w14:paraId="52AF110C">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fldChar w:fldCharType="begin"/>
      </w:r>
      <w:r>
        <w:rPr>
          <w:rFonts w:hint="eastAsia" w:asciiTheme="minorEastAsia" w:hAnsiTheme="minorEastAsia" w:eastAsiaTheme="minorEastAsia" w:cstheme="minorEastAsia"/>
          <w:b w:val="0"/>
          <w:bCs w:val="0"/>
          <w:color w:val="auto"/>
          <w:sz w:val="24"/>
          <w:szCs w:val="24"/>
          <w:highlight w:val="none"/>
        </w:rPr>
        <w:instrText xml:space="preserve"> = 4 \* GB3 \* MERGEFORMAT </w:instrText>
      </w:r>
      <w:r>
        <w:rPr>
          <w:rFonts w:hint="eastAsia" w:asciiTheme="minorEastAsia" w:hAnsiTheme="minorEastAsia" w:eastAsiaTheme="minorEastAsia" w:cstheme="minorEastAsia"/>
          <w:b w:val="0"/>
          <w:bCs w:val="0"/>
          <w:color w:val="auto"/>
          <w:sz w:val="24"/>
          <w:szCs w:val="24"/>
          <w:highlight w:val="none"/>
        </w:rPr>
        <w:fldChar w:fldCharType="separate"/>
      </w:r>
      <w:r>
        <w:rPr>
          <w:rFonts w:hint="eastAsia" w:asciiTheme="minorEastAsia" w:hAnsiTheme="minorEastAsia" w:eastAsiaTheme="minorEastAsia" w:cstheme="minorEastAsia"/>
          <w:b w:val="0"/>
          <w:bCs w:val="0"/>
          <w:color w:val="auto"/>
          <w:sz w:val="24"/>
          <w:szCs w:val="24"/>
          <w:highlight w:val="none"/>
        </w:rPr>
        <w:t>④</w:t>
      </w:r>
      <w:r>
        <w:rPr>
          <w:rFonts w:hint="eastAsia" w:asciiTheme="minorEastAsia" w:hAnsiTheme="minorEastAsia" w:eastAsiaTheme="minorEastAsia" w:cstheme="minorEastAsia"/>
          <w:b w:val="0"/>
          <w:bCs w:val="0"/>
          <w:color w:val="auto"/>
          <w:sz w:val="24"/>
          <w:szCs w:val="24"/>
          <w:highlight w:val="none"/>
        </w:rPr>
        <w:fldChar w:fldCharType="end"/>
      </w:r>
      <w:r>
        <w:rPr>
          <w:rFonts w:hint="eastAsia" w:asciiTheme="minorEastAsia" w:hAnsiTheme="minorEastAsia" w:eastAsiaTheme="minorEastAsia" w:cstheme="minorEastAsia"/>
          <w:b w:val="0"/>
          <w:bCs w:val="0"/>
          <w:color w:val="auto"/>
          <w:sz w:val="24"/>
          <w:szCs w:val="24"/>
          <w:highlight w:val="none"/>
          <w:lang w:val="en-US" w:eastAsia="zh-CN"/>
        </w:rPr>
        <w:t>可</w:t>
      </w:r>
      <w:r>
        <w:rPr>
          <w:rFonts w:hint="eastAsia" w:asciiTheme="minorEastAsia" w:hAnsiTheme="minorEastAsia" w:eastAsiaTheme="minorEastAsia" w:cstheme="minorEastAsia"/>
          <w:b w:val="0"/>
          <w:bCs w:val="0"/>
          <w:color w:val="auto"/>
          <w:sz w:val="24"/>
          <w:szCs w:val="24"/>
          <w:highlight w:val="none"/>
        </w:rPr>
        <w:t>提供承诺函（格式自拟）。</w:t>
      </w:r>
    </w:p>
    <w:p w14:paraId="640CD8B4">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3.具有履行合同所必须的设备和专业技术能力的证明材料（提供承诺函，格式自拟）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p>
    <w:p w14:paraId="75CD206F">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4.具有依法缴纳税收和社会保障资金的良好记录（提供承诺函，格式自拟）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 </w:t>
      </w:r>
    </w:p>
    <w:p w14:paraId="2A59C525">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5.参加本次采购活动前三年内，在经营活动中没有重大违法记录（提供承诺函，格式自拟）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p>
    <w:p w14:paraId="25326BB8">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rPr>
        <w:t>6.</w:t>
      </w:r>
      <w:r>
        <w:rPr>
          <w:rFonts w:hint="eastAsia" w:asciiTheme="minorEastAsia" w:hAnsiTheme="minorEastAsia" w:eastAsiaTheme="minorEastAsia" w:cstheme="minorEastAsia"/>
          <w:b w:val="0"/>
          <w:bCs w:val="0"/>
          <w:color w:val="auto"/>
          <w:sz w:val="24"/>
          <w:szCs w:val="24"/>
          <w:highlight w:val="none"/>
          <w:lang w:val="en-US" w:eastAsia="zh-CN"/>
        </w:rPr>
        <w:t>具有法律、行政法规规定的其他条件</w:t>
      </w:r>
      <w:r>
        <w:rPr>
          <w:rFonts w:hint="eastAsia" w:asciiTheme="minorEastAsia" w:hAnsiTheme="minorEastAsia" w:eastAsiaTheme="minorEastAsia" w:cstheme="minorEastAsia"/>
          <w:b w:val="0"/>
          <w:bCs w:val="0"/>
          <w:color w:val="auto"/>
          <w:sz w:val="24"/>
          <w:szCs w:val="24"/>
          <w:highlight w:val="none"/>
        </w:rPr>
        <w:t>（提供承诺函，格式自拟）</w:t>
      </w:r>
      <w:r>
        <w:rPr>
          <w:rFonts w:hint="eastAsia" w:asciiTheme="minorEastAsia" w:hAnsiTheme="minorEastAsia" w:eastAsiaTheme="minorEastAsia" w:cstheme="minorEastAsia"/>
          <w:b w:val="0"/>
          <w:bCs w:val="0"/>
          <w:color w:val="auto"/>
          <w:sz w:val="24"/>
          <w:szCs w:val="24"/>
          <w:highlight w:val="none"/>
          <w:lang w:val="en-US" w:eastAsia="zh-CN"/>
        </w:rPr>
        <w:t>。</w:t>
      </w:r>
    </w:p>
    <w:p w14:paraId="502DAA1D">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7.</w:t>
      </w:r>
      <w:r>
        <w:rPr>
          <w:rFonts w:hint="eastAsia" w:asciiTheme="minorEastAsia" w:hAnsiTheme="minorEastAsia" w:eastAsiaTheme="minorEastAsia" w:cstheme="minorEastAsia"/>
          <w:b w:val="0"/>
          <w:bCs w:val="0"/>
          <w:color w:val="auto"/>
          <w:sz w:val="24"/>
          <w:szCs w:val="24"/>
          <w:highlight w:val="none"/>
        </w:rPr>
        <w:t>供应商的法定代表人或单位负责人为同一人或者存在直接控股、管理关系的不同供应商不得参加同一合同项下的采购活动（提供承诺函，格式自拟）。</w:t>
      </w:r>
    </w:p>
    <w:p w14:paraId="58BEA12B">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bookmarkStart w:id="89" w:name="_Toc15689_WPSOffice_Level1"/>
      <w:r>
        <w:rPr>
          <w:rFonts w:hint="eastAsia" w:asciiTheme="minorEastAsia" w:hAnsiTheme="minorEastAsia" w:eastAsiaTheme="minorEastAsia" w:cstheme="minorEastAsia"/>
          <w:b w:val="0"/>
          <w:bCs w:val="0"/>
          <w:color w:val="auto"/>
          <w:sz w:val="24"/>
          <w:szCs w:val="24"/>
          <w:highlight w:val="none"/>
          <w:lang w:val="en-US" w:eastAsia="zh-CN"/>
        </w:rPr>
        <w:t>8.</w:t>
      </w:r>
      <w:r>
        <w:rPr>
          <w:rFonts w:hint="eastAsia" w:asciiTheme="minorEastAsia" w:hAnsiTheme="minorEastAsia" w:eastAsiaTheme="minorEastAsia" w:cstheme="minorEastAsia"/>
          <w:b w:val="0"/>
          <w:bCs w:val="0"/>
          <w:color w:val="auto"/>
          <w:sz w:val="24"/>
          <w:szCs w:val="24"/>
          <w:highlight w:val="none"/>
        </w:rPr>
        <w:t>供应商未对本次采购项目提供过整体设计、规范编制或者项目管理、监理、检测等服务（提供承诺函，格式自拟）。</w:t>
      </w:r>
    </w:p>
    <w:p w14:paraId="40937CB1">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9.</w:t>
      </w:r>
      <w:r>
        <w:rPr>
          <w:rFonts w:hint="eastAsia" w:asciiTheme="minorEastAsia" w:hAnsiTheme="minorEastAsia" w:eastAsiaTheme="minorEastAsia" w:cstheme="minorEastAsia"/>
          <w:b w:val="0"/>
          <w:bCs w:val="0"/>
          <w:color w:val="auto"/>
          <w:sz w:val="24"/>
          <w:szCs w:val="24"/>
          <w:highlight w:val="none"/>
        </w:rPr>
        <w:t>供应商单位及其现任法定代表人</w:t>
      </w:r>
      <w:r>
        <w:rPr>
          <w:rFonts w:hint="eastAsia" w:asciiTheme="minorEastAsia" w:hAnsiTheme="minorEastAsia" w:eastAsiaTheme="minorEastAsia" w:cstheme="minorEastAsia"/>
          <w:b w:val="0"/>
          <w:bCs w:val="0"/>
          <w:color w:val="auto"/>
          <w:sz w:val="24"/>
          <w:szCs w:val="24"/>
          <w:highlight w:val="none"/>
          <w:lang w:val="en-US" w:eastAsia="zh-CN"/>
        </w:rPr>
        <w:t>/单位负责人、主要负责人</w:t>
      </w:r>
      <w:r>
        <w:rPr>
          <w:rFonts w:hint="eastAsia" w:asciiTheme="minorEastAsia" w:hAnsiTheme="minorEastAsia" w:eastAsiaTheme="minorEastAsia" w:cstheme="minorEastAsia"/>
          <w:b w:val="0"/>
          <w:bCs w:val="0"/>
          <w:color w:val="auto"/>
          <w:sz w:val="24"/>
          <w:szCs w:val="24"/>
          <w:highlight w:val="none"/>
        </w:rPr>
        <w:t>不得具有行贿犯罪记录（提供承诺函，格式自拟）</w:t>
      </w:r>
      <w:r>
        <w:rPr>
          <w:rFonts w:hint="eastAsia" w:asciiTheme="minorEastAsia" w:hAnsiTheme="minorEastAsia" w:eastAsiaTheme="minorEastAsia" w:cstheme="minorEastAsia"/>
          <w:b w:val="0"/>
          <w:bCs w:val="0"/>
          <w:color w:val="auto"/>
          <w:sz w:val="24"/>
          <w:szCs w:val="24"/>
          <w:highlight w:val="none"/>
          <w:lang w:eastAsia="zh-CN"/>
        </w:rPr>
        <w:t>。</w:t>
      </w:r>
    </w:p>
    <w:p w14:paraId="6B8A83A0">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eastAsia="zh-CN"/>
        </w:rPr>
      </w:pPr>
      <w:r>
        <w:rPr>
          <w:rFonts w:hint="eastAsia" w:asciiTheme="minorEastAsia" w:hAnsiTheme="minorEastAsia" w:eastAsiaTheme="minorEastAsia" w:cstheme="minorEastAsia"/>
          <w:b w:val="0"/>
          <w:bCs w:val="0"/>
          <w:color w:val="auto"/>
          <w:sz w:val="24"/>
          <w:szCs w:val="24"/>
          <w:highlight w:val="none"/>
          <w:lang w:val="en-US" w:eastAsia="zh-CN"/>
        </w:rPr>
        <w:t>10.</w:t>
      </w:r>
      <w:r>
        <w:rPr>
          <w:rFonts w:hint="eastAsia" w:asciiTheme="minorEastAsia" w:hAnsiTheme="minorEastAsia" w:eastAsiaTheme="minorEastAsia" w:cstheme="minorEastAsia"/>
          <w:b w:val="0"/>
          <w:bCs w:val="0"/>
          <w:color w:val="auto"/>
          <w:sz w:val="24"/>
          <w:szCs w:val="24"/>
          <w:highlight w:val="none"/>
        </w:rPr>
        <w:t>供应商“截至</w:t>
      </w:r>
      <w:r>
        <w:rPr>
          <w:rFonts w:hint="eastAsia" w:asciiTheme="minorEastAsia" w:hAnsiTheme="minorEastAsia" w:eastAsiaTheme="minorEastAsia" w:cstheme="minorEastAsia"/>
          <w:b w:val="0"/>
          <w:bCs w:val="0"/>
          <w:color w:val="auto"/>
          <w:sz w:val="24"/>
          <w:szCs w:val="24"/>
          <w:highlight w:val="none"/>
          <w:lang w:val="en-US" w:eastAsia="zh-CN"/>
        </w:rPr>
        <w:t>磋商</w:t>
      </w:r>
      <w:r>
        <w:rPr>
          <w:rFonts w:hint="eastAsia" w:asciiTheme="minorEastAsia" w:hAnsiTheme="minorEastAsia" w:eastAsiaTheme="minorEastAsia" w:cstheme="minorEastAsia"/>
          <w:b w:val="0"/>
          <w:bCs w:val="0"/>
          <w:color w:val="auto"/>
          <w:sz w:val="24"/>
          <w:szCs w:val="24"/>
          <w:highlight w:val="none"/>
        </w:rPr>
        <w:t>截止日未被列入失信被执行人、重大税收违法失信主体、政府采购严重违法失信行为记录名单”</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本项供应商无需提供，采购人或采购代理机构将于本项目磋商截止日在‘信用中国’网站、 ‘中国政府采购网’网站等渠道对供应商进行信用记录查询，并将查询记录存档。凡被列入失信被执行人、重大税收违法案件当事人名单、政府采购严重违法失信行为记录名单的，视为存在不良信用记录，参与本项目的将被拒绝</w:t>
      </w:r>
      <w:r>
        <w:rPr>
          <w:rFonts w:hint="eastAsia" w:asciiTheme="minorEastAsia" w:hAnsiTheme="minorEastAsia" w:eastAsiaTheme="minorEastAsia" w:cstheme="minorEastAsia"/>
          <w:b w:val="0"/>
          <w:bCs w:val="0"/>
          <w:color w:val="auto"/>
          <w:sz w:val="24"/>
          <w:szCs w:val="24"/>
          <w:highlight w:val="none"/>
          <w:lang w:eastAsia="zh-CN"/>
        </w:rPr>
        <w:t>）</w:t>
      </w:r>
    </w:p>
    <w:p w14:paraId="672FA5B1">
      <w:pPr>
        <w:pStyle w:val="61"/>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cs="宋体"/>
          <w:b w:val="0"/>
          <w:bCs w:val="0"/>
          <w:color w:val="auto"/>
          <w:sz w:val="24"/>
          <w:szCs w:val="24"/>
          <w:highlight w:val="none"/>
          <w:lang w:val="en-US" w:eastAsia="zh-CN" w:bidi="ar-SA"/>
        </w:rPr>
        <w:t>11.</w:t>
      </w:r>
      <w:r>
        <w:rPr>
          <w:rFonts w:hint="eastAsia" w:asciiTheme="minorEastAsia" w:hAnsiTheme="minorEastAsia" w:eastAsiaTheme="minorEastAsia" w:cstheme="minorEastAsia"/>
          <w:b w:val="0"/>
          <w:bCs w:val="0"/>
          <w:color w:val="auto"/>
          <w:sz w:val="24"/>
          <w:szCs w:val="24"/>
          <w:highlight w:val="none"/>
        </w:rPr>
        <w:t>本项目不接受联合体</w:t>
      </w:r>
      <w:r>
        <w:rPr>
          <w:rFonts w:hint="eastAsia" w:asciiTheme="minorEastAsia" w:hAnsiTheme="minorEastAsia" w:eastAsiaTheme="minorEastAsia" w:cstheme="minorEastAsia"/>
          <w:b w:val="0"/>
          <w:bCs w:val="0"/>
          <w:color w:val="auto"/>
          <w:sz w:val="24"/>
          <w:szCs w:val="24"/>
          <w:highlight w:val="none"/>
          <w:lang w:val="en-US" w:eastAsia="zh-CN"/>
        </w:rPr>
        <w:t>磋商</w:t>
      </w:r>
      <w:r>
        <w:rPr>
          <w:rFonts w:hint="eastAsia" w:asciiTheme="minorEastAsia" w:hAnsiTheme="minorEastAsia" w:eastAsiaTheme="minorEastAsia" w:cstheme="minorEastAsia"/>
          <w:b w:val="0"/>
          <w:bCs w:val="0"/>
          <w:color w:val="auto"/>
          <w:sz w:val="24"/>
          <w:szCs w:val="24"/>
          <w:highlight w:val="none"/>
        </w:rPr>
        <w:t>（提供承诺函，格式自拟）</w:t>
      </w:r>
      <w:r>
        <w:rPr>
          <w:rFonts w:hint="eastAsia" w:asciiTheme="minorEastAsia" w:hAnsiTheme="minorEastAsia" w:eastAsiaTheme="minorEastAsia" w:cstheme="minorEastAsia"/>
          <w:b w:val="0"/>
          <w:bCs w:val="0"/>
          <w:color w:val="auto"/>
          <w:sz w:val="24"/>
          <w:szCs w:val="24"/>
          <w:highlight w:val="none"/>
          <w:lang w:eastAsia="zh-CN"/>
        </w:rPr>
        <w:t>。</w:t>
      </w:r>
    </w:p>
    <w:p w14:paraId="3BB1D9A4">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rPr>
        <w:t>二、其它类似效力要求相关证明材料：</w:t>
      </w:r>
      <w:bookmarkEnd w:id="89"/>
    </w:p>
    <w:p w14:paraId="45E8759B">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rPr>
        <w:t>1.</w:t>
      </w:r>
      <w:r>
        <w:rPr>
          <w:rFonts w:hint="eastAsia" w:asciiTheme="minorEastAsia" w:hAnsiTheme="minorEastAsia" w:eastAsiaTheme="minorEastAsia" w:cstheme="minorEastAsia"/>
          <w:b w:val="0"/>
          <w:bCs w:val="0"/>
          <w:color w:val="auto"/>
          <w:kern w:val="2"/>
          <w:sz w:val="24"/>
          <w:szCs w:val="24"/>
          <w:highlight w:val="none"/>
        </w:rPr>
        <w:t>法定代表人/单位负责人身份证明材料复印件；</w:t>
      </w:r>
    </w:p>
    <w:p w14:paraId="6907C36F">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rPr>
      </w:pPr>
      <w:r>
        <w:rPr>
          <w:rFonts w:hint="eastAsia" w:asciiTheme="minorEastAsia" w:hAnsiTheme="minorEastAsia" w:eastAsiaTheme="minorEastAsia" w:cstheme="minorEastAsia"/>
          <w:b w:val="0"/>
          <w:bCs w:val="0"/>
          <w:color w:val="auto"/>
          <w:kern w:val="2"/>
          <w:sz w:val="24"/>
          <w:szCs w:val="24"/>
          <w:highlight w:val="none"/>
          <w:lang w:val="en-US" w:eastAsia="zh-CN"/>
        </w:rPr>
        <w:t>2.</w:t>
      </w:r>
      <w:r>
        <w:rPr>
          <w:rFonts w:hint="eastAsia" w:asciiTheme="minorEastAsia" w:hAnsiTheme="minorEastAsia" w:eastAsiaTheme="minorEastAsia" w:cstheme="minorEastAsia"/>
          <w:b w:val="0"/>
          <w:bCs w:val="0"/>
          <w:color w:val="auto"/>
          <w:kern w:val="2"/>
          <w:sz w:val="24"/>
          <w:szCs w:val="24"/>
          <w:highlight w:val="none"/>
        </w:rPr>
        <w:t>法定代表人/单位负责人授权代理书原件及代理人身份证明材料复印件（注：①法定代表人/单位负责人授权代理书原件需加盖公章；②如响应文件均由供应商法定代表人/单位负责人签字的且法定代表人/单位负责人本人参与磋商的，则可不提供。）；</w:t>
      </w:r>
    </w:p>
    <w:p w14:paraId="310F53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p>
    <w:p w14:paraId="43A38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注：1</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以上要求供应商提供的资格证明文件复印件必须加盖供应商公章（鲜章）；</w:t>
      </w:r>
    </w:p>
    <w:p w14:paraId="46E941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val="0"/>
          <w:bCs w:val="0"/>
          <w:color w:val="auto"/>
          <w:sz w:val="24"/>
          <w:szCs w:val="24"/>
          <w:highlight w:val="none"/>
        </w:rPr>
        <w:t>2</w:t>
      </w:r>
      <w:r>
        <w:rPr>
          <w:rFonts w:hint="eastAsia" w:asciiTheme="minorEastAsia" w:hAnsiTheme="minorEastAsia" w:eastAsiaTheme="minorEastAsia" w:cstheme="minorEastAsia"/>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rPr>
        <w:t xml:space="preserve">供应商应对其所提供的资格证明材料的来源的合法性、真实性负责。 </w:t>
      </w:r>
    </w:p>
    <w:p w14:paraId="7AB2845E">
      <w:pPr>
        <w:kinsoku/>
        <w:overflowPunct/>
        <w:bidi w:val="0"/>
        <w:spacing w:line="400" w:lineRule="exact"/>
        <w:ind w:firstLine="643" w:firstLineChars="200"/>
        <w:jc w:val="center"/>
        <w:rPr>
          <w:rFonts w:hint="eastAsia" w:asciiTheme="minorEastAsia" w:hAnsiTheme="minorEastAsia" w:eastAsiaTheme="minorEastAsia" w:cstheme="minorEastAsia"/>
          <w:b/>
          <w:color w:val="auto"/>
          <w:sz w:val="32"/>
          <w:szCs w:val="32"/>
          <w:highlight w:val="none"/>
        </w:rPr>
      </w:pPr>
      <w:bookmarkStart w:id="90" w:name="_Toc18548_WPSOffice_Level1"/>
    </w:p>
    <w:p w14:paraId="3A325888">
      <w:pPr>
        <w:kinsoku/>
        <w:overflowPunct/>
        <w:bidi w:val="0"/>
        <w:ind w:firstLine="680" w:firstLineChars="200"/>
        <w:rPr>
          <w:rFonts w:hint="eastAsia" w:asciiTheme="minorEastAsia" w:hAnsiTheme="minorEastAsia" w:eastAsiaTheme="minorEastAsia" w:cstheme="minorEastAsia"/>
          <w:color w:val="auto"/>
          <w:highlight w:val="none"/>
        </w:rPr>
      </w:pPr>
      <w:bookmarkStart w:id="91" w:name="_Toc21403"/>
      <w:r>
        <w:rPr>
          <w:rFonts w:hint="eastAsia" w:asciiTheme="minorEastAsia" w:hAnsiTheme="minorEastAsia" w:eastAsiaTheme="minorEastAsia" w:cstheme="minorEastAsia"/>
          <w:color w:val="auto"/>
          <w:highlight w:val="none"/>
        </w:rPr>
        <w:br w:type="page"/>
      </w:r>
    </w:p>
    <w:p w14:paraId="6DB1F1EE">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第五章  采购项目一般服务、商务要求</w:t>
      </w:r>
      <w:bookmarkEnd w:id="90"/>
      <w:bookmarkEnd w:id="91"/>
    </w:p>
    <w:p w14:paraId="30386D5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b w:val="0"/>
          <w:bCs w:val="0"/>
          <w:color w:val="auto"/>
          <w:sz w:val="32"/>
          <w:szCs w:val="32"/>
          <w:highlight w:val="none"/>
          <w:lang w:val="en-US"/>
        </w:rPr>
      </w:pPr>
      <w:bookmarkStart w:id="92" w:name="_Toc15418"/>
      <w:bookmarkStart w:id="93" w:name="_Toc3099"/>
      <w:bookmarkStart w:id="94" w:name="_Toc5869_WPSOffice_Level2"/>
      <w:r>
        <w:rPr>
          <w:rFonts w:hint="eastAsia" w:ascii="黑体" w:hAnsi="黑体" w:eastAsia="黑体" w:cs="黑体"/>
          <w:b w:val="0"/>
          <w:bCs w:val="0"/>
          <w:color w:val="auto"/>
          <w:sz w:val="32"/>
          <w:szCs w:val="32"/>
          <w:highlight w:val="none"/>
          <w:lang w:val="en-US" w:eastAsia="zh-CN"/>
        </w:rPr>
        <w:t>一、</w:t>
      </w:r>
      <w:bookmarkEnd w:id="92"/>
      <w:bookmarkEnd w:id="93"/>
      <w:bookmarkEnd w:id="94"/>
      <w:r>
        <w:rPr>
          <w:rFonts w:hint="eastAsia" w:ascii="黑体" w:hAnsi="黑体" w:eastAsia="黑体" w:cs="黑体"/>
          <w:b w:val="0"/>
          <w:bCs w:val="0"/>
          <w:color w:val="auto"/>
          <w:sz w:val="32"/>
          <w:szCs w:val="32"/>
          <w:highlight w:val="none"/>
          <w:lang w:val="en-US" w:eastAsia="zh-CN"/>
        </w:rPr>
        <w:t>内容内容★</w:t>
      </w:r>
    </w:p>
    <w:tbl>
      <w:tblPr>
        <w:tblStyle w:val="24"/>
        <w:tblW w:w="8314" w:type="dxa"/>
        <w:tblInd w:w="93" w:type="dxa"/>
        <w:tblLayout w:type="autofit"/>
        <w:tblCellMar>
          <w:top w:w="0" w:type="dxa"/>
          <w:left w:w="108" w:type="dxa"/>
          <w:bottom w:w="0" w:type="dxa"/>
          <w:right w:w="108" w:type="dxa"/>
        </w:tblCellMar>
      </w:tblPr>
      <w:tblGrid>
        <w:gridCol w:w="1136"/>
        <w:gridCol w:w="1136"/>
        <w:gridCol w:w="3770"/>
        <w:gridCol w:w="1136"/>
        <w:gridCol w:w="1136"/>
      </w:tblGrid>
      <w:tr w14:paraId="36E475DF">
        <w:tblPrEx>
          <w:tblCellMar>
            <w:top w:w="0" w:type="dxa"/>
            <w:left w:w="108" w:type="dxa"/>
            <w:bottom w:w="0" w:type="dxa"/>
            <w:right w:w="108" w:type="dxa"/>
          </w:tblCellMar>
        </w:tblPrEx>
        <w:trPr>
          <w:trHeight w:val="312" w:hRule="atLeast"/>
        </w:trPr>
        <w:tc>
          <w:tcPr>
            <w:tcW w:w="572" w:type="dxa"/>
            <w:vMerge w:val="restart"/>
            <w:tcBorders>
              <w:top w:val="single" w:color="000000" w:sz="4" w:space="0"/>
              <w:left w:val="single" w:color="000000" w:sz="4" w:space="0"/>
              <w:bottom w:val="single" w:color="000000" w:sz="4" w:space="0"/>
              <w:right w:val="single" w:color="000000" w:sz="4" w:space="0"/>
            </w:tcBorders>
            <w:noWrap w:val="0"/>
            <w:vAlign w:val="center"/>
          </w:tcPr>
          <w:p w14:paraId="7745D264">
            <w:pPr>
              <w:keepNext w:val="0"/>
              <w:keepLines w:val="0"/>
              <w:widowControl/>
              <w:suppressLineNumbers w:val="0"/>
              <w:kinsoku/>
              <w:overflowPunct/>
              <w:bidi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902" w:type="dxa"/>
            <w:vMerge w:val="restart"/>
            <w:tcBorders>
              <w:top w:val="single" w:color="000000" w:sz="4" w:space="0"/>
              <w:left w:val="single" w:color="000000" w:sz="4" w:space="0"/>
              <w:bottom w:val="single" w:color="000000" w:sz="4" w:space="0"/>
              <w:right w:val="single" w:color="000000" w:sz="4" w:space="0"/>
            </w:tcBorders>
            <w:noWrap w:val="0"/>
            <w:vAlign w:val="center"/>
          </w:tcPr>
          <w:p w14:paraId="42851BD1">
            <w:pPr>
              <w:keepNext w:val="0"/>
              <w:keepLines w:val="0"/>
              <w:widowControl/>
              <w:suppressLineNumbers w:val="0"/>
              <w:kinsoku/>
              <w:overflowPunct/>
              <w:bidi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分类</w:t>
            </w:r>
          </w:p>
        </w:tc>
        <w:tc>
          <w:tcPr>
            <w:tcW w:w="50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DC09DFE">
            <w:pPr>
              <w:keepNext w:val="0"/>
              <w:keepLines w:val="0"/>
              <w:widowControl/>
              <w:suppressLineNumbers w:val="0"/>
              <w:kinsoku/>
              <w:overflowPunct/>
              <w:bidi w:val="0"/>
              <w:ind w:firstLine="482" w:firstLineChars="20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名  称</w:t>
            </w:r>
          </w:p>
        </w:tc>
        <w:tc>
          <w:tcPr>
            <w:tcW w:w="10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72E1AA">
            <w:pPr>
              <w:keepNext w:val="0"/>
              <w:keepLines w:val="0"/>
              <w:widowControl/>
              <w:suppressLineNumbers w:val="0"/>
              <w:kinsoku/>
              <w:overflowPunct/>
              <w:bidi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772"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DF1D6">
            <w:pPr>
              <w:keepNext w:val="0"/>
              <w:keepLines w:val="0"/>
              <w:widowControl/>
              <w:suppressLineNumbers w:val="0"/>
              <w:kinsoku/>
              <w:overflowPunct/>
              <w:bidi w:val="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14:paraId="4ACEEF92">
        <w:tblPrEx>
          <w:tblCellMar>
            <w:top w:w="0" w:type="dxa"/>
            <w:left w:w="108" w:type="dxa"/>
            <w:bottom w:w="0" w:type="dxa"/>
            <w:right w:w="108" w:type="dxa"/>
          </w:tblCellMar>
        </w:tblPrEx>
        <w:trPr>
          <w:trHeight w:val="321" w:hRule="atLeast"/>
        </w:trPr>
        <w:tc>
          <w:tcPr>
            <w:tcW w:w="5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69FD88">
            <w:pPr>
              <w:kinsoku/>
              <w:overflowPunct/>
              <w:bidi w:val="0"/>
              <w:ind w:firstLine="482" w:firstLineChars="200"/>
              <w:jc w:val="center"/>
              <w:rPr>
                <w:rFonts w:hint="eastAsia" w:ascii="宋体" w:hAnsi="宋体" w:eastAsia="宋体" w:cs="宋体"/>
                <w:b/>
                <w:bCs/>
                <w:color w:val="auto"/>
                <w:sz w:val="24"/>
                <w:szCs w:val="24"/>
                <w:highlight w:val="none"/>
              </w:rPr>
            </w:pPr>
          </w:p>
        </w:tc>
        <w:tc>
          <w:tcPr>
            <w:tcW w:w="902" w:type="dxa"/>
            <w:vMerge w:val="continue"/>
            <w:tcBorders>
              <w:top w:val="single" w:color="000000" w:sz="4" w:space="0"/>
              <w:left w:val="single" w:color="000000" w:sz="4" w:space="0"/>
              <w:bottom w:val="single" w:color="auto" w:sz="4" w:space="0"/>
              <w:right w:val="single" w:color="000000" w:sz="4" w:space="0"/>
            </w:tcBorders>
            <w:noWrap w:val="0"/>
            <w:vAlign w:val="center"/>
          </w:tcPr>
          <w:p w14:paraId="6941DA55">
            <w:pPr>
              <w:kinsoku/>
              <w:overflowPunct/>
              <w:bidi w:val="0"/>
              <w:ind w:firstLine="482" w:firstLineChars="200"/>
              <w:jc w:val="center"/>
              <w:rPr>
                <w:rFonts w:hint="eastAsia" w:ascii="宋体" w:hAnsi="宋体" w:eastAsia="宋体" w:cs="宋体"/>
                <w:b/>
                <w:bCs/>
                <w:color w:val="auto"/>
                <w:sz w:val="24"/>
                <w:szCs w:val="24"/>
                <w:highlight w:val="none"/>
              </w:rPr>
            </w:pPr>
          </w:p>
        </w:tc>
        <w:tc>
          <w:tcPr>
            <w:tcW w:w="5018" w:type="dxa"/>
            <w:vMerge w:val="continue"/>
            <w:tcBorders>
              <w:top w:val="single" w:color="000000" w:sz="4" w:space="0"/>
              <w:left w:val="single" w:color="000000" w:sz="4" w:space="0"/>
              <w:bottom w:val="single" w:color="auto" w:sz="4" w:space="0"/>
              <w:right w:val="single" w:color="000000" w:sz="4" w:space="0"/>
            </w:tcBorders>
            <w:noWrap w:val="0"/>
            <w:vAlign w:val="center"/>
          </w:tcPr>
          <w:p w14:paraId="3DB5BA6E">
            <w:pPr>
              <w:kinsoku/>
              <w:overflowPunct/>
              <w:bidi w:val="0"/>
              <w:ind w:firstLine="482" w:firstLineChars="200"/>
              <w:jc w:val="center"/>
              <w:rPr>
                <w:rFonts w:hint="eastAsia" w:ascii="宋体" w:hAnsi="宋体" w:eastAsia="宋体" w:cs="宋体"/>
                <w:b/>
                <w:bCs/>
                <w:color w:val="auto"/>
                <w:sz w:val="24"/>
                <w:szCs w:val="24"/>
                <w:highlight w:val="none"/>
              </w:rPr>
            </w:pPr>
          </w:p>
        </w:tc>
        <w:tc>
          <w:tcPr>
            <w:tcW w:w="10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29119">
            <w:pPr>
              <w:kinsoku/>
              <w:overflowPunct/>
              <w:bidi w:val="0"/>
              <w:ind w:firstLine="482" w:firstLineChars="200"/>
              <w:jc w:val="center"/>
              <w:rPr>
                <w:rFonts w:hint="eastAsia" w:ascii="宋体" w:hAnsi="宋体" w:eastAsia="宋体" w:cs="宋体"/>
                <w:b/>
                <w:bCs/>
                <w:color w:val="auto"/>
                <w:sz w:val="24"/>
                <w:szCs w:val="24"/>
                <w:highlight w:val="none"/>
              </w:rPr>
            </w:pPr>
          </w:p>
        </w:tc>
        <w:tc>
          <w:tcPr>
            <w:tcW w:w="77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1EE03">
            <w:pPr>
              <w:kinsoku/>
              <w:overflowPunct/>
              <w:bidi w:val="0"/>
              <w:ind w:firstLine="482" w:firstLineChars="200"/>
              <w:jc w:val="center"/>
              <w:rPr>
                <w:rFonts w:hint="eastAsia" w:ascii="宋体" w:hAnsi="宋体" w:eastAsia="宋体" w:cs="宋体"/>
                <w:b/>
                <w:bCs/>
                <w:color w:val="auto"/>
                <w:sz w:val="24"/>
                <w:szCs w:val="24"/>
                <w:highlight w:val="none"/>
              </w:rPr>
            </w:pPr>
          </w:p>
        </w:tc>
      </w:tr>
      <w:tr w14:paraId="21117DD3">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6C968F8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2EABC42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人员值守服务</w:t>
            </w:r>
          </w:p>
        </w:tc>
        <w:tc>
          <w:tcPr>
            <w:tcW w:w="5018" w:type="dxa"/>
            <w:tcBorders>
              <w:top w:val="single" w:color="auto" w:sz="4" w:space="0"/>
              <w:left w:val="single" w:color="auto" w:sz="4" w:space="0"/>
              <w:bottom w:val="single" w:color="auto" w:sz="4" w:space="0"/>
              <w:right w:val="single" w:color="auto" w:sz="4" w:space="0"/>
            </w:tcBorders>
            <w:noWrap w:val="0"/>
            <w:vAlign w:val="center"/>
          </w:tcPr>
          <w:p w14:paraId="590AECE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长期值守现场人员</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72C85F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月</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532262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r>
      <w:tr w14:paraId="24D0DB81">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39C69E6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7D7FF6BD">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3612EEE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汛期值守现场人员</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0B4344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月</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DC431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w:t>
            </w:r>
          </w:p>
        </w:tc>
      </w:tr>
      <w:tr w14:paraId="5CBC0BD8">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79B2204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902" w:type="dxa"/>
            <w:tcBorders>
              <w:top w:val="single" w:color="auto" w:sz="4" w:space="0"/>
              <w:left w:val="single" w:color="auto" w:sz="4" w:space="0"/>
              <w:bottom w:val="single" w:color="auto" w:sz="4" w:space="0"/>
              <w:right w:val="single" w:color="auto" w:sz="4" w:space="0"/>
            </w:tcBorders>
            <w:noWrap w:val="0"/>
            <w:vAlign w:val="center"/>
          </w:tcPr>
          <w:p w14:paraId="2EAFDA5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电费</w:t>
            </w:r>
          </w:p>
        </w:tc>
        <w:tc>
          <w:tcPr>
            <w:tcW w:w="5018" w:type="dxa"/>
            <w:tcBorders>
              <w:top w:val="single" w:color="auto" w:sz="4" w:space="0"/>
              <w:left w:val="single" w:color="auto" w:sz="4" w:space="0"/>
              <w:bottom w:val="single" w:color="auto" w:sz="4" w:space="0"/>
              <w:right w:val="single" w:color="auto" w:sz="4" w:space="0"/>
            </w:tcBorders>
            <w:noWrap w:val="0"/>
            <w:vAlign w:val="center"/>
          </w:tcPr>
          <w:p w14:paraId="3B3BD02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3处视频站电费</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61F9CA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年</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69AD0B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033C1F0F">
        <w:tblPrEx>
          <w:tblCellMar>
            <w:top w:w="0" w:type="dxa"/>
            <w:left w:w="108" w:type="dxa"/>
            <w:bottom w:w="0" w:type="dxa"/>
            <w:right w:w="108" w:type="dxa"/>
          </w:tblCellMar>
        </w:tblPrEx>
        <w:trPr>
          <w:trHeight w:val="328"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486C554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4BA841A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平台系统</w:t>
            </w:r>
          </w:p>
        </w:tc>
        <w:tc>
          <w:tcPr>
            <w:tcW w:w="5018" w:type="dxa"/>
            <w:tcBorders>
              <w:top w:val="single" w:color="auto" w:sz="4" w:space="0"/>
              <w:left w:val="single" w:color="auto" w:sz="4" w:space="0"/>
              <w:bottom w:val="single" w:color="auto" w:sz="4" w:space="0"/>
              <w:right w:val="single" w:color="auto" w:sz="4" w:space="0"/>
            </w:tcBorders>
            <w:noWrap w:val="0"/>
            <w:vAlign w:val="center"/>
          </w:tcPr>
          <w:p w14:paraId="2E34EE9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防汛会商中心视频会议系统运行维护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440AAD5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CC1F2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7AD9AEEF">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78175AD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51F8FF1">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02D201E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政务外网政府高清视频会议系统运行维护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76055F7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70E66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DECCD55">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487649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262774B9">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57C6EB6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国家防汛抗旱指挥系统二期系统运行维护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739F8A1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ACD13C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59214B47">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077D9EE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3B6D325F">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152B86A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水旱灾害防御信息系统运行维修</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0FA12F8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AF5A6F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7DF47EA">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40E1AF6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123FD8DF">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3289F91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广元市防汛视频集中管理平台软件运行维护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97F803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1E1293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5D8348DB">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3D9233C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40AAAAF5">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706F54C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广元市城区河道监控系统运行维护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577EC8E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D94752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4B309610">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7E8672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5BD03E0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网络系统</w:t>
            </w:r>
          </w:p>
        </w:tc>
        <w:tc>
          <w:tcPr>
            <w:tcW w:w="5018" w:type="dxa"/>
            <w:tcBorders>
              <w:top w:val="single" w:color="auto" w:sz="4" w:space="0"/>
              <w:left w:val="single" w:color="auto" w:sz="4" w:space="0"/>
              <w:bottom w:val="single" w:color="auto" w:sz="4" w:space="0"/>
              <w:right w:val="single" w:color="auto" w:sz="4" w:space="0"/>
            </w:tcBorders>
            <w:noWrap w:val="0"/>
            <w:vAlign w:val="center"/>
          </w:tcPr>
          <w:p w14:paraId="5B2B77A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二楼办公互联网络系统运行维护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719F47E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A442E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037CBC7D">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1579D6B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2FB2279E">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2B17ACD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防汛网络水利专线系统运行维护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0F1AC3C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BE981D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7E5F6AB">
        <w:tblPrEx>
          <w:tblCellMar>
            <w:top w:w="0" w:type="dxa"/>
            <w:left w:w="108" w:type="dxa"/>
            <w:bottom w:w="0" w:type="dxa"/>
            <w:right w:w="108" w:type="dxa"/>
          </w:tblCellMar>
        </w:tblPrEx>
        <w:trPr>
          <w:trHeight w:val="358"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68478F4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81AF0FC">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61F75F8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政务内网专线运行维护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05BFB24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02088A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05A4DA2C">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7C8847D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33494F76">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59B2A9C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广元市视频融合系统视频会商系统网络运行维护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580241C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507A50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4B32E8A1">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0084298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2CD44A0">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60D6365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市应急管理局专线网络运行维护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4A3AE48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7BBE89F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E47F3C3">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5CA55E3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0235343E">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210B6CF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网络安全系统运行维护</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2CEA7D4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51E92B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C69E960">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4A9CA6A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902" w:type="dxa"/>
            <w:vMerge w:val="restart"/>
            <w:tcBorders>
              <w:top w:val="single" w:color="auto" w:sz="4" w:space="0"/>
              <w:left w:val="single" w:color="auto" w:sz="4" w:space="0"/>
              <w:bottom w:val="single" w:color="auto" w:sz="4" w:space="0"/>
              <w:right w:val="single" w:color="auto" w:sz="4" w:space="0"/>
            </w:tcBorders>
            <w:noWrap w:val="0"/>
            <w:vAlign w:val="center"/>
          </w:tcPr>
          <w:p w14:paraId="21607A9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设备维护</w:t>
            </w:r>
          </w:p>
        </w:tc>
        <w:tc>
          <w:tcPr>
            <w:tcW w:w="5018" w:type="dxa"/>
            <w:tcBorders>
              <w:top w:val="single" w:color="auto" w:sz="4" w:space="0"/>
              <w:left w:val="single" w:color="auto" w:sz="4" w:space="0"/>
              <w:bottom w:val="single" w:color="auto" w:sz="4" w:space="0"/>
              <w:right w:val="single" w:color="auto" w:sz="4" w:space="0"/>
            </w:tcBorders>
            <w:noWrap w:val="0"/>
            <w:vAlign w:val="center"/>
          </w:tcPr>
          <w:p w14:paraId="7C766F1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路由器</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5A7A163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03D98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4DDA4D0">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1A226C8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60C851D4">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653BD47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高端三层交换机</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193205C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1D85E0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962E7C3">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6C81C58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72ECFA4C">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7FFA602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中端核心交换机</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E7EC32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2BE944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5B8E42F9">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3F828D1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3F32C7F1">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758810A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华为SMC服务器</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7CD9C1B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62E5C5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4F202C6D">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4A694E1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8BA07D4">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60EBFC7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视频会议MCU服务器</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2BBF00E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D6DB03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w:t>
            </w:r>
          </w:p>
        </w:tc>
      </w:tr>
      <w:tr w14:paraId="0B7A6247">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037DDD4E">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0F589E3E">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1E85987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视频会议终端</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704F26B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7B755F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9</w:t>
            </w:r>
          </w:p>
        </w:tc>
      </w:tr>
      <w:tr w14:paraId="13CD101F">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41DDE0D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76D85675">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1F49C35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电子政务外网服务器</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54B8D24E">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F85B47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519C3B4B">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70C2505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D53294F">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63201D7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办公互联网路由器</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C17DC0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3853D2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3AFF47FB">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6EFD35A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1EC167FD">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7B62D81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办公核心交换机</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5E25057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E61BFA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35052F4">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0FF9026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61E89DC6">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263C586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视频处理器</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58EC03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C3E4E3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6828CD4">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1708075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79E95AF8">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39A3E8F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282FE59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961C5F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67DF6E88">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7243067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08E74ED7">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799BEE1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监控服务器</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1440DC5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3BE825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7A06B300">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7AF38D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902" w:type="dxa"/>
            <w:vMerge w:val="continue"/>
            <w:tcBorders>
              <w:top w:val="single" w:color="auto" w:sz="4" w:space="0"/>
              <w:left w:val="single" w:color="auto" w:sz="4" w:space="0"/>
              <w:bottom w:val="single" w:color="auto" w:sz="4" w:space="0"/>
              <w:right w:val="single" w:color="auto" w:sz="4" w:space="0"/>
            </w:tcBorders>
            <w:noWrap w:val="0"/>
            <w:vAlign w:val="center"/>
          </w:tcPr>
          <w:p w14:paraId="50E9503A">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auto" w:sz="4" w:space="0"/>
              <w:bottom w:val="single" w:color="auto" w:sz="4" w:space="0"/>
              <w:right w:val="single" w:color="auto" w:sz="4" w:space="0"/>
            </w:tcBorders>
            <w:noWrap w:val="0"/>
            <w:vAlign w:val="center"/>
          </w:tcPr>
          <w:p w14:paraId="34D0CC7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KVM切换设备</w:t>
            </w:r>
          </w:p>
        </w:tc>
        <w:tc>
          <w:tcPr>
            <w:tcW w:w="1050" w:type="dxa"/>
            <w:tcBorders>
              <w:top w:val="single" w:color="000000" w:sz="4" w:space="0"/>
              <w:left w:val="single" w:color="auto" w:sz="4" w:space="0"/>
              <w:bottom w:val="single" w:color="000000" w:sz="4" w:space="0"/>
              <w:right w:val="single" w:color="000000" w:sz="4" w:space="0"/>
            </w:tcBorders>
            <w:noWrap w:val="0"/>
            <w:vAlign w:val="center"/>
          </w:tcPr>
          <w:p w14:paraId="3A46EF6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ED76BD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7858D6D4">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00B52DC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902" w:type="dxa"/>
            <w:vMerge w:val="continue"/>
            <w:tcBorders>
              <w:top w:val="single" w:color="auto" w:sz="4" w:space="0"/>
              <w:left w:val="single" w:color="auto" w:sz="4" w:space="0"/>
              <w:bottom w:val="single" w:color="000000" w:sz="4" w:space="0"/>
              <w:right w:val="single" w:color="000000" w:sz="4" w:space="0"/>
            </w:tcBorders>
            <w:noWrap w:val="0"/>
            <w:vAlign w:val="center"/>
          </w:tcPr>
          <w:p w14:paraId="766A7737">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auto" w:sz="4" w:space="0"/>
              <w:left w:val="single" w:color="000000" w:sz="4" w:space="0"/>
              <w:bottom w:val="single" w:color="000000" w:sz="4" w:space="0"/>
              <w:right w:val="single" w:color="000000" w:sz="4" w:space="0"/>
            </w:tcBorders>
            <w:noWrap w:val="0"/>
            <w:vAlign w:val="center"/>
          </w:tcPr>
          <w:p w14:paraId="1B76190E">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网络防火墙</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220848E">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1BB311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125C9DE0">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58FCB98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46B4BC1C">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704F876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计算机用户终端及网络</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16E3DE">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D662EE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r>
      <w:tr w14:paraId="793A08FB">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99AD2C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2B45E57E">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311319F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打印传真一体机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258CB5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ECD89F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73C431A7">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38233DA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6B626D31">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5D1CEEC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视频数字光端机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C962E0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97D0CA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r>
      <w:tr w14:paraId="2ECA8064">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149A0C8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380C473A">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09FF796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UPS蓄电池组</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1D5B3F5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C5C590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7B5C4ADD">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183CBDDE">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3B182B1D">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7FA660A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在线式UPS电源主机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23B6DC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3AF527F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9BCA7E8">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35DD33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65C2CBF1">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008724C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汽油发电机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4E703B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4CEE32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12FE340A">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520474D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1C7650B0">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1B11E24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机房、会商室、值班室环境维护</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C846CE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B5DF64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4F539976">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05CF6C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3C779678">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51EA36F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全彩LED显示屏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EBE99B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AFD91D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016650EB">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1797925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0497A09B">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6C00FB22">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音频功率放大器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C61B23E">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19FBB8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472F7A65">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4D6F332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6DC2CCBA">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69E596C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调音台</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6ED30226">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259FF8A">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1E929320">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51AA55F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0536B425">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3DD20EC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功放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19C4C6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39AB3E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w:t>
            </w:r>
          </w:p>
        </w:tc>
      </w:tr>
      <w:tr w14:paraId="5909BB43">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08BD64B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557A2E3E">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37C755A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无线麦克风</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520074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03D037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2ED2B02D">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855EB6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0E3FD65E">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5A1D21F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2*2拼接屏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45892D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8752A7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1</w:t>
            </w:r>
          </w:p>
        </w:tc>
      </w:tr>
      <w:tr w14:paraId="06C5C5B7">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5AFCC3B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902" w:type="dxa"/>
            <w:vMerge w:val="continue"/>
            <w:tcBorders>
              <w:top w:val="single" w:color="000000" w:sz="4" w:space="0"/>
              <w:left w:val="single" w:color="auto" w:sz="4" w:space="0"/>
              <w:bottom w:val="single" w:color="000000" w:sz="4" w:space="0"/>
              <w:right w:val="single" w:color="000000" w:sz="4" w:space="0"/>
            </w:tcBorders>
            <w:noWrap w:val="0"/>
            <w:vAlign w:val="center"/>
          </w:tcPr>
          <w:p w14:paraId="60DD3B73">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2875FCA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LED显示屏条幅屏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E9E466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5A17DE2B">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1C831D53">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6165AF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902" w:type="dxa"/>
            <w:vMerge w:val="continue"/>
            <w:tcBorders>
              <w:top w:val="single" w:color="000000" w:sz="4" w:space="0"/>
              <w:left w:val="single" w:color="auto" w:sz="4" w:space="0"/>
              <w:right w:val="single" w:color="000000" w:sz="4" w:space="0"/>
            </w:tcBorders>
            <w:noWrap w:val="0"/>
            <w:vAlign w:val="center"/>
          </w:tcPr>
          <w:p w14:paraId="195FFFC1">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448BDA2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RGB矩阵</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7DCEA5E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6127FC4">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2E7FAA0">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2E76269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902" w:type="dxa"/>
            <w:vMerge w:val="continue"/>
            <w:tcBorders>
              <w:left w:val="single" w:color="auto" w:sz="4" w:space="0"/>
              <w:right w:val="single" w:color="000000" w:sz="4" w:space="0"/>
            </w:tcBorders>
            <w:noWrap w:val="0"/>
            <w:vAlign w:val="center"/>
          </w:tcPr>
          <w:p w14:paraId="02D7E39E">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04B820A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HDMI矩阵</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6C9AD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6470ACBF">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785059C">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05CBC13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902" w:type="dxa"/>
            <w:vMerge w:val="continue"/>
            <w:tcBorders>
              <w:left w:val="single" w:color="auto" w:sz="4" w:space="0"/>
              <w:right w:val="single" w:color="000000" w:sz="4" w:space="0"/>
            </w:tcBorders>
            <w:noWrap w:val="0"/>
            <w:vAlign w:val="center"/>
          </w:tcPr>
          <w:p w14:paraId="20471B33">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7B7AE573">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机房精密空调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4D3DFBD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0C534B6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8CA56E5">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5BF75CCC">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902" w:type="dxa"/>
            <w:vMerge w:val="continue"/>
            <w:tcBorders>
              <w:left w:val="single" w:color="auto" w:sz="4" w:space="0"/>
              <w:right w:val="single" w:color="000000" w:sz="4" w:space="0"/>
            </w:tcBorders>
            <w:noWrap w:val="0"/>
            <w:vAlign w:val="center"/>
          </w:tcPr>
          <w:p w14:paraId="6FA462A5">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38A4F79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机房普通立柜式空调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B84951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448AC6D8">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w:t>
            </w:r>
          </w:p>
        </w:tc>
      </w:tr>
      <w:tr w14:paraId="4EA3C026">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577C2CF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902" w:type="dxa"/>
            <w:vMerge w:val="continue"/>
            <w:tcBorders>
              <w:left w:val="single" w:color="auto" w:sz="4" w:space="0"/>
              <w:right w:val="single" w:color="000000" w:sz="4" w:space="0"/>
            </w:tcBorders>
            <w:noWrap w:val="0"/>
            <w:vAlign w:val="center"/>
          </w:tcPr>
          <w:p w14:paraId="5462F7B3">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65B916C7">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机房普通挂式空调</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0D279D7D">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124F9271">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r>
      <w:tr w14:paraId="2F262845">
        <w:tblPrEx>
          <w:tblCellMar>
            <w:top w:w="0" w:type="dxa"/>
            <w:left w:w="108" w:type="dxa"/>
            <w:bottom w:w="0" w:type="dxa"/>
            <w:right w:w="108" w:type="dxa"/>
          </w:tblCellMar>
        </w:tblPrEx>
        <w:trPr>
          <w:trHeight w:val="316" w:hRule="atLeast"/>
        </w:trPr>
        <w:tc>
          <w:tcPr>
            <w:tcW w:w="572" w:type="dxa"/>
            <w:tcBorders>
              <w:top w:val="single" w:color="000000" w:sz="4" w:space="0"/>
              <w:left w:val="single" w:color="000000" w:sz="4" w:space="0"/>
              <w:bottom w:val="single" w:color="000000" w:sz="4" w:space="0"/>
              <w:right w:val="single" w:color="auto" w:sz="4" w:space="0"/>
            </w:tcBorders>
            <w:noWrap w:val="0"/>
            <w:vAlign w:val="center"/>
          </w:tcPr>
          <w:p w14:paraId="6C9E8AB0">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902" w:type="dxa"/>
            <w:vMerge w:val="continue"/>
            <w:tcBorders>
              <w:left w:val="single" w:color="auto" w:sz="4" w:space="0"/>
              <w:bottom w:val="single" w:color="000000" w:sz="4" w:space="0"/>
              <w:right w:val="single" w:color="000000" w:sz="4" w:space="0"/>
            </w:tcBorders>
            <w:noWrap w:val="0"/>
            <w:vAlign w:val="center"/>
          </w:tcPr>
          <w:p w14:paraId="000E73D3">
            <w:pPr>
              <w:kinsoku/>
              <w:overflowPunct/>
              <w:bidi w:val="0"/>
              <w:ind w:firstLine="480" w:firstLineChars="200"/>
              <w:jc w:val="both"/>
              <w:rPr>
                <w:rFonts w:hint="eastAsia" w:ascii="宋体" w:hAnsi="宋体" w:eastAsia="宋体" w:cs="宋体"/>
                <w:color w:val="auto"/>
                <w:sz w:val="24"/>
                <w:szCs w:val="24"/>
                <w:highlight w:val="none"/>
              </w:rPr>
            </w:pPr>
          </w:p>
        </w:tc>
        <w:tc>
          <w:tcPr>
            <w:tcW w:w="5018" w:type="dxa"/>
            <w:tcBorders>
              <w:top w:val="single" w:color="000000" w:sz="4" w:space="0"/>
              <w:left w:val="single" w:color="000000" w:sz="4" w:space="0"/>
              <w:bottom w:val="single" w:color="000000" w:sz="4" w:space="0"/>
              <w:right w:val="single" w:color="000000" w:sz="4" w:space="0"/>
            </w:tcBorders>
            <w:noWrap w:val="0"/>
            <w:vAlign w:val="center"/>
          </w:tcPr>
          <w:p w14:paraId="0A2133D5">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会议室电视机</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27092AD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772" w:type="dxa"/>
            <w:tcBorders>
              <w:top w:val="single" w:color="000000" w:sz="4" w:space="0"/>
              <w:left w:val="single" w:color="000000" w:sz="4" w:space="0"/>
              <w:bottom w:val="single" w:color="000000" w:sz="4" w:space="0"/>
              <w:right w:val="single" w:color="000000" w:sz="4" w:space="0"/>
            </w:tcBorders>
            <w:noWrap w:val="0"/>
            <w:vAlign w:val="center"/>
          </w:tcPr>
          <w:p w14:paraId="2B2B4919">
            <w:pPr>
              <w:keepNext w:val="0"/>
              <w:keepLines w:val="0"/>
              <w:widowControl/>
              <w:suppressLineNumbers w:val="0"/>
              <w:kinsoku/>
              <w:overflowPunct/>
              <w:bidi w:val="0"/>
              <w:ind w:firstLine="480" w:firstLineChars="200"/>
              <w:jc w:val="both"/>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w:t>
            </w:r>
          </w:p>
        </w:tc>
      </w:tr>
    </w:tbl>
    <w:p w14:paraId="1FBDB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highlight w:val="none"/>
          <w:lang w:val="en-US" w:eastAsia="zh-CN"/>
        </w:rPr>
      </w:pPr>
    </w:p>
    <w:p w14:paraId="23E55A8C">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二、服务要求及保障★</w:t>
      </w:r>
    </w:p>
    <w:p w14:paraId="0E94AD0E">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（一）服务要求</w:t>
      </w:r>
    </w:p>
    <w:tbl>
      <w:tblPr>
        <w:tblStyle w:val="24"/>
        <w:tblW w:w="9598"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541"/>
        <w:gridCol w:w="1456"/>
        <w:gridCol w:w="6817"/>
      </w:tblGrid>
      <w:tr w14:paraId="65E47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4" w:type="dxa"/>
            <w:tcBorders>
              <w:tl2br w:val="nil"/>
              <w:tr2bl w:val="nil"/>
            </w:tcBorders>
            <w:noWrap w:val="0"/>
            <w:vAlign w:val="center"/>
          </w:tcPr>
          <w:p w14:paraId="28D9C41A">
            <w:pPr>
              <w:kinsoku/>
              <w:overflowPunct/>
              <w:bidi w:val="0"/>
              <w:spacing w:beforeLines="0" w:afterLines="0" w:line="360" w:lineRule="auto"/>
              <w:jc w:val="center"/>
              <w:rPr>
                <w:rFonts w:hint="eastAsia" w:ascii="宋体" w:hAnsi="宋体" w:eastAsia="宋体" w:cs="宋体"/>
                <w:b/>
                <w:color w:val="auto"/>
                <w:sz w:val="24"/>
                <w:szCs w:val="24"/>
                <w:highlight w:val="none"/>
                <w:lang w:eastAsia="zh-CN"/>
              </w:rPr>
            </w:pPr>
            <w:r>
              <w:rPr>
                <w:rFonts w:hint="eastAsia" w:hAnsi="宋体" w:cs="宋体"/>
                <w:b/>
                <w:color w:val="auto"/>
                <w:sz w:val="24"/>
                <w:szCs w:val="24"/>
                <w:highlight w:val="none"/>
                <w:lang w:eastAsia="zh-CN"/>
              </w:rPr>
              <w:t>序号</w:t>
            </w:r>
          </w:p>
        </w:tc>
        <w:tc>
          <w:tcPr>
            <w:tcW w:w="541" w:type="dxa"/>
            <w:tcBorders>
              <w:tl2br w:val="nil"/>
              <w:tr2bl w:val="nil"/>
            </w:tcBorders>
            <w:noWrap w:val="0"/>
            <w:vAlign w:val="center"/>
          </w:tcPr>
          <w:p w14:paraId="150D3DCC">
            <w:pPr>
              <w:kinsoku/>
              <w:overflowPunct/>
              <w:bidi w:val="0"/>
              <w:spacing w:beforeLines="0" w:afterLines="0"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分类</w:t>
            </w:r>
          </w:p>
        </w:tc>
        <w:tc>
          <w:tcPr>
            <w:tcW w:w="1456" w:type="dxa"/>
            <w:tcBorders>
              <w:tl2br w:val="nil"/>
              <w:tr2bl w:val="nil"/>
            </w:tcBorders>
            <w:noWrap w:val="0"/>
            <w:vAlign w:val="center"/>
          </w:tcPr>
          <w:p w14:paraId="23F88796">
            <w:pPr>
              <w:kinsoku/>
              <w:overflowPunct/>
              <w:bidi w:val="0"/>
              <w:spacing w:beforeLines="0" w:afterLines="0"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名  称</w:t>
            </w:r>
          </w:p>
        </w:tc>
        <w:tc>
          <w:tcPr>
            <w:tcW w:w="6817" w:type="dxa"/>
            <w:tcBorders>
              <w:tl2br w:val="nil"/>
              <w:tr2bl w:val="nil"/>
            </w:tcBorders>
            <w:noWrap w:val="0"/>
            <w:vAlign w:val="center"/>
          </w:tcPr>
          <w:p w14:paraId="7A9F630F">
            <w:pPr>
              <w:kinsoku/>
              <w:overflowPunct/>
              <w:bidi w:val="0"/>
              <w:spacing w:beforeLines="0" w:afterLines="0" w:line="360" w:lineRule="auto"/>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参数</w:t>
            </w:r>
          </w:p>
        </w:tc>
      </w:tr>
      <w:tr w14:paraId="470F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784" w:type="dxa"/>
            <w:tcBorders>
              <w:tl2br w:val="nil"/>
              <w:tr2bl w:val="nil"/>
            </w:tcBorders>
            <w:noWrap w:val="0"/>
            <w:vAlign w:val="top"/>
          </w:tcPr>
          <w:p w14:paraId="63C73D87">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541" w:type="dxa"/>
            <w:vMerge w:val="restart"/>
            <w:tcBorders>
              <w:tl2br w:val="nil"/>
              <w:tr2bl w:val="nil"/>
            </w:tcBorders>
            <w:noWrap w:val="0"/>
            <w:vAlign w:val="top"/>
          </w:tcPr>
          <w:p w14:paraId="6A97660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BC0607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人员值守服务</w:t>
            </w:r>
          </w:p>
        </w:tc>
        <w:tc>
          <w:tcPr>
            <w:tcW w:w="1456" w:type="dxa"/>
            <w:tcBorders>
              <w:tl2br w:val="nil"/>
              <w:tr2bl w:val="nil"/>
            </w:tcBorders>
            <w:noWrap w:val="0"/>
            <w:vAlign w:val="top"/>
          </w:tcPr>
          <w:p w14:paraId="7065188A">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长期值守现场人员</w:t>
            </w:r>
          </w:p>
        </w:tc>
        <w:tc>
          <w:tcPr>
            <w:tcW w:w="6817" w:type="dxa"/>
            <w:tcBorders>
              <w:tl2br w:val="nil"/>
              <w:tr2bl w:val="nil"/>
            </w:tcBorders>
            <w:noWrap w:val="0"/>
            <w:vAlign w:val="top"/>
          </w:tcPr>
          <w:p w14:paraId="47971011">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全年安排一名技术维护人员（签订合同时提供运维技术人员劳务合同，并严格遵守我局工作纪律）在市水利局24小时看护，保障站点设备及局会议系统正常运转的安全性。</w:t>
            </w:r>
          </w:p>
        </w:tc>
      </w:tr>
      <w:tr w14:paraId="52A3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784" w:type="dxa"/>
            <w:tcBorders>
              <w:tl2br w:val="nil"/>
              <w:tr2bl w:val="nil"/>
            </w:tcBorders>
            <w:noWrap w:val="0"/>
            <w:vAlign w:val="top"/>
          </w:tcPr>
          <w:p w14:paraId="47AD68AB">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541" w:type="dxa"/>
            <w:vMerge w:val="continue"/>
            <w:tcBorders>
              <w:tl2br w:val="nil"/>
              <w:tr2bl w:val="nil"/>
            </w:tcBorders>
            <w:noWrap w:val="0"/>
            <w:vAlign w:val="top"/>
          </w:tcPr>
          <w:p w14:paraId="1B61BE68">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424AA1FB">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汛期值守现场人员</w:t>
            </w:r>
          </w:p>
        </w:tc>
        <w:tc>
          <w:tcPr>
            <w:tcW w:w="6817" w:type="dxa"/>
            <w:tcBorders>
              <w:tl2br w:val="nil"/>
              <w:tr2bl w:val="nil"/>
            </w:tcBorders>
            <w:noWrap w:val="0"/>
            <w:vAlign w:val="top"/>
          </w:tcPr>
          <w:p w14:paraId="558B29F7">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年汛期另行安排一名技术维护人员（签订合同时提供运维技术人员劳务合同，并严格遵守我局工作纪律）在市水利局24小时看护，保障站点设备及局会议系统正常运转的安全性。非汛期有工作和人员要求时能随时到岗。</w:t>
            </w:r>
          </w:p>
        </w:tc>
      </w:tr>
      <w:tr w14:paraId="59A4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4" w:type="dxa"/>
            <w:tcBorders>
              <w:tl2br w:val="nil"/>
              <w:tr2bl w:val="nil"/>
            </w:tcBorders>
            <w:noWrap w:val="0"/>
            <w:vAlign w:val="top"/>
          </w:tcPr>
          <w:p w14:paraId="3D4F91C2">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541" w:type="dxa"/>
            <w:tcBorders>
              <w:tl2br w:val="nil"/>
              <w:tr2bl w:val="nil"/>
            </w:tcBorders>
            <w:noWrap w:val="0"/>
            <w:vAlign w:val="top"/>
          </w:tcPr>
          <w:p w14:paraId="0733798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电费</w:t>
            </w:r>
          </w:p>
        </w:tc>
        <w:tc>
          <w:tcPr>
            <w:tcW w:w="1456" w:type="dxa"/>
            <w:tcBorders>
              <w:tl2br w:val="nil"/>
              <w:tr2bl w:val="nil"/>
            </w:tcBorders>
            <w:noWrap w:val="0"/>
            <w:vAlign w:val="top"/>
          </w:tcPr>
          <w:p w14:paraId="672D24C0">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3处视频站电费</w:t>
            </w:r>
          </w:p>
        </w:tc>
        <w:tc>
          <w:tcPr>
            <w:tcW w:w="6817" w:type="dxa"/>
            <w:tcBorders>
              <w:tl2br w:val="nil"/>
              <w:tr2bl w:val="nil"/>
            </w:tcBorders>
            <w:noWrap w:val="0"/>
            <w:vAlign w:val="top"/>
          </w:tcPr>
          <w:p w14:paraId="19933B89">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万达大桥、天成两江口、上河街三处全年电费</w:t>
            </w:r>
          </w:p>
        </w:tc>
      </w:tr>
      <w:tr w14:paraId="563A8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784" w:type="dxa"/>
            <w:tcBorders>
              <w:tl2br w:val="nil"/>
              <w:tr2bl w:val="nil"/>
            </w:tcBorders>
            <w:noWrap w:val="0"/>
            <w:vAlign w:val="top"/>
          </w:tcPr>
          <w:p w14:paraId="7F382BA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541" w:type="dxa"/>
            <w:vMerge w:val="restart"/>
            <w:tcBorders>
              <w:tl2br w:val="nil"/>
              <w:tr2bl w:val="nil"/>
            </w:tcBorders>
            <w:noWrap w:val="0"/>
            <w:vAlign w:val="top"/>
          </w:tcPr>
          <w:p w14:paraId="25C48E75">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46C35429">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BF2B58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EDCD6A3">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A3EC94E">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F0F003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9159D45">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A22782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67D78E5">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A981EE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97AB47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3F0FEE9">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457EE84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92C2305">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78FF99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324153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F6CDAD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4DBAE153">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D4911B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平台</w:t>
            </w:r>
          </w:p>
          <w:p w14:paraId="4F6FC6B8">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w:t>
            </w:r>
          </w:p>
        </w:tc>
        <w:tc>
          <w:tcPr>
            <w:tcW w:w="1456" w:type="dxa"/>
            <w:tcBorders>
              <w:tl2br w:val="nil"/>
              <w:tr2bl w:val="nil"/>
            </w:tcBorders>
            <w:noWrap w:val="0"/>
            <w:vAlign w:val="top"/>
          </w:tcPr>
          <w:p w14:paraId="26AA889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防汛会商中心视频会议系统运行维护</w:t>
            </w:r>
          </w:p>
        </w:tc>
        <w:tc>
          <w:tcPr>
            <w:tcW w:w="6817" w:type="dxa"/>
            <w:tcBorders>
              <w:tl2br w:val="nil"/>
              <w:tr2bl w:val="nil"/>
            </w:tcBorders>
            <w:noWrap w:val="0"/>
            <w:vAlign w:val="top"/>
          </w:tcPr>
          <w:p w14:paraId="4B708566">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持软件系统功能的完整，及时处理发现的漏洞和不安全因素，扩充相应的功能，保持数据的实时性，保证软件的安全稳定运行；对于数据要做到必要的更新，定时备份、整理，必要的恢复，保持数据的完整性和实时性。</w:t>
            </w:r>
          </w:p>
        </w:tc>
      </w:tr>
      <w:tr w14:paraId="28C9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84" w:type="dxa"/>
            <w:tcBorders>
              <w:tl2br w:val="nil"/>
              <w:tr2bl w:val="nil"/>
            </w:tcBorders>
            <w:noWrap w:val="0"/>
            <w:vAlign w:val="top"/>
          </w:tcPr>
          <w:p w14:paraId="584AA40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541" w:type="dxa"/>
            <w:vMerge w:val="continue"/>
            <w:tcBorders>
              <w:tl2br w:val="nil"/>
              <w:tr2bl w:val="nil"/>
            </w:tcBorders>
            <w:noWrap w:val="0"/>
            <w:vAlign w:val="top"/>
          </w:tcPr>
          <w:p w14:paraId="46D34DD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36F4873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政务外网政府高清视频会议系统运行维护</w:t>
            </w:r>
          </w:p>
        </w:tc>
        <w:tc>
          <w:tcPr>
            <w:tcW w:w="6817" w:type="dxa"/>
            <w:tcBorders>
              <w:tl2br w:val="nil"/>
              <w:tr2bl w:val="nil"/>
            </w:tcBorders>
            <w:noWrap w:val="0"/>
            <w:vAlign w:val="top"/>
          </w:tcPr>
          <w:p w14:paraId="06697981">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持软件系统功能的完整，及时处理发现的漏洞和不安全因素，扩充相应的功能，保持数据的实时性，保证软件的安全稳定运行；对于数据要做到必要的更新，定时备份、整理，必要的恢复，保持数据的完整性和实时性。</w:t>
            </w:r>
          </w:p>
        </w:tc>
      </w:tr>
      <w:tr w14:paraId="231F9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84" w:type="dxa"/>
            <w:tcBorders>
              <w:tl2br w:val="nil"/>
              <w:tr2bl w:val="nil"/>
            </w:tcBorders>
            <w:noWrap w:val="0"/>
            <w:vAlign w:val="top"/>
          </w:tcPr>
          <w:p w14:paraId="2B562F15">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541" w:type="dxa"/>
            <w:vMerge w:val="continue"/>
            <w:tcBorders>
              <w:tl2br w:val="nil"/>
              <w:tr2bl w:val="nil"/>
            </w:tcBorders>
            <w:noWrap w:val="0"/>
            <w:vAlign w:val="top"/>
          </w:tcPr>
          <w:p w14:paraId="761F51B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67C8B3BA">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国家防汛抗旱指挥系统二期系统运行维护</w:t>
            </w:r>
          </w:p>
        </w:tc>
        <w:tc>
          <w:tcPr>
            <w:tcW w:w="6817" w:type="dxa"/>
            <w:tcBorders>
              <w:tl2br w:val="nil"/>
              <w:tr2bl w:val="nil"/>
            </w:tcBorders>
            <w:noWrap w:val="0"/>
            <w:vAlign w:val="top"/>
          </w:tcPr>
          <w:p w14:paraId="1A645670">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障国家防汛抗旱指挥系统旱情信息采集平台软件的稳定性和可靠性；保障平台软件的安全性和可恢复性；故障的及时响应与修复；系统零、部件的维修服务；维护系统的正常有序的运行，保持软件系统功能的完整，及时处理存在的漏洞和不安全因素，保持数据的实时性，增强系统的稳定性，修正功能的不足，保证软件的安全稳定运行，以及数据更新、备份、整理、恢复等。</w:t>
            </w:r>
          </w:p>
        </w:tc>
      </w:tr>
      <w:tr w14:paraId="4739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trPr>
        <w:tc>
          <w:tcPr>
            <w:tcW w:w="784" w:type="dxa"/>
            <w:tcBorders>
              <w:tl2br w:val="nil"/>
              <w:tr2bl w:val="nil"/>
            </w:tcBorders>
            <w:noWrap w:val="0"/>
            <w:vAlign w:val="top"/>
          </w:tcPr>
          <w:p w14:paraId="12AE7B82">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w:t>
            </w:r>
          </w:p>
        </w:tc>
        <w:tc>
          <w:tcPr>
            <w:tcW w:w="541" w:type="dxa"/>
            <w:vMerge w:val="continue"/>
            <w:tcBorders>
              <w:tl2br w:val="nil"/>
              <w:tr2bl w:val="nil"/>
            </w:tcBorders>
            <w:noWrap w:val="0"/>
            <w:vAlign w:val="top"/>
          </w:tcPr>
          <w:p w14:paraId="392E8DFD">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43444809">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水旱灾害防御信息系统运行维护</w:t>
            </w:r>
          </w:p>
        </w:tc>
        <w:tc>
          <w:tcPr>
            <w:tcW w:w="6817" w:type="dxa"/>
            <w:tcBorders>
              <w:tl2br w:val="nil"/>
              <w:tr2bl w:val="nil"/>
            </w:tcBorders>
            <w:noWrap w:val="0"/>
            <w:vAlign w:val="top"/>
          </w:tcPr>
          <w:p w14:paraId="323BD172">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障水旱灾害防御信息系统的稳定性和可靠性；保障平台软件的安全性和可恢复性；故障的及时响应与修复；系统零、部件的维修服务；维护系统的正常有序的运行，保持软件系统功能的完整，及时处理存在的漏洞和不安全因素，保持数据的实时性，增强系统的稳定性，修正功能的不足，保证软件的安全稳定运行，以及数据更新、备份、整理、恢复等。</w:t>
            </w:r>
          </w:p>
        </w:tc>
      </w:tr>
      <w:tr w14:paraId="1ABC4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trPr>
        <w:tc>
          <w:tcPr>
            <w:tcW w:w="784" w:type="dxa"/>
            <w:tcBorders>
              <w:tl2br w:val="nil"/>
              <w:tr2bl w:val="nil"/>
            </w:tcBorders>
            <w:noWrap w:val="0"/>
            <w:vAlign w:val="top"/>
          </w:tcPr>
          <w:p w14:paraId="4B8C128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w:t>
            </w:r>
          </w:p>
        </w:tc>
        <w:tc>
          <w:tcPr>
            <w:tcW w:w="541" w:type="dxa"/>
            <w:vMerge w:val="continue"/>
            <w:tcBorders>
              <w:tl2br w:val="nil"/>
              <w:tr2bl w:val="nil"/>
            </w:tcBorders>
            <w:noWrap w:val="0"/>
            <w:vAlign w:val="top"/>
          </w:tcPr>
          <w:p w14:paraId="143F7F7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5562A57B">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广元市防汛视频集中管理平台软件运行维护</w:t>
            </w:r>
          </w:p>
        </w:tc>
        <w:tc>
          <w:tcPr>
            <w:tcW w:w="6817" w:type="dxa"/>
            <w:tcBorders>
              <w:tl2br w:val="nil"/>
              <w:tr2bl w:val="nil"/>
            </w:tcBorders>
            <w:noWrap w:val="0"/>
            <w:vAlign w:val="top"/>
          </w:tcPr>
          <w:p w14:paraId="649A3304">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随时更新全市防汛视频监测数据，保持软件系统功能的完整，及时处理发现的漏洞和不安全因素，扩充相应的功能，保持数据的实时性，保证软件的安全稳定运行；对于数据要做到必要的更新，定时备份、整理，必要的恢复，保持数据的完整性和实时性。</w:t>
            </w:r>
          </w:p>
        </w:tc>
      </w:tr>
      <w:tr w14:paraId="3954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784" w:type="dxa"/>
            <w:tcBorders>
              <w:tl2br w:val="nil"/>
              <w:tr2bl w:val="nil"/>
            </w:tcBorders>
            <w:noWrap w:val="0"/>
            <w:vAlign w:val="top"/>
          </w:tcPr>
          <w:p w14:paraId="1A17885A">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541" w:type="dxa"/>
            <w:vMerge w:val="continue"/>
            <w:tcBorders>
              <w:tl2br w:val="nil"/>
              <w:tr2bl w:val="nil"/>
            </w:tcBorders>
            <w:noWrap w:val="0"/>
            <w:vAlign w:val="top"/>
          </w:tcPr>
          <w:p w14:paraId="10A6397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4A5F00B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广元市城区河道监控系统运行维护</w:t>
            </w:r>
          </w:p>
        </w:tc>
        <w:tc>
          <w:tcPr>
            <w:tcW w:w="6817" w:type="dxa"/>
            <w:tcBorders>
              <w:tl2br w:val="nil"/>
              <w:tr2bl w:val="nil"/>
            </w:tcBorders>
            <w:noWrap w:val="0"/>
            <w:vAlign w:val="top"/>
          </w:tcPr>
          <w:p w14:paraId="22B432BB">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随时更新河道视频监测数据，做好录像存储，保持软件系统功能的完整，及时处理发现的漏洞和不安全因素，扩充相应的功能，保持数据的实时性，保证软件的安全稳定运行；对于数据要做到必要的更新，定时备份、整理，必要的恢复，保持数据的完整性和实时性。</w:t>
            </w:r>
          </w:p>
        </w:tc>
      </w:tr>
      <w:tr w14:paraId="6113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84" w:type="dxa"/>
            <w:tcBorders>
              <w:tl2br w:val="nil"/>
              <w:tr2bl w:val="nil"/>
            </w:tcBorders>
            <w:noWrap w:val="0"/>
            <w:vAlign w:val="top"/>
          </w:tcPr>
          <w:p w14:paraId="568E49C5">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541" w:type="dxa"/>
            <w:vMerge w:val="restart"/>
            <w:tcBorders>
              <w:tl2br w:val="nil"/>
              <w:tr2bl w:val="nil"/>
            </w:tcBorders>
            <w:noWrap w:val="0"/>
            <w:vAlign w:val="top"/>
          </w:tcPr>
          <w:p w14:paraId="2D70CB7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892B62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6476F6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CAC369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68AC2BE">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5B98D5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0407CD9">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83365B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A55687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65634D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E608C3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8BAF23D">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w:t>
            </w:r>
          </w:p>
          <w:p w14:paraId="7732902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w:t>
            </w:r>
          </w:p>
        </w:tc>
        <w:tc>
          <w:tcPr>
            <w:tcW w:w="1456" w:type="dxa"/>
            <w:tcBorders>
              <w:tl2br w:val="nil"/>
              <w:tr2bl w:val="nil"/>
            </w:tcBorders>
            <w:noWrap w:val="0"/>
            <w:vAlign w:val="top"/>
          </w:tcPr>
          <w:p w14:paraId="6191A08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二楼办公互联网络系统运行维护</w:t>
            </w:r>
          </w:p>
        </w:tc>
        <w:tc>
          <w:tcPr>
            <w:tcW w:w="6817" w:type="dxa"/>
            <w:tcBorders>
              <w:tl2br w:val="nil"/>
              <w:tr2bl w:val="nil"/>
            </w:tcBorders>
            <w:noWrap w:val="0"/>
            <w:vAlign w:val="top"/>
          </w:tcPr>
          <w:p w14:paraId="0C3A7833">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期检查网络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1939D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784" w:type="dxa"/>
            <w:tcBorders>
              <w:tl2br w:val="nil"/>
              <w:tr2bl w:val="nil"/>
            </w:tcBorders>
            <w:noWrap w:val="0"/>
            <w:vAlign w:val="top"/>
          </w:tcPr>
          <w:p w14:paraId="47CE4D37">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541" w:type="dxa"/>
            <w:vMerge w:val="continue"/>
            <w:tcBorders>
              <w:tl2br w:val="nil"/>
              <w:tr2bl w:val="nil"/>
            </w:tcBorders>
            <w:noWrap w:val="0"/>
            <w:vAlign w:val="top"/>
          </w:tcPr>
          <w:p w14:paraId="3B0FF8E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3B354355">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防汛网络水利专线系统运行维护</w:t>
            </w:r>
          </w:p>
        </w:tc>
        <w:tc>
          <w:tcPr>
            <w:tcW w:w="6817" w:type="dxa"/>
            <w:tcBorders>
              <w:tl2br w:val="nil"/>
              <w:tr2bl w:val="nil"/>
            </w:tcBorders>
            <w:noWrap w:val="0"/>
            <w:vAlign w:val="top"/>
          </w:tcPr>
          <w:p w14:paraId="3CBA287B">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障省-市-县三级专线网络通畅，定期检查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11B2D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84" w:type="dxa"/>
            <w:tcBorders>
              <w:tl2br w:val="nil"/>
              <w:tr2bl w:val="nil"/>
            </w:tcBorders>
            <w:noWrap w:val="0"/>
            <w:vAlign w:val="top"/>
          </w:tcPr>
          <w:p w14:paraId="53ECC620">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541" w:type="dxa"/>
            <w:vMerge w:val="continue"/>
            <w:tcBorders>
              <w:tl2br w:val="nil"/>
              <w:tr2bl w:val="nil"/>
            </w:tcBorders>
            <w:noWrap w:val="0"/>
            <w:vAlign w:val="top"/>
          </w:tcPr>
          <w:p w14:paraId="1245BC4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10379C8F">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政务内网专线运行维护</w:t>
            </w:r>
          </w:p>
        </w:tc>
        <w:tc>
          <w:tcPr>
            <w:tcW w:w="6817" w:type="dxa"/>
            <w:tcBorders>
              <w:tl2br w:val="nil"/>
              <w:tr2bl w:val="nil"/>
            </w:tcBorders>
            <w:noWrap w:val="0"/>
            <w:vAlign w:val="top"/>
          </w:tcPr>
          <w:p w14:paraId="03A63834">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期检查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5066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784" w:type="dxa"/>
            <w:tcBorders>
              <w:tl2br w:val="nil"/>
              <w:tr2bl w:val="nil"/>
            </w:tcBorders>
            <w:noWrap w:val="0"/>
            <w:vAlign w:val="top"/>
          </w:tcPr>
          <w:p w14:paraId="2BE21DD8">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541" w:type="dxa"/>
            <w:vMerge w:val="continue"/>
            <w:tcBorders>
              <w:tl2br w:val="nil"/>
              <w:tr2bl w:val="nil"/>
            </w:tcBorders>
            <w:noWrap w:val="0"/>
            <w:vAlign w:val="top"/>
          </w:tcPr>
          <w:p w14:paraId="0AFA618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3170F2C7">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广元市视频融合系统视频会商系统网络运行维护</w:t>
            </w:r>
          </w:p>
        </w:tc>
        <w:tc>
          <w:tcPr>
            <w:tcW w:w="6817" w:type="dxa"/>
            <w:tcBorders>
              <w:tl2br w:val="nil"/>
              <w:tr2bl w:val="nil"/>
            </w:tcBorders>
            <w:noWrap w:val="0"/>
            <w:vAlign w:val="top"/>
          </w:tcPr>
          <w:p w14:paraId="03EC961B">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（1）会议设备日常清洁，防静电除尘，日常检测，填写运行日志；</w:t>
            </w:r>
          </w:p>
          <w:p w14:paraId="10BE6FFD">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（2）保障视频会议系统日常运行的稳定性和可靠性；</w:t>
            </w:r>
          </w:p>
          <w:p w14:paraId="26F9918B">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（3）保障视频会议系统的安全性和可恢复性；</w:t>
            </w:r>
          </w:p>
          <w:p w14:paraId="67CA5588">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（4）故障的及时响应与修复，会议设备零、部件的维修服务。</w:t>
            </w:r>
          </w:p>
        </w:tc>
      </w:tr>
      <w:tr w14:paraId="37D8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784" w:type="dxa"/>
            <w:tcBorders>
              <w:tl2br w:val="nil"/>
              <w:tr2bl w:val="nil"/>
            </w:tcBorders>
            <w:noWrap w:val="0"/>
            <w:vAlign w:val="top"/>
          </w:tcPr>
          <w:p w14:paraId="1F1BC035">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541" w:type="dxa"/>
            <w:vMerge w:val="continue"/>
            <w:tcBorders>
              <w:tl2br w:val="nil"/>
              <w:tr2bl w:val="nil"/>
            </w:tcBorders>
            <w:noWrap w:val="0"/>
            <w:vAlign w:val="top"/>
          </w:tcPr>
          <w:p w14:paraId="794CE09D">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0C6194D6">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市应急管理局专线网络运行维护</w:t>
            </w:r>
          </w:p>
        </w:tc>
        <w:tc>
          <w:tcPr>
            <w:tcW w:w="6817" w:type="dxa"/>
            <w:tcBorders>
              <w:tl2br w:val="nil"/>
              <w:tr2bl w:val="nil"/>
            </w:tcBorders>
            <w:noWrap w:val="0"/>
            <w:vAlign w:val="top"/>
          </w:tcPr>
          <w:p w14:paraId="5D876B53">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障市水利局至市应急管理局专线网络通畅，定期检查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54D4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84" w:type="dxa"/>
            <w:tcBorders>
              <w:tl2br w:val="nil"/>
              <w:tr2bl w:val="nil"/>
            </w:tcBorders>
            <w:noWrap w:val="0"/>
            <w:vAlign w:val="top"/>
          </w:tcPr>
          <w:p w14:paraId="0054062C">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541" w:type="dxa"/>
            <w:vMerge w:val="continue"/>
            <w:tcBorders>
              <w:tl2br w:val="nil"/>
              <w:tr2bl w:val="nil"/>
            </w:tcBorders>
            <w:noWrap w:val="0"/>
            <w:vAlign w:val="top"/>
          </w:tcPr>
          <w:p w14:paraId="35DD6729">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31E6218A">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网络安全系统运行维护</w:t>
            </w:r>
          </w:p>
        </w:tc>
        <w:tc>
          <w:tcPr>
            <w:tcW w:w="6817" w:type="dxa"/>
            <w:tcBorders>
              <w:tl2br w:val="nil"/>
              <w:tr2bl w:val="nil"/>
            </w:tcBorders>
            <w:noWrap w:val="0"/>
            <w:vAlign w:val="top"/>
          </w:tcPr>
          <w:p w14:paraId="0855812E">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监控网络运行情况，定期备份、查看安全日志，分析网络安全事件，弥补网络漏洞，排除网络安全设备故障，修复、更换出现故障的零部件等，确保网络安全。</w:t>
            </w:r>
          </w:p>
        </w:tc>
      </w:tr>
      <w:tr w14:paraId="4820E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784" w:type="dxa"/>
            <w:tcBorders>
              <w:tl2br w:val="nil"/>
              <w:tr2bl w:val="nil"/>
            </w:tcBorders>
            <w:noWrap w:val="0"/>
            <w:vAlign w:val="top"/>
          </w:tcPr>
          <w:p w14:paraId="0B178A89">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541" w:type="dxa"/>
            <w:vMerge w:val="restart"/>
            <w:tcBorders>
              <w:tl2br w:val="nil"/>
              <w:tr2bl w:val="nil"/>
            </w:tcBorders>
            <w:noWrap w:val="0"/>
            <w:vAlign w:val="top"/>
          </w:tcPr>
          <w:p w14:paraId="1E72C2E5">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2D6720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456BF2E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5E724E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CF16DEB">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102C43A9">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95AD1E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6D6B4B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DA9DF7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B3E116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1BDD545D">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13BC69E">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8374FF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58CBE7D">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CF9939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88E3D9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8743D8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C9F6D28">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6793158">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2F0EA0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D15A8A7">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4945D78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350F6F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059E4D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965F35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w:t>
            </w:r>
          </w:p>
          <w:p w14:paraId="17E7332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维护</w:t>
            </w:r>
          </w:p>
        </w:tc>
        <w:tc>
          <w:tcPr>
            <w:tcW w:w="1456" w:type="dxa"/>
            <w:tcBorders>
              <w:tl2br w:val="nil"/>
              <w:tr2bl w:val="nil"/>
            </w:tcBorders>
            <w:noWrap w:val="0"/>
            <w:vAlign w:val="top"/>
          </w:tcPr>
          <w:p w14:paraId="328E8DDC">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路由器</w:t>
            </w:r>
          </w:p>
        </w:tc>
        <w:tc>
          <w:tcPr>
            <w:tcW w:w="6817" w:type="dxa"/>
            <w:tcBorders>
              <w:tl2br w:val="nil"/>
              <w:tr2bl w:val="nil"/>
            </w:tcBorders>
            <w:noWrap w:val="0"/>
            <w:vAlign w:val="top"/>
          </w:tcPr>
          <w:p w14:paraId="39006B61">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设备加电运行、看护、除尘，运行日志填写，设备运行状况观察、接口测试；检查数据流量，系统利用率等参数；设定访问控制列表，配置文件的备份，零部件更换、故障处理修复等。</w:t>
            </w:r>
          </w:p>
        </w:tc>
      </w:tr>
      <w:tr w14:paraId="3D8D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784" w:type="dxa"/>
            <w:tcBorders>
              <w:tl2br w:val="nil"/>
              <w:tr2bl w:val="nil"/>
            </w:tcBorders>
            <w:noWrap w:val="0"/>
            <w:vAlign w:val="top"/>
          </w:tcPr>
          <w:p w14:paraId="1E75FBF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541" w:type="dxa"/>
            <w:vMerge w:val="continue"/>
            <w:tcBorders>
              <w:tl2br w:val="nil"/>
              <w:tr2bl w:val="nil"/>
            </w:tcBorders>
            <w:noWrap w:val="0"/>
            <w:vAlign w:val="top"/>
          </w:tcPr>
          <w:p w14:paraId="4B3FD7DE">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3583580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高端三层交换机</w:t>
            </w:r>
          </w:p>
        </w:tc>
        <w:tc>
          <w:tcPr>
            <w:tcW w:w="6817" w:type="dxa"/>
            <w:tcBorders>
              <w:tl2br w:val="nil"/>
              <w:tr2bl w:val="nil"/>
            </w:tcBorders>
            <w:noWrap w:val="0"/>
            <w:vAlign w:val="top"/>
          </w:tcPr>
          <w:p w14:paraId="60BB693C">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三层高端交换机，设备加电运行、看护、除尘，运行日志填写，设备运行状况观察、接口测试；系统硬件验证、调试，零部件更换，故障处理修复等。</w:t>
            </w:r>
          </w:p>
        </w:tc>
      </w:tr>
      <w:tr w14:paraId="4155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784" w:type="dxa"/>
            <w:tcBorders>
              <w:tl2br w:val="nil"/>
              <w:tr2bl w:val="nil"/>
            </w:tcBorders>
            <w:noWrap w:val="0"/>
            <w:vAlign w:val="top"/>
          </w:tcPr>
          <w:p w14:paraId="14161F8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541" w:type="dxa"/>
            <w:vMerge w:val="continue"/>
            <w:tcBorders>
              <w:tl2br w:val="nil"/>
              <w:tr2bl w:val="nil"/>
            </w:tcBorders>
            <w:noWrap w:val="0"/>
            <w:vAlign w:val="top"/>
          </w:tcPr>
          <w:p w14:paraId="4EA8448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5BA104A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中端核心交换机</w:t>
            </w:r>
          </w:p>
        </w:tc>
        <w:tc>
          <w:tcPr>
            <w:tcW w:w="6817" w:type="dxa"/>
            <w:tcBorders>
              <w:tl2br w:val="nil"/>
              <w:tr2bl w:val="nil"/>
            </w:tcBorders>
            <w:noWrap w:val="0"/>
            <w:vAlign w:val="top"/>
          </w:tcPr>
          <w:p w14:paraId="0E1913BA">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中端核心交换机，设备加电运行、看护、除尘，运行日志填写，设备运行状况观察、接口测试；系统硬件验证、调试，零部件更换，故障处理修复等。</w:t>
            </w:r>
          </w:p>
        </w:tc>
      </w:tr>
      <w:tr w14:paraId="79AA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784" w:type="dxa"/>
            <w:tcBorders>
              <w:tl2br w:val="nil"/>
              <w:tr2bl w:val="nil"/>
            </w:tcBorders>
            <w:noWrap w:val="0"/>
            <w:vAlign w:val="top"/>
          </w:tcPr>
          <w:p w14:paraId="69D132C8">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541" w:type="dxa"/>
            <w:vMerge w:val="continue"/>
            <w:tcBorders>
              <w:tl2br w:val="nil"/>
              <w:tr2bl w:val="nil"/>
            </w:tcBorders>
            <w:noWrap w:val="0"/>
            <w:vAlign w:val="top"/>
          </w:tcPr>
          <w:p w14:paraId="186D449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6ECDE5F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华为SMC服务器</w:t>
            </w:r>
          </w:p>
        </w:tc>
        <w:tc>
          <w:tcPr>
            <w:tcW w:w="6817" w:type="dxa"/>
            <w:tcBorders>
              <w:tl2br w:val="nil"/>
              <w:tr2bl w:val="nil"/>
            </w:tcBorders>
            <w:noWrap w:val="0"/>
            <w:vAlign w:val="top"/>
          </w:tcPr>
          <w:p w14:paraId="7EDA05E0">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期检查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1C1D1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784" w:type="dxa"/>
            <w:tcBorders>
              <w:tl2br w:val="nil"/>
              <w:tr2bl w:val="nil"/>
            </w:tcBorders>
            <w:noWrap w:val="0"/>
            <w:vAlign w:val="top"/>
          </w:tcPr>
          <w:p w14:paraId="0F2D2294">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w:t>
            </w:r>
          </w:p>
        </w:tc>
        <w:tc>
          <w:tcPr>
            <w:tcW w:w="541" w:type="dxa"/>
            <w:vMerge w:val="continue"/>
            <w:tcBorders>
              <w:tl2br w:val="nil"/>
              <w:tr2bl w:val="nil"/>
            </w:tcBorders>
            <w:noWrap w:val="0"/>
            <w:vAlign w:val="top"/>
          </w:tcPr>
          <w:p w14:paraId="7902BE0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4E2CC11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视频会议MCU服务器</w:t>
            </w:r>
          </w:p>
        </w:tc>
        <w:tc>
          <w:tcPr>
            <w:tcW w:w="6817" w:type="dxa"/>
            <w:tcBorders>
              <w:tl2br w:val="nil"/>
              <w:tr2bl w:val="nil"/>
            </w:tcBorders>
            <w:noWrap w:val="0"/>
            <w:vAlign w:val="top"/>
          </w:tcPr>
          <w:p w14:paraId="1A68629A">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期检查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5B3EA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784" w:type="dxa"/>
            <w:tcBorders>
              <w:tl2br w:val="nil"/>
              <w:tr2bl w:val="nil"/>
            </w:tcBorders>
            <w:noWrap w:val="0"/>
            <w:vAlign w:val="top"/>
          </w:tcPr>
          <w:p w14:paraId="7915FDCF">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w:t>
            </w:r>
          </w:p>
        </w:tc>
        <w:tc>
          <w:tcPr>
            <w:tcW w:w="541" w:type="dxa"/>
            <w:vMerge w:val="continue"/>
            <w:tcBorders>
              <w:tl2br w:val="nil"/>
              <w:tr2bl w:val="nil"/>
            </w:tcBorders>
            <w:noWrap w:val="0"/>
            <w:vAlign w:val="top"/>
          </w:tcPr>
          <w:p w14:paraId="44A7C2E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65EA181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视频会议终端</w:t>
            </w:r>
          </w:p>
        </w:tc>
        <w:tc>
          <w:tcPr>
            <w:tcW w:w="6817" w:type="dxa"/>
            <w:tcBorders>
              <w:tl2br w:val="nil"/>
              <w:tr2bl w:val="nil"/>
            </w:tcBorders>
            <w:noWrap w:val="0"/>
            <w:vAlign w:val="top"/>
          </w:tcPr>
          <w:p w14:paraId="35810D26">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期检查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76AEB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784" w:type="dxa"/>
            <w:tcBorders>
              <w:tl2br w:val="nil"/>
              <w:tr2bl w:val="nil"/>
            </w:tcBorders>
            <w:noWrap w:val="0"/>
            <w:vAlign w:val="top"/>
          </w:tcPr>
          <w:p w14:paraId="3E38637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w:t>
            </w:r>
          </w:p>
        </w:tc>
        <w:tc>
          <w:tcPr>
            <w:tcW w:w="541" w:type="dxa"/>
            <w:vMerge w:val="continue"/>
            <w:tcBorders>
              <w:tl2br w:val="nil"/>
              <w:tr2bl w:val="nil"/>
            </w:tcBorders>
            <w:noWrap w:val="0"/>
            <w:vAlign w:val="top"/>
          </w:tcPr>
          <w:p w14:paraId="3CD23D4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717CE4C2">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电子政务外网服务器</w:t>
            </w:r>
          </w:p>
        </w:tc>
        <w:tc>
          <w:tcPr>
            <w:tcW w:w="6817" w:type="dxa"/>
            <w:tcBorders>
              <w:tl2br w:val="nil"/>
              <w:tr2bl w:val="nil"/>
            </w:tcBorders>
            <w:noWrap w:val="0"/>
            <w:vAlign w:val="top"/>
          </w:tcPr>
          <w:p w14:paraId="4FCCF7F0">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期检查设备的运行情况，检查设备的系统利用率，保障网络设备的稳定运行等；检查关键接口的运行状况，收发数据包情况，做好记录；分析系统运行数据，查找网络瓶颈；定期备份设备的配置文件，修改网络设备的维护密码，修复、更换出现故障的零部件，修复设备故障等。</w:t>
            </w:r>
          </w:p>
        </w:tc>
      </w:tr>
      <w:tr w14:paraId="3411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84" w:type="dxa"/>
            <w:tcBorders>
              <w:tl2br w:val="nil"/>
              <w:tr2bl w:val="nil"/>
            </w:tcBorders>
            <w:noWrap w:val="0"/>
            <w:vAlign w:val="top"/>
          </w:tcPr>
          <w:p w14:paraId="5312013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w:t>
            </w:r>
          </w:p>
        </w:tc>
        <w:tc>
          <w:tcPr>
            <w:tcW w:w="541" w:type="dxa"/>
            <w:vMerge w:val="continue"/>
            <w:tcBorders>
              <w:tl2br w:val="nil"/>
              <w:tr2bl w:val="nil"/>
            </w:tcBorders>
            <w:noWrap w:val="0"/>
            <w:vAlign w:val="top"/>
          </w:tcPr>
          <w:p w14:paraId="77E8AA9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00BA6CF4">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办公互联网路由器</w:t>
            </w:r>
          </w:p>
        </w:tc>
        <w:tc>
          <w:tcPr>
            <w:tcW w:w="6817" w:type="dxa"/>
            <w:tcBorders>
              <w:tl2br w:val="nil"/>
              <w:tr2bl w:val="nil"/>
            </w:tcBorders>
            <w:noWrap w:val="0"/>
            <w:vAlign w:val="top"/>
          </w:tcPr>
          <w:p w14:paraId="40F2D3C2">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设备加电运行、看护、除尘，运行日志填写，设备运行状况观察、接口测试；检查数据流量，系统利用率等参数；设定访问控制列表，配置文件的备份，零部件更换、故障处理修复等。</w:t>
            </w:r>
          </w:p>
        </w:tc>
      </w:tr>
      <w:tr w14:paraId="6046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784" w:type="dxa"/>
            <w:tcBorders>
              <w:tl2br w:val="nil"/>
              <w:tr2bl w:val="nil"/>
            </w:tcBorders>
            <w:noWrap w:val="0"/>
            <w:vAlign w:val="top"/>
          </w:tcPr>
          <w:p w14:paraId="2CEE861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24</w:t>
            </w:r>
          </w:p>
        </w:tc>
        <w:tc>
          <w:tcPr>
            <w:tcW w:w="541" w:type="dxa"/>
            <w:vMerge w:val="continue"/>
            <w:tcBorders>
              <w:tl2br w:val="nil"/>
              <w:tr2bl w:val="nil"/>
            </w:tcBorders>
            <w:noWrap w:val="0"/>
            <w:vAlign w:val="top"/>
          </w:tcPr>
          <w:p w14:paraId="6521B708">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1DAE8A5C">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办公核心交换机</w:t>
            </w:r>
          </w:p>
        </w:tc>
        <w:tc>
          <w:tcPr>
            <w:tcW w:w="6817" w:type="dxa"/>
            <w:tcBorders>
              <w:tl2br w:val="nil"/>
              <w:tr2bl w:val="nil"/>
            </w:tcBorders>
            <w:noWrap w:val="0"/>
            <w:vAlign w:val="top"/>
          </w:tcPr>
          <w:p w14:paraId="2A51A41F">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设备加电运行、看护、除尘，运行日志填写，设备运行状况观察、接口测试；系统硬件验证、调试，零部件更换，故障处理修复等。</w:t>
            </w:r>
          </w:p>
        </w:tc>
      </w:tr>
      <w:tr w14:paraId="4101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84" w:type="dxa"/>
            <w:tcBorders>
              <w:tl2br w:val="nil"/>
              <w:tr2bl w:val="nil"/>
            </w:tcBorders>
            <w:noWrap w:val="0"/>
            <w:vAlign w:val="top"/>
          </w:tcPr>
          <w:p w14:paraId="06512A4B">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25</w:t>
            </w:r>
          </w:p>
        </w:tc>
        <w:tc>
          <w:tcPr>
            <w:tcW w:w="541" w:type="dxa"/>
            <w:vMerge w:val="continue"/>
            <w:tcBorders>
              <w:tl2br w:val="nil"/>
              <w:tr2bl w:val="nil"/>
            </w:tcBorders>
            <w:noWrap w:val="0"/>
            <w:vAlign w:val="top"/>
          </w:tcPr>
          <w:p w14:paraId="42FCA94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3CC2373B">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视频处理器</w:t>
            </w:r>
          </w:p>
        </w:tc>
        <w:tc>
          <w:tcPr>
            <w:tcW w:w="6817" w:type="dxa"/>
            <w:tcBorders>
              <w:tl2br w:val="nil"/>
              <w:tr2bl w:val="nil"/>
            </w:tcBorders>
            <w:noWrap w:val="0"/>
            <w:vAlign w:val="top"/>
          </w:tcPr>
          <w:p w14:paraId="01DAF33C">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设备加电运行、看护、除尘，运行日志填写，设备运行状况观察、接口测试；系统硬件验证、调试，零部件更换，故障处理修复等。</w:t>
            </w:r>
          </w:p>
        </w:tc>
      </w:tr>
      <w:tr w14:paraId="1470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784" w:type="dxa"/>
            <w:tcBorders>
              <w:tl2br w:val="nil"/>
              <w:tr2bl w:val="nil"/>
            </w:tcBorders>
            <w:noWrap w:val="0"/>
            <w:vAlign w:val="top"/>
          </w:tcPr>
          <w:p w14:paraId="44543527">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w:t>
            </w:r>
          </w:p>
        </w:tc>
        <w:tc>
          <w:tcPr>
            <w:tcW w:w="541" w:type="dxa"/>
            <w:vMerge w:val="continue"/>
            <w:tcBorders>
              <w:tl2br w:val="nil"/>
              <w:tr2bl w:val="nil"/>
            </w:tcBorders>
            <w:noWrap w:val="0"/>
            <w:vAlign w:val="top"/>
          </w:tcPr>
          <w:p w14:paraId="4FA7AEE7">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07F62894">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硬盘录像机</w:t>
            </w:r>
          </w:p>
        </w:tc>
        <w:tc>
          <w:tcPr>
            <w:tcW w:w="6817" w:type="dxa"/>
            <w:tcBorders>
              <w:tl2br w:val="nil"/>
              <w:tr2bl w:val="nil"/>
            </w:tcBorders>
            <w:noWrap w:val="0"/>
            <w:vAlign w:val="top"/>
          </w:tcPr>
          <w:p w14:paraId="291E0FB9">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设备加电运行、看护、除尘，运行日志填写，录像回放检查，设备运行状况观察、接口测试；系统硬件验证、调试，零部件更换，故障处理修复等。</w:t>
            </w:r>
          </w:p>
        </w:tc>
      </w:tr>
      <w:tr w14:paraId="13FF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84" w:type="dxa"/>
            <w:tcBorders>
              <w:tl2br w:val="nil"/>
              <w:tr2bl w:val="nil"/>
            </w:tcBorders>
            <w:noWrap w:val="0"/>
            <w:vAlign w:val="top"/>
          </w:tcPr>
          <w:p w14:paraId="4AB2EC8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w:t>
            </w:r>
          </w:p>
        </w:tc>
        <w:tc>
          <w:tcPr>
            <w:tcW w:w="541" w:type="dxa"/>
            <w:vMerge w:val="continue"/>
            <w:tcBorders>
              <w:tl2br w:val="nil"/>
              <w:tr2bl w:val="nil"/>
            </w:tcBorders>
            <w:noWrap w:val="0"/>
            <w:vAlign w:val="top"/>
          </w:tcPr>
          <w:p w14:paraId="3F2D25E5">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49F2E90C">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监控服务器</w:t>
            </w:r>
          </w:p>
        </w:tc>
        <w:tc>
          <w:tcPr>
            <w:tcW w:w="6817" w:type="dxa"/>
            <w:tcBorders>
              <w:tl2br w:val="nil"/>
              <w:tr2bl w:val="nil"/>
            </w:tcBorders>
            <w:noWrap w:val="0"/>
            <w:vAlign w:val="top"/>
          </w:tcPr>
          <w:p w14:paraId="32C79A39">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设备加电运行、看护、除尘，运行日志填写，设备运行状况观察、接口测试；系统硬件验证、调试，零部件更换，故障处理修复等。</w:t>
            </w:r>
          </w:p>
        </w:tc>
      </w:tr>
      <w:tr w14:paraId="3108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84" w:type="dxa"/>
            <w:tcBorders>
              <w:tl2br w:val="nil"/>
              <w:tr2bl w:val="nil"/>
            </w:tcBorders>
            <w:noWrap w:val="0"/>
            <w:vAlign w:val="top"/>
          </w:tcPr>
          <w:p w14:paraId="3E597A5C">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w:t>
            </w:r>
          </w:p>
        </w:tc>
        <w:tc>
          <w:tcPr>
            <w:tcW w:w="541" w:type="dxa"/>
            <w:vMerge w:val="continue"/>
            <w:tcBorders>
              <w:tl2br w:val="nil"/>
              <w:tr2bl w:val="nil"/>
            </w:tcBorders>
            <w:noWrap w:val="0"/>
            <w:vAlign w:val="top"/>
          </w:tcPr>
          <w:p w14:paraId="513E9753">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38196F5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KVM切换设备</w:t>
            </w:r>
          </w:p>
        </w:tc>
        <w:tc>
          <w:tcPr>
            <w:tcW w:w="6817" w:type="dxa"/>
            <w:tcBorders>
              <w:tl2br w:val="nil"/>
              <w:tr2bl w:val="nil"/>
            </w:tcBorders>
            <w:noWrap w:val="0"/>
            <w:vAlign w:val="top"/>
          </w:tcPr>
          <w:p w14:paraId="2311D069">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设备加电运行、看护、除尘，运行日志填写，设备运行状况观察、接口测试；系统硬件验证、调试，零部件更换，故障处理修复等。</w:t>
            </w:r>
          </w:p>
        </w:tc>
      </w:tr>
      <w:tr w14:paraId="202D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784" w:type="dxa"/>
            <w:tcBorders>
              <w:tl2br w:val="nil"/>
              <w:tr2bl w:val="nil"/>
            </w:tcBorders>
            <w:noWrap w:val="0"/>
            <w:vAlign w:val="top"/>
          </w:tcPr>
          <w:p w14:paraId="10F4442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w:t>
            </w:r>
          </w:p>
        </w:tc>
        <w:tc>
          <w:tcPr>
            <w:tcW w:w="541" w:type="dxa"/>
            <w:vMerge w:val="continue"/>
            <w:tcBorders>
              <w:tl2br w:val="nil"/>
              <w:tr2bl w:val="nil"/>
            </w:tcBorders>
            <w:noWrap w:val="0"/>
            <w:vAlign w:val="top"/>
          </w:tcPr>
          <w:p w14:paraId="1021B9F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0EBD930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网络防火墙</w:t>
            </w:r>
          </w:p>
        </w:tc>
        <w:tc>
          <w:tcPr>
            <w:tcW w:w="6817" w:type="dxa"/>
            <w:tcBorders>
              <w:tl2br w:val="nil"/>
              <w:tr2bl w:val="nil"/>
            </w:tcBorders>
            <w:noWrap w:val="0"/>
            <w:vAlign w:val="top"/>
          </w:tcPr>
          <w:p w14:paraId="60140889">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加电运行、看护、除尘，运行日志填写，设备运行状况观察、接口测试；日志分析，网络安全事故检查，安全规则调整；网络安全风险分析，防火墙硬件升级，增加防火墙网络端口，更换机箱，更换通讯模块；设备利用率检查，零部件更换，故障处理修复等。</w:t>
            </w:r>
          </w:p>
        </w:tc>
      </w:tr>
      <w:tr w14:paraId="7FFC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84" w:type="dxa"/>
            <w:tcBorders>
              <w:tl2br w:val="nil"/>
              <w:tr2bl w:val="nil"/>
            </w:tcBorders>
            <w:noWrap w:val="0"/>
            <w:vAlign w:val="top"/>
          </w:tcPr>
          <w:p w14:paraId="345E44F5">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w:t>
            </w:r>
          </w:p>
        </w:tc>
        <w:tc>
          <w:tcPr>
            <w:tcW w:w="541" w:type="dxa"/>
            <w:vMerge w:val="continue"/>
            <w:tcBorders>
              <w:tl2br w:val="nil"/>
              <w:tr2bl w:val="nil"/>
            </w:tcBorders>
            <w:noWrap w:val="0"/>
            <w:vAlign w:val="top"/>
          </w:tcPr>
          <w:p w14:paraId="5CC22ABB">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2C865775">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计算机用户终端及网络</w:t>
            </w:r>
          </w:p>
        </w:tc>
        <w:tc>
          <w:tcPr>
            <w:tcW w:w="6817" w:type="dxa"/>
            <w:tcBorders>
              <w:tl2br w:val="nil"/>
              <w:tr2bl w:val="nil"/>
            </w:tcBorders>
            <w:noWrap w:val="0"/>
            <w:vAlign w:val="top"/>
          </w:tcPr>
          <w:p w14:paraId="20325018">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设备看护、除尘，设备运行状况观察、接口测试；计算机软、硬件安装、测试，设置，硬件升级，备份系统文件；故障处理修复等</w:t>
            </w:r>
          </w:p>
        </w:tc>
      </w:tr>
      <w:tr w14:paraId="57116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4" w:type="dxa"/>
            <w:tcBorders>
              <w:tl2br w:val="nil"/>
              <w:tr2bl w:val="nil"/>
            </w:tcBorders>
            <w:noWrap w:val="0"/>
            <w:vAlign w:val="top"/>
          </w:tcPr>
          <w:p w14:paraId="687FE2D6">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w:t>
            </w:r>
          </w:p>
        </w:tc>
        <w:tc>
          <w:tcPr>
            <w:tcW w:w="541" w:type="dxa"/>
            <w:vMerge w:val="continue"/>
            <w:tcBorders>
              <w:tl2br w:val="nil"/>
              <w:tr2bl w:val="nil"/>
            </w:tcBorders>
            <w:noWrap w:val="0"/>
            <w:vAlign w:val="top"/>
          </w:tcPr>
          <w:p w14:paraId="2658BFB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2A6DA53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打印传真一体机</w:t>
            </w:r>
          </w:p>
        </w:tc>
        <w:tc>
          <w:tcPr>
            <w:tcW w:w="6817" w:type="dxa"/>
            <w:tcBorders>
              <w:tl2br w:val="nil"/>
              <w:tr2bl w:val="nil"/>
            </w:tcBorders>
            <w:noWrap w:val="0"/>
            <w:vAlign w:val="top"/>
          </w:tcPr>
          <w:p w14:paraId="5266AADD">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设备看护、除尘，设备运行状况观察、接口测试；驱动安装、测试，设置；故障处理修复等</w:t>
            </w:r>
          </w:p>
        </w:tc>
      </w:tr>
      <w:tr w14:paraId="11638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4" w:type="dxa"/>
            <w:tcBorders>
              <w:tl2br w:val="nil"/>
              <w:tr2bl w:val="nil"/>
            </w:tcBorders>
            <w:noWrap w:val="0"/>
            <w:vAlign w:val="top"/>
          </w:tcPr>
          <w:p w14:paraId="2315B998">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w:t>
            </w:r>
          </w:p>
        </w:tc>
        <w:tc>
          <w:tcPr>
            <w:tcW w:w="541" w:type="dxa"/>
            <w:vMerge w:val="continue"/>
            <w:tcBorders>
              <w:tl2br w:val="nil"/>
              <w:tr2bl w:val="nil"/>
            </w:tcBorders>
            <w:noWrap w:val="0"/>
            <w:vAlign w:val="top"/>
          </w:tcPr>
          <w:p w14:paraId="069AD32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18B17049">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视频数字光端机</w:t>
            </w:r>
          </w:p>
        </w:tc>
        <w:tc>
          <w:tcPr>
            <w:tcW w:w="6817" w:type="dxa"/>
            <w:tcBorders>
              <w:tl2br w:val="nil"/>
              <w:tr2bl w:val="nil"/>
            </w:tcBorders>
            <w:noWrap w:val="0"/>
            <w:vAlign w:val="top"/>
          </w:tcPr>
          <w:p w14:paraId="544F30BA">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运行状态观察，接口测试，设备维护，设备防静电除尘，运行日志填写。</w:t>
            </w:r>
          </w:p>
        </w:tc>
      </w:tr>
      <w:tr w14:paraId="576F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4" w:type="dxa"/>
            <w:tcBorders>
              <w:tl2br w:val="nil"/>
              <w:tr2bl w:val="nil"/>
            </w:tcBorders>
            <w:noWrap w:val="0"/>
            <w:vAlign w:val="top"/>
          </w:tcPr>
          <w:p w14:paraId="43ABB2FF">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p>
        </w:tc>
        <w:tc>
          <w:tcPr>
            <w:tcW w:w="541" w:type="dxa"/>
            <w:vMerge w:val="continue"/>
            <w:tcBorders>
              <w:tl2br w:val="nil"/>
              <w:tr2bl w:val="nil"/>
            </w:tcBorders>
            <w:noWrap w:val="0"/>
            <w:vAlign w:val="top"/>
          </w:tcPr>
          <w:p w14:paraId="0E70C55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4BC80E19">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UPS蓄电池组</w:t>
            </w:r>
          </w:p>
        </w:tc>
        <w:tc>
          <w:tcPr>
            <w:tcW w:w="6817" w:type="dxa"/>
            <w:tcBorders>
              <w:tl2br w:val="nil"/>
              <w:tr2bl w:val="nil"/>
            </w:tcBorders>
            <w:noWrap w:val="0"/>
            <w:vAlign w:val="top"/>
          </w:tcPr>
          <w:p w14:paraId="7E49C45F">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日常检测，运行日志填写；设备年检、常规维护，零部件、维护材料消耗，清洁，防静电除尘。</w:t>
            </w:r>
          </w:p>
        </w:tc>
      </w:tr>
      <w:tr w14:paraId="795F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784" w:type="dxa"/>
            <w:tcBorders>
              <w:tl2br w:val="nil"/>
              <w:tr2bl w:val="nil"/>
            </w:tcBorders>
            <w:noWrap w:val="0"/>
            <w:vAlign w:val="top"/>
          </w:tcPr>
          <w:p w14:paraId="7885869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p>
        </w:tc>
        <w:tc>
          <w:tcPr>
            <w:tcW w:w="541" w:type="dxa"/>
            <w:vMerge w:val="continue"/>
            <w:tcBorders>
              <w:tl2br w:val="nil"/>
              <w:tr2bl w:val="nil"/>
            </w:tcBorders>
            <w:noWrap w:val="0"/>
            <w:vAlign w:val="top"/>
          </w:tcPr>
          <w:p w14:paraId="15439BF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5C3B203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在线式UPS电源主机</w:t>
            </w:r>
          </w:p>
        </w:tc>
        <w:tc>
          <w:tcPr>
            <w:tcW w:w="6817" w:type="dxa"/>
            <w:tcBorders>
              <w:tl2br w:val="nil"/>
              <w:tr2bl w:val="nil"/>
            </w:tcBorders>
            <w:noWrap w:val="0"/>
            <w:vAlign w:val="top"/>
          </w:tcPr>
          <w:p w14:paraId="69766ED0">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设备日常检测，运行日志填写；设备年检、常规维护，零部件、维护材料消耗，设备清洁，防静电除尘。</w:t>
            </w:r>
          </w:p>
        </w:tc>
      </w:tr>
      <w:tr w14:paraId="0CC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84" w:type="dxa"/>
            <w:tcBorders>
              <w:tl2br w:val="nil"/>
              <w:tr2bl w:val="nil"/>
            </w:tcBorders>
            <w:noWrap w:val="0"/>
            <w:vAlign w:val="top"/>
          </w:tcPr>
          <w:p w14:paraId="1BD87C4F">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p>
        </w:tc>
        <w:tc>
          <w:tcPr>
            <w:tcW w:w="541" w:type="dxa"/>
            <w:vMerge w:val="continue"/>
            <w:tcBorders>
              <w:tl2br w:val="nil"/>
              <w:tr2bl w:val="nil"/>
            </w:tcBorders>
            <w:noWrap w:val="0"/>
            <w:vAlign w:val="top"/>
          </w:tcPr>
          <w:p w14:paraId="6B81C13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0F363686">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汽油发电机</w:t>
            </w:r>
          </w:p>
        </w:tc>
        <w:tc>
          <w:tcPr>
            <w:tcW w:w="6817" w:type="dxa"/>
            <w:tcBorders>
              <w:tl2br w:val="nil"/>
              <w:tr2bl w:val="nil"/>
            </w:tcBorders>
            <w:noWrap w:val="0"/>
            <w:vAlign w:val="top"/>
          </w:tcPr>
          <w:p w14:paraId="25912B91">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每月两次设备检查，发电全功率试运行，日常设备运行日志填写，设备年检、常规维护，零部件，维护材料、汽油消耗。</w:t>
            </w:r>
          </w:p>
        </w:tc>
      </w:tr>
      <w:tr w14:paraId="348B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784" w:type="dxa"/>
            <w:tcBorders>
              <w:tl2br w:val="nil"/>
              <w:tr2bl w:val="nil"/>
            </w:tcBorders>
            <w:noWrap w:val="0"/>
            <w:vAlign w:val="top"/>
          </w:tcPr>
          <w:p w14:paraId="6D9E4C6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p>
        </w:tc>
        <w:tc>
          <w:tcPr>
            <w:tcW w:w="541" w:type="dxa"/>
            <w:vMerge w:val="continue"/>
            <w:tcBorders>
              <w:tl2br w:val="nil"/>
              <w:tr2bl w:val="nil"/>
            </w:tcBorders>
            <w:noWrap w:val="0"/>
            <w:vAlign w:val="top"/>
          </w:tcPr>
          <w:p w14:paraId="2557A43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219EFB3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机房、会商室、值班室环境维护</w:t>
            </w:r>
          </w:p>
        </w:tc>
        <w:tc>
          <w:tcPr>
            <w:tcW w:w="6817" w:type="dxa"/>
            <w:tcBorders>
              <w:tl2br w:val="nil"/>
              <w:tr2bl w:val="nil"/>
            </w:tcBorders>
            <w:noWrap w:val="0"/>
            <w:vAlign w:val="top"/>
          </w:tcPr>
          <w:p w14:paraId="3D13F0B6">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保持机房室内温度在15-25℃,相对湿度保持在40%—60%的范围内；防止灰尘及不良气体侵入室内；切实做好防火、防水、防静电、防虫鼠、防震、防盗等工作，确保人身和设备安全；切实做好防雷工作，保障设备可靠接地，每年雷雨季节之前应进行全面检查，验保接地电阻符合要求；加强门禁系统管理，确保机房安全；保证室内工作照明和事故照明。</w:t>
            </w:r>
          </w:p>
        </w:tc>
      </w:tr>
      <w:tr w14:paraId="600C2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84" w:type="dxa"/>
            <w:tcBorders>
              <w:tl2br w:val="nil"/>
              <w:tr2bl w:val="nil"/>
            </w:tcBorders>
            <w:noWrap w:val="0"/>
            <w:vAlign w:val="top"/>
          </w:tcPr>
          <w:p w14:paraId="520BB2B7">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p>
        </w:tc>
        <w:tc>
          <w:tcPr>
            <w:tcW w:w="541" w:type="dxa"/>
            <w:vMerge w:val="continue"/>
            <w:tcBorders>
              <w:tl2br w:val="nil"/>
              <w:tr2bl w:val="nil"/>
            </w:tcBorders>
            <w:noWrap w:val="0"/>
            <w:vAlign w:val="top"/>
          </w:tcPr>
          <w:p w14:paraId="51A695D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5CE54D2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全彩LED显示屏</w:t>
            </w:r>
          </w:p>
        </w:tc>
        <w:tc>
          <w:tcPr>
            <w:tcW w:w="6817" w:type="dxa"/>
            <w:tcBorders>
              <w:tl2br w:val="nil"/>
              <w:tr2bl w:val="nil"/>
            </w:tcBorders>
            <w:noWrap w:val="0"/>
            <w:vAlign w:val="top"/>
          </w:tcPr>
          <w:p w14:paraId="7710E8C3">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设备日常检测，运行日志填写；设备年检、常规维护，零部件、维护材料消耗，设备日常清洁，防静电除尘，备品备件检查。</w:t>
            </w:r>
          </w:p>
        </w:tc>
      </w:tr>
      <w:tr w14:paraId="0A8A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4" w:type="dxa"/>
            <w:tcBorders>
              <w:tl2br w:val="nil"/>
              <w:tr2bl w:val="nil"/>
            </w:tcBorders>
            <w:noWrap w:val="0"/>
            <w:vAlign w:val="top"/>
          </w:tcPr>
          <w:p w14:paraId="17589509">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p>
        </w:tc>
        <w:tc>
          <w:tcPr>
            <w:tcW w:w="541" w:type="dxa"/>
            <w:vMerge w:val="continue"/>
            <w:tcBorders>
              <w:tl2br w:val="nil"/>
              <w:tr2bl w:val="nil"/>
            </w:tcBorders>
            <w:noWrap w:val="0"/>
            <w:vAlign w:val="top"/>
          </w:tcPr>
          <w:p w14:paraId="2B64DB89">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213635E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音频功率放大器</w:t>
            </w:r>
          </w:p>
        </w:tc>
        <w:tc>
          <w:tcPr>
            <w:tcW w:w="6817" w:type="dxa"/>
            <w:tcBorders>
              <w:tl2br w:val="nil"/>
              <w:tr2bl w:val="nil"/>
            </w:tcBorders>
            <w:noWrap w:val="0"/>
            <w:vAlign w:val="top"/>
          </w:tcPr>
          <w:p w14:paraId="294B4952">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设备日常检测，运行日志填写；设备年检、常规维护，零部件、维护材料消耗，设备日常清洁，防静电除尘。</w:t>
            </w:r>
          </w:p>
        </w:tc>
      </w:tr>
      <w:tr w14:paraId="74A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4" w:type="dxa"/>
            <w:tcBorders>
              <w:tl2br w:val="nil"/>
              <w:tr2bl w:val="nil"/>
            </w:tcBorders>
            <w:noWrap w:val="0"/>
            <w:vAlign w:val="top"/>
          </w:tcPr>
          <w:p w14:paraId="1AAFE9D5">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p>
        </w:tc>
        <w:tc>
          <w:tcPr>
            <w:tcW w:w="541" w:type="dxa"/>
            <w:vMerge w:val="continue"/>
            <w:tcBorders>
              <w:tl2br w:val="nil"/>
              <w:tr2bl w:val="nil"/>
            </w:tcBorders>
            <w:noWrap w:val="0"/>
            <w:vAlign w:val="top"/>
          </w:tcPr>
          <w:p w14:paraId="1C797EC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1606236F">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调音台</w:t>
            </w:r>
          </w:p>
        </w:tc>
        <w:tc>
          <w:tcPr>
            <w:tcW w:w="6817" w:type="dxa"/>
            <w:tcBorders>
              <w:tl2br w:val="nil"/>
              <w:tr2bl w:val="nil"/>
            </w:tcBorders>
            <w:noWrap w:val="0"/>
            <w:vAlign w:val="top"/>
          </w:tcPr>
          <w:p w14:paraId="7B9D6857">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设备日常检测，运行日志填写；设备年检、常规维护，零部件、维护材料消耗，设备日常清洁，防静电除尘。</w:t>
            </w:r>
          </w:p>
        </w:tc>
      </w:tr>
      <w:tr w14:paraId="6196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4" w:type="dxa"/>
            <w:tcBorders>
              <w:tl2br w:val="nil"/>
              <w:tr2bl w:val="nil"/>
            </w:tcBorders>
            <w:noWrap w:val="0"/>
            <w:vAlign w:val="top"/>
          </w:tcPr>
          <w:p w14:paraId="7B67E734">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w:t>
            </w:r>
          </w:p>
        </w:tc>
        <w:tc>
          <w:tcPr>
            <w:tcW w:w="541" w:type="dxa"/>
            <w:vMerge w:val="continue"/>
            <w:tcBorders>
              <w:tl2br w:val="nil"/>
              <w:tr2bl w:val="nil"/>
            </w:tcBorders>
            <w:noWrap w:val="0"/>
            <w:vAlign w:val="top"/>
          </w:tcPr>
          <w:p w14:paraId="4B57794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64671ECC">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功放</w:t>
            </w:r>
          </w:p>
        </w:tc>
        <w:tc>
          <w:tcPr>
            <w:tcW w:w="6817" w:type="dxa"/>
            <w:tcBorders>
              <w:tl2br w:val="nil"/>
              <w:tr2bl w:val="nil"/>
            </w:tcBorders>
            <w:noWrap w:val="0"/>
            <w:vAlign w:val="top"/>
          </w:tcPr>
          <w:p w14:paraId="6C8AA381">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设备日常检测，运行日志填写；设备年检、常规维护，零部件、维护材料消耗，设备日常清洁，防静电除尘。</w:t>
            </w:r>
          </w:p>
        </w:tc>
      </w:tr>
      <w:tr w14:paraId="140B3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4" w:type="dxa"/>
            <w:tcBorders>
              <w:tl2br w:val="nil"/>
              <w:tr2bl w:val="nil"/>
            </w:tcBorders>
            <w:noWrap w:val="0"/>
            <w:vAlign w:val="top"/>
          </w:tcPr>
          <w:p w14:paraId="3B58CE1A">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w:t>
            </w:r>
          </w:p>
        </w:tc>
        <w:tc>
          <w:tcPr>
            <w:tcW w:w="541" w:type="dxa"/>
            <w:vMerge w:val="continue"/>
            <w:tcBorders>
              <w:tl2br w:val="nil"/>
              <w:tr2bl w:val="nil"/>
            </w:tcBorders>
            <w:noWrap w:val="0"/>
            <w:vAlign w:val="top"/>
          </w:tcPr>
          <w:p w14:paraId="0F0C6E7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758E8D39">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无线麦克风</w:t>
            </w:r>
          </w:p>
        </w:tc>
        <w:tc>
          <w:tcPr>
            <w:tcW w:w="6817" w:type="dxa"/>
            <w:tcBorders>
              <w:tl2br w:val="nil"/>
              <w:tr2bl w:val="nil"/>
            </w:tcBorders>
            <w:noWrap w:val="0"/>
            <w:vAlign w:val="top"/>
          </w:tcPr>
          <w:p w14:paraId="17E9ADBA">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设备日常检测，运行日志填写；音频测试，设备日常清洁，防静电除尘。</w:t>
            </w:r>
          </w:p>
        </w:tc>
      </w:tr>
      <w:tr w14:paraId="2827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84" w:type="dxa"/>
            <w:tcBorders>
              <w:tl2br w:val="nil"/>
              <w:tr2bl w:val="nil"/>
            </w:tcBorders>
            <w:noWrap w:val="0"/>
            <w:vAlign w:val="top"/>
          </w:tcPr>
          <w:p w14:paraId="227AF892">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w:t>
            </w:r>
          </w:p>
        </w:tc>
        <w:tc>
          <w:tcPr>
            <w:tcW w:w="541" w:type="dxa"/>
            <w:vMerge w:val="continue"/>
            <w:tcBorders>
              <w:tl2br w:val="nil"/>
              <w:tr2bl w:val="nil"/>
            </w:tcBorders>
            <w:noWrap w:val="0"/>
            <w:vAlign w:val="top"/>
          </w:tcPr>
          <w:p w14:paraId="73AFCB5D">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58F4802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2*2拼接屏</w:t>
            </w:r>
          </w:p>
        </w:tc>
        <w:tc>
          <w:tcPr>
            <w:tcW w:w="6817" w:type="dxa"/>
            <w:tcBorders>
              <w:tl2br w:val="nil"/>
              <w:tr2bl w:val="nil"/>
            </w:tcBorders>
            <w:noWrap w:val="0"/>
            <w:vAlign w:val="top"/>
          </w:tcPr>
          <w:p w14:paraId="515D38FC">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每天更新显示内容，设备日常检测，运行日志填写；设备年检、常规维护，零部件、维护材料消耗，设备日常清洁，防静电除尘。</w:t>
            </w:r>
          </w:p>
        </w:tc>
      </w:tr>
      <w:tr w14:paraId="203D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4" w:type="dxa"/>
            <w:tcBorders>
              <w:tl2br w:val="nil"/>
              <w:tr2bl w:val="nil"/>
            </w:tcBorders>
            <w:noWrap w:val="0"/>
            <w:vAlign w:val="top"/>
          </w:tcPr>
          <w:p w14:paraId="6E722B27">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43</w:t>
            </w:r>
          </w:p>
        </w:tc>
        <w:tc>
          <w:tcPr>
            <w:tcW w:w="541" w:type="dxa"/>
            <w:vMerge w:val="continue"/>
            <w:tcBorders>
              <w:tl2br w:val="nil"/>
              <w:tr2bl w:val="nil"/>
            </w:tcBorders>
            <w:noWrap w:val="0"/>
            <w:vAlign w:val="top"/>
          </w:tcPr>
          <w:p w14:paraId="1B2CC09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4D96D4A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LED显示屏条幅屏</w:t>
            </w:r>
          </w:p>
        </w:tc>
        <w:tc>
          <w:tcPr>
            <w:tcW w:w="6817" w:type="dxa"/>
            <w:tcBorders>
              <w:tl2br w:val="nil"/>
              <w:tr2bl w:val="nil"/>
            </w:tcBorders>
            <w:noWrap w:val="0"/>
            <w:vAlign w:val="top"/>
          </w:tcPr>
          <w:p w14:paraId="72DED37B">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设备日常检测，运行日志填写；设备年检、常规维护，零部件、维护材料消耗，设备日常清洁，防静电除尘。</w:t>
            </w:r>
          </w:p>
        </w:tc>
      </w:tr>
      <w:tr w14:paraId="4AD9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784" w:type="dxa"/>
            <w:tcBorders>
              <w:tl2br w:val="nil"/>
              <w:tr2bl w:val="nil"/>
            </w:tcBorders>
            <w:noWrap w:val="0"/>
            <w:vAlign w:val="top"/>
          </w:tcPr>
          <w:p w14:paraId="7245355B">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44</w:t>
            </w:r>
          </w:p>
        </w:tc>
        <w:tc>
          <w:tcPr>
            <w:tcW w:w="541" w:type="dxa"/>
            <w:vMerge w:val="continue"/>
            <w:tcBorders>
              <w:tl2br w:val="nil"/>
              <w:tr2bl w:val="nil"/>
            </w:tcBorders>
            <w:noWrap w:val="0"/>
            <w:vAlign w:val="top"/>
          </w:tcPr>
          <w:p w14:paraId="3699EF4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68AC461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RGB矩阵</w:t>
            </w:r>
          </w:p>
        </w:tc>
        <w:tc>
          <w:tcPr>
            <w:tcW w:w="6817" w:type="dxa"/>
            <w:tcBorders>
              <w:tl2br w:val="nil"/>
              <w:tr2bl w:val="nil"/>
            </w:tcBorders>
            <w:noWrap w:val="0"/>
            <w:vAlign w:val="top"/>
          </w:tcPr>
          <w:p w14:paraId="24282966">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设备日常检测，运行日志填写；设备年检、常规维护，零部件、维护材料消耗，设备日常清洁，防静电除尘。</w:t>
            </w:r>
          </w:p>
        </w:tc>
      </w:tr>
      <w:tr w14:paraId="4FEEC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84" w:type="dxa"/>
            <w:tcBorders>
              <w:tl2br w:val="nil"/>
              <w:tr2bl w:val="nil"/>
            </w:tcBorders>
            <w:noWrap w:val="0"/>
            <w:vAlign w:val="top"/>
          </w:tcPr>
          <w:p w14:paraId="6F9042B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45</w:t>
            </w:r>
          </w:p>
        </w:tc>
        <w:tc>
          <w:tcPr>
            <w:tcW w:w="541" w:type="dxa"/>
            <w:vMerge w:val="continue"/>
            <w:tcBorders>
              <w:tl2br w:val="nil"/>
              <w:tr2bl w:val="nil"/>
            </w:tcBorders>
            <w:noWrap w:val="0"/>
            <w:vAlign w:val="top"/>
          </w:tcPr>
          <w:p w14:paraId="0EB558B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03BB78E4">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HDMI矩阵</w:t>
            </w:r>
          </w:p>
        </w:tc>
        <w:tc>
          <w:tcPr>
            <w:tcW w:w="6817" w:type="dxa"/>
            <w:tcBorders>
              <w:tl2br w:val="nil"/>
              <w:tr2bl w:val="nil"/>
            </w:tcBorders>
            <w:noWrap w:val="0"/>
            <w:vAlign w:val="top"/>
          </w:tcPr>
          <w:p w14:paraId="6721C8EA">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设备日常检测，运行日志填写；设备年检、常规维护，零部件、维护材料消耗，设备日常清洁，防静电除尘。</w:t>
            </w:r>
          </w:p>
        </w:tc>
      </w:tr>
      <w:tr w14:paraId="1C7B8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784" w:type="dxa"/>
            <w:tcBorders>
              <w:tl2br w:val="nil"/>
              <w:tr2bl w:val="nil"/>
            </w:tcBorders>
            <w:noWrap w:val="0"/>
            <w:vAlign w:val="top"/>
          </w:tcPr>
          <w:p w14:paraId="7438533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46</w:t>
            </w:r>
          </w:p>
        </w:tc>
        <w:tc>
          <w:tcPr>
            <w:tcW w:w="541" w:type="dxa"/>
            <w:vMerge w:val="continue"/>
            <w:tcBorders>
              <w:tl2br w:val="nil"/>
              <w:tr2bl w:val="nil"/>
            </w:tcBorders>
            <w:noWrap w:val="0"/>
            <w:vAlign w:val="top"/>
          </w:tcPr>
          <w:p w14:paraId="56B2D5B0">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79B3052A">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机房精密空调</w:t>
            </w:r>
          </w:p>
        </w:tc>
        <w:tc>
          <w:tcPr>
            <w:tcW w:w="6817" w:type="dxa"/>
            <w:tcBorders>
              <w:tl2br w:val="nil"/>
              <w:tr2bl w:val="nil"/>
            </w:tcBorders>
            <w:noWrap w:val="0"/>
            <w:vAlign w:val="top"/>
          </w:tcPr>
          <w:p w14:paraId="650E2132">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设备日常检测，运行日志填写；设备每半年进行一次清洁及全面检查，进行常规维护，零部件、维护材料消耗，设备日常清洁，防静电除尘。</w:t>
            </w:r>
          </w:p>
        </w:tc>
      </w:tr>
      <w:tr w14:paraId="40962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84" w:type="dxa"/>
            <w:tcBorders>
              <w:tl2br w:val="nil"/>
              <w:tr2bl w:val="nil"/>
            </w:tcBorders>
            <w:noWrap w:val="0"/>
            <w:vAlign w:val="top"/>
          </w:tcPr>
          <w:p w14:paraId="65972B6C">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47</w:t>
            </w:r>
          </w:p>
        </w:tc>
        <w:tc>
          <w:tcPr>
            <w:tcW w:w="541" w:type="dxa"/>
            <w:vMerge w:val="continue"/>
            <w:tcBorders>
              <w:tl2br w:val="nil"/>
              <w:tr2bl w:val="nil"/>
            </w:tcBorders>
            <w:noWrap w:val="0"/>
            <w:vAlign w:val="top"/>
          </w:tcPr>
          <w:p w14:paraId="19A0A70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18175FBE">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机房普通立柜式空调</w:t>
            </w:r>
          </w:p>
        </w:tc>
        <w:tc>
          <w:tcPr>
            <w:tcW w:w="6817" w:type="dxa"/>
            <w:tcBorders>
              <w:tl2br w:val="nil"/>
              <w:tr2bl w:val="nil"/>
            </w:tcBorders>
            <w:noWrap w:val="0"/>
            <w:vAlign w:val="top"/>
          </w:tcPr>
          <w:p w14:paraId="51EFC439">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设备日常检测，运行日志填写；设备每半年进行一次清洁及全面检查，进行常规维护，零部件、维护材料消耗，设备日常清洁，防静电除尘。</w:t>
            </w:r>
          </w:p>
        </w:tc>
      </w:tr>
      <w:tr w14:paraId="0B38A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84" w:type="dxa"/>
            <w:tcBorders>
              <w:tl2br w:val="nil"/>
              <w:tr2bl w:val="nil"/>
            </w:tcBorders>
            <w:noWrap w:val="0"/>
            <w:vAlign w:val="top"/>
          </w:tcPr>
          <w:p w14:paraId="0EB7FA6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48</w:t>
            </w:r>
          </w:p>
        </w:tc>
        <w:tc>
          <w:tcPr>
            <w:tcW w:w="541" w:type="dxa"/>
            <w:vMerge w:val="continue"/>
            <w:tcBorders>
              <w:tl2br w:val="nil"/>
              <w:tr2bl w:val="nil"/>
            </w:tcBorders>
            <w:noWrap w:val="0"/>
            <w:vAlign w:val="top"/>
          </w:tcPr>
          <w:p w14:paraId="429C1B77">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653752A3">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机房普通挂式空调</w:t>
            </w:r>
          </w:p>
        </w:tc>
        <w:tc>
          <w:tcPr>
            <w:tcW w:w="6817" w:type="dxa"/>
            <w:tcBorders>
              <w:tl2br w:val="nil"/>
              <w:tr2bl w:val="nil"/>
            </w:tcBorders>
            <w:noWrap w:val="0"/>
            <w:vAlign w:val="top"/>
          </w:tcPr>
          <w:p w14:paraId="2ED4B76C">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设备日常检测，运行日志填写；设备每半年进行一次清洁及全面检查，进行常规维护，零部件、维护材料消耗，设备日常清洁，防静电除尘。</w:t>
            </w:r>
          </w:p>
        </w:tc>
      </w:tr>
      <w:tr w14:paraId="6E25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84" w:type="dxa"/>
            <w:tcBorders>
              <w:tl2br w:val="nil"/>
              <w:tr2bl w:val="nil"/>
            </w:tcBorders>
            <w:noWrap w:val="0"/>
            <w:vAlign w:val="top"/>
          </w:tcPr>
          <w:p w14:paraId="04540472">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49</w:t>
            </w:r>
          </w:p>
        </w:tc>
        <w:tc>
          <w:tcPr>
            <w:tcW w:w="541" w:type="dxa"/>
            <w:vMerge w:val="continue"/>
            <w:tcBorders>
              <w:tl2br w:val="nil"/>
              <w:tr2bl w:val="nil"/>
            </w:tcBorders>
            <w:noWrap w:val="0"/>
            <w:vAlign w:val="top"/>
          </w:tcPr>
          <w:p w14:paraId="088A296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7FE33BA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会议室电视机</w:t>
            </w:r>
          </w:p>
        </w:tc>
        <w:tc>
          <w:tcPr>
            <w:tcW w:w="6817" w:type="dxa"/>
            <w:tcBorders>
              <w:tl2br w:val="nil"/>
              <w:tr2bl w:val="nil"/>
            </w:tcBorders>
            <w:noWrap w:val="0"/>
            <w:vAlign w:val="top"/>
          </w:tcPr>
          <w:p w14:paraId="294BE1DA">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设备日常检测，运行日志填写；设备每半年进行一次清洁及全面检查，进行常规维护，零部件、维护材料消耗，设备日常清洁，防静电除尘。</w:t>
            </w:r>
          </w:p>
        </w:tc>
      </w:tr>
      <w:tr w14:paraId="55335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784" w:type="dxa"/>
            <w:tcBorders>
              <w:tl2br w:val="nil"/>
              <w:tr2bl w:val="nil"/>
            </w:tcBorders>
            <w:noWrap w:val="0"/>
            <w:vAlign w:val="top"/>
          </w:tcPr>
          <w:p w14:paraId="52131E59">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541" w:type="dxa"/>
            <w:vMerge w:val="restart"/>
            <w:tcBorders>
              <w:tl2br w:val="nil"/>
              <w:tr2bl w:val="nil"/>
            </w:tcBorders>
            <w:noWrap w:val="0"/>
            <w:vAlign w:val="top"/>
          </w:tcPr>
          <w:p w14:paraId="7F05EF6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38EEE3D">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9BE5AA9">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1C71BC0E">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1F9A892E">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11CA2664">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67DAFC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01E4AE6">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8A7201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9B9EE93">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0F00AA1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52DD9A37">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22C1FD5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704E94B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118A4861">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E2EAC37">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19C2520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4E33CC8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58FA93A">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617E929C">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p w14:paraId="321CF0E2">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日常</w:t>
            </w:r>
          </w:p>
          <w:p w14:paraId="0D478E07">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维护</w:t>
            </w:r>
          </w:p>
        </w:tc>
        <w:tc>
          <w:tcPr>
            <w:tcW w:w="1456" w:type="dxa"/>
            <w:tcBorders>
              <w:tl2br w:val="nil"/>
              <w:tr2bl w:val="nil"/>
            </w:tcBorders>
            <w:noWrap w:val="0"/>
            <w:vAlign w:val="top"/>
          </w:tcPr>
          <w:p w14:paraId="220DA58F">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会议室和机房消防设备维护</w:t>
            </w:r>
          </w:p>
        </w:tc>
        <w:tc>
          <w:tcPr>
            <w:tcW w:w="6817" w:type="dxa"/>
            <w:tcBorders>
              <w:tl2br w:val="nil"/>
              <w:tr2bl w:val="nil"/>
            </w:tcBorders>
            <w:noWrap w:val="0"/>
            <w:vAlign w:val="top"/>
          </w:tcPr>
          <w:p w14:paraId="7048D65D">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1.建立机房安全消防责任制,明确相关人员的安全责任和义务。</w:t>
            </w:r>
          </w:p>
          <w:p w14:paraId="04A905BC">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2.确定机房内消防设备的配置和布局,并定期对其进行检查和维护,确保其正常运行。 </w:t>
            </w:r>
          </w:p>
          <w:p w14:paraId="34FFFF20">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3.制定机房消防演练计划,定期组织机房人员参与消防演练。</w:t>
            </w:r>
          </w:p>
          <w:p w14:paraId="0A44B72E">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4.定期和不定期对机房和会议室设备进行安全检查，清理可燃物，排查隐患。</w:t>
            </w:r>
          </w:p>
        </w:tc>
      </w:tr>
      <w:tr w14:paraId="2C241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4" w:type="dxa"/>
            <w:tcBorders>
              <w:tl2br w:val="nil"/>
              <w:tr2bl w:val="nil"/>
            </w:tcBorders>
            <w:noWrap w:val="0"/>
            <w:vAlign w:val="top"/>
          </w:tcPr>
          <w:p w14:paraId="1942A5D6">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51</w:t>
            </w:r>
          </w:p>
        </w:tc>
        <w:tc>
          <w:tcPr>
            <w:tcW w:w="541" w:type="dxa"/>
            <w:vMerge w:val="continue"/>
            <w:tcBorders>
              <w:tl2br w:val="nil"/>
              <w:tr2bl w:val="nil"/>
            </w:tcBorders>
            <w:noWrap w:val="0"/>
            <w:vAlign w:val="top"/>
          </w:tcPr>
          <w:p w14:paraId="4647AA6F">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0CE8344A">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网络机房日常管理</w:t>
            </w:r>
          </w:p>
        </w:tc>
        <w:tc>
          <w:tcPr>
            <w:tcW w:w="6817" w:type="dxa"/>
            <w:tcBorders>
              <w:tl2br w:val="nil"/>
              <w:tr2bl w:val="nil"/>
            </w:tcBorders>
            <w:noWrap w:val="0"/>
            <w:vAlign w:val="top"/>
          </w:tcPr>
          <w:p w14:paraId="4EAF02F8">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机房环境维护:保持机房室内温度在15～30℃，相对湿度保持在40%～60%的范围内；防止灰尘及不良气体侵入室内；切实做好防火、防水、防虫鼠、防震、防盗等工作，确保人身和设备安全；切实做好防雷工作，保障设备可靠接地，雷雨季节之前进行全面检查，确保接地电阻符合要求；加强门禁系统管理，确保机房安全；保证室内工作照明和事故照明。</w:t>
            </w:r>
          </w:p>
          <w:p w14:paraId="4235BD7E">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（2）综合布线维护:清理无序线路，使配线系统整齐、美观、层次分明。</w:t>
            </w:r>
          </w:p>
          <w:p w14:paraId="3CD0934C">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（3）空调、排风系统维护:清理、检测空调、排风系统的运行情况，设备使用情况，及时发现及解决设备运行中存在的隐患；调整其工作状态，保证系统正常运行。</w:t>
            </w:r>
          </w:p>
          <w:p w14:paraId="2771F8B1">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（4）机房电源维护：在现有电源系统配置的情况下，及时发现、处理电源故障，保证电源设备正常运行、备份电源能够及时投入运行，确保信息通信设备供电正常。</w:t>
            </w:r>
          </w:p>
          <w:p w14:paraId="5DA1E685">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（5）机房网络维护：保障机房网络系统运行的稳定性和可靠性；保障网络故障的及时响应与修复。</w:t>
            </w:r>
          </w:p>
          <w:p w14:paraId="50197955">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（6）机房设备维护（包含网络设备：交换机、路由器等） 。</w:t>
            </w:r>
          </w:p>
          <w:p w14:paraId="6D7C627D">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定期清理机房设备组件和设备外部卫生，及时发现设备运行中存在的错误和隐患，迅速排出故障，保证设备处于稳定运行状态，运行环境检查（如温度、湿度、电池容量、电池老化程度），如发现问题尽早采取措施，排除故障隐患和安全漏洞，及时修复或更换。</w:t>
            </w:r>
          </w:p>
        </w:tc>
      </w:tr>
      <w:tr w14:paraId="79C3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84" w:type="dxa"/>
            <w:tcBorders>
              <w:tl2br w:val="nil"/>
              <w:tr2bl w:val="nil"/>
            </w:tcBorders>
            <w:noWrap w:val="0"/>
            <w:vAlign w:val="top"/>
          </w:tcPr>
          <w:p w14:paraId="10E311FD">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52</w:t>
            </w:r>
          </w:p>
        </w:tc>
        <w:tc>
          <w:tcPr>
            <w:tcW w:w="541" w:type="dxa"/>
            <w:vMerge w:val="continue"/>
            <w:tcBorders>
              <w:tl2br w:val="nil"/>
              <w:tr2bl w:val="nil"/>
            </w:tcBorders>
            <w:noWrap w:val="0"/>
            <w:vAlign w:val="top"/>
          </w:tcPr>
          <w:p w14:paraId="37FA3D65">
            <w:pPr>
              <w:keepNext w:val="0"/>
              <w:keepLines w:val="0"/>
              <w:widowControl/>
              <w:suppressLineNumbers w:val="0"/>
              <w:kinsoku/>
              <w:overflowPunct/>
              <w:bidi w:val="0"/>
              <w:spacing w:line="360" w:lineRule="auto"/>
              <w:ind w:firstLine="480" w:firstLineChars="20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56" w:type="dxa"/>
            <w:tcBorders>
              <w:tl2br w:val="nil"/>
              <w:tr2bl w:val="nil"/>
            </w:tcBorders>
            <w:noWrap w:val="0"/>
            <w:vAlign w:val="top"/>
          </w:tcPr>
          <w:p w14:paraId="15C68B71">
            <w:pPr>
              <w:keepNext w:val="0"/>
              <w:keepLines w:val="0"/>
              <w:widowControl/>
              <w:suppressLineNumbers w:val="0"/>
              <w:kinsoku/>
              <w:overflowPunct/>
              <w:bidi w:val="0"/>
              <w:spacing w:line="360" w:lineRule="auto"/>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涉密机房日常管理</w:t>
            </w:r>
          </w:p>
        </w:tc>
        <w:tc>
          <w:tcPr>
            <w:tcW w:w="6817" w:type="dxa"/>
            <w:tcBorders>
              <w:tl2br w:val="nil"/>
              <w:tr2bl w:val="nil"/>
            </w:tcBorders>
            <w:noWrap w:val="0"/>
            <w:vAlign w:val="top"/>
          </w:tcPr>
          <w:p w14:paraId="6E67B55D">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严格遵守保密制度，做好出入登记，严禁带外人进入机房。</w:t>
            </w:r>
          </w:p>
          <w:p w14:paraId="61A53ED5">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机房环境维护:保持机房室内温度在15～30℃，相对湿度保持在40%～60%的范围内；防止灰尘及不良气体侵入室内；切实做好防火、防水、防虫鼠、防震、防盗等工作，确保人身和设备安全；切实做好防雷工作，保障设备可靠接地，雷雨季节之前进行全面检查，确保接地电阻符合要求；加强门禁系统管理，确保机房安全；保证室内工作照明和事故照明。</w:t>
            </w:r>
          </w:p>
          <w:p w14:paraId="23E0A9BA">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（2）综合布线维护:清理无序线路，使配线系统整齐、美观、层次分明。</w:t>
            </w:r>
          </w:p>
          <w:p w14:paraId="5110AB01">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（3）空调、排风系统维护:清理、检测空调、排风系统的运行情况，设备使用情况，及时发现及解决设备运行中存在的隐患；调整其工作状态，保证系统正常运行。</w:t>
            </w:r>
          </w:p>
          <w:p w14:paraId="3ADAB3C3">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（4）机房电源维护：在现有电源系统配置的情况下，及时发现、处理电源故障，保证电源设备正常运行、备份电源能够及时投入运行，确保信息通信设备供电正常。</w:t>
            </w:r>
          </w:p>
          <w:p w14:paraId="46AA515E">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（5）机房网络维护：保障机房网络系统运行的稳定性和可靠性；保障网络故障的及时响应与修复。</w:t>
            </w:r>
          </w:p>
          <w:p w14:paraId="2BAA00EF">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（6）机房设备维护（包含网络设备：交换机、路由器等） 。</w:t>
            </w:r>
          </w:p>
          <w:p w14:paraId="5583AA08">
            <w:pPr>
              <w:keepNext w:val="0"/>
              <w:keepLines w:val="0"/>
              <w:widowControl/>
              <w:suppressLineNumbers w:val="0"/>
              <w:kinsoku/>
              <w:overflowPunct/>
              <w:bidi w:val="0"/>
              <w:spacing w:line="360" w:lineRule="auto"/>
              <w:ind w:firstLine="480" w:firstLineChars="2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定期清理机房设备组件和设备外部卫生，及时发现设备运行中存在的错误和隐患，迅速排出故障，保证设备处于稳定运行状态，运行环境检查（如温度、湿度、电池容量、电池老化程度），如发现问题尽早采取措施，排除故障隐患和安全漏洞，及时修复或更换。</w:t>
            </w:r>
          </w:p>
        </w:tc>
      </w:tr>
    </w:tbl>
    <w:p w14:paraId="1C0B0B36">
      <w:pPr>
        <w:kinsoku/>
        <w:overflowPunct/>
        <w:bidi w:val="0"/>
        <w:spacing w:line="360" w:lineRule="auto"/>
        <w:ind w:firstLine="482" w:firstLineChars="200"/>
        <w:rPr>
          <w:rFonts w:hint="eastAsia" w:ascii="宋体" w:hAnsi="宋体"/>
          <w:b/>
          <w:bCs/>
          <w:color w:val="auto"/>
          <w:sz w:val="24"/>
          <w:highlight w:val="none"/>
          <w:lang w:eastAsia="zh-CN"/>
        </w:rPr>
      </w:pPr>
    </w:p>
    <w:p w14:paraId="5A4208EC">
      <w:pPr>
        <w:kinsoku/>
        <w:overflowPunct/>
        <w:bidi w:val="0"/>
        <w:spacing w:line="360" w:lineRule="auto"/>
        <w:ind w:firstLine="640" w:firstLineChars="200"/>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维护保障</w:t>
      </w:r>
    </w:p>
    <w:p w14:paraId="4A541EC1">
      <w:pPr>
        <w:kinsoku/>
        <w:overflowPunct/>
        <w:bidi w:val="0"/>
        <w:spacing w:line="360" w:lineRule="auto"/>
        <w:ind w:firstLine="480" w:firstLineChars="200"/>
        <w:rPr>
          <w:rFonts w:ascii="宋体" w:hAnsi="宋体" w:cs="宋体"/>
          <w:bCs/>
          <w:color w:val="auto"/>
          <w:sz w:val="24"/>
          <w:szCs w:val="20"/>
          <w:highlight w:val="none"/>
        </w:rPr>
      </w:pPr>
      <w:bookmarkStart w:id="95" w:name="_Toc239602883"/>
      <w:bookmarkStart w:id="96" w:name="_Toc226904231"/>
      <w:bookmarkStart w:id="97" w:name="OLE_LINK21"/>
      <w:r>
        <w:rPr>
          <w:rFonts w:hint="eastAsia" w:ascii="宋体" w:hAnsi="宋体" w:cs="宋体"/>
          <w:bCs/>
          <w:color w:val="auto"/>
          <w:sz w:val="24"/>
          <w:szCs w:val="20"/>
          <w:highlight w:val="none"/>
        </w:rPr>
        <w:t>1.供应商需指派专人管理和实施本项目，在实施过程中，应保证长期派驻</w:t>
      </w:r>
      <w:r>
        <w:rPr>
          <w:rFonts w:hint="eastAsia" w:hAnsi="宋体" w:cs="宋体"/>
          <w:bCs/>
          <w:color w:val="auto"/>
          <w:sz w:val="24"/>
          <w:szCs w:val="20"/>
          <w:highlight w:val="none"/>
          <w:lang w:val="en-US" w:eastAsia="zh-CN"/>
        </w:rPr>
        <w:t>1</w:t>
      </w:r>
      <w:r>
        <w:rPr>
          <w:rFonts w:hint="eastAsia" w:ascii="宋体" w:hAnsi="宋体" w:cs="宋体"/>
          <w:bCs/>
          <w:color w:val="auto"/>
          <w:sz w:val="24"/>
          <w:szCs w:val="20"/>
          <w:highlight w:val="none"/>
        </w:rPr>
        <w:t>名技术员</w:t>
      </w:r>
      <w:r>
        <w:rPr>
          <w:rFonts w:hint="eastAsia" w:hAnsi="宋体" w:cs="宋体"/>
          <w:bCs/>
          <w:color w:val="auto"/>
          <w:sz w:val="24"/>
          <w:szCs w:val="20"/>
          <w:highlight w:val="none"/>
          <w:lang w:val="en-US" w:eastAsia="zh-CN"/>
        </w:rPr>
        <w:t>,汛期加派一名技术员</w:t>
      </w:r>
      <w:r>
        <w:rPr>
          <w:rFonts w:hint="eastAsia" w:ascii="宋体" w:hAnsi="宋体" w:cs="宋体"/>
          <w:bCs/>
          <w:color w:val="auto"/>
          <w:sz w:val="24"/>
          <w:szCs w:val="20"/>
          <w:highlight w:val="none"/>
        </w:rPr>
        <w:t>。</w:t>
      </w:r>
    </w:p>
    <w:p w14:paraId="504615CF">
      <w:pPr>
        <w:kinsoku/>
        <w:overflowPunct/>
        <w:bidi w:val="0"/>
        <w:spacing w:line="360" w:lineRule="auto"/>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2.汛前每站定期巡查、检测、维修不少于一次，站点出现异常后，一个工作日内响应并派维护人员现场检修。平台系统及相关承载硬件部分发生故障时，要求2小时内查明故障原因，并提供解决方案。</w:t>
      </w:r>
    </w:p>
    <w:p w14:paraId="0E40C636">
      <w:pPr>
        <w:kinsoku/>
        <w:overflowPunct/>
        <w:bidi w:val="0"/>
        <w:spacing w:line="360" w:lineRule="auto"/>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3.维护确认</w:t>
      </w:r>
    </w:p>
    <w:p w14:paraId="53CD282A">
      <w:pPr>
        <w:kinsoku/>
        <w:overflowPunct/>
        <w:bidi w:val="0"/>
        <w:spacing w:line="360" w:lineRule="auto"/>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3.1维护确认每季度进行一次。供应商应在每次维护时以书面方式提出申请，根据维护清单上的内容进行维护确认。</w:t>
      </w:r>
    </w:p>
    <w:p w14:paraId="1CDEDFEB">
      <w:pPr>
        <w:kinsoku/>
        <w:overflowPunct/>
        <w:bidi w:val="0"/>
        <w:spacing w:line="360" w:lineRule="auto"/>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3.2维护确认的内容包括系统、设备故障现象、原因、故障排除过程、更换配件情况、恢复状况等。</w:t>
      </w:r>
    </w:p>
    <w:p w14:paraId="4066E49C">
      <w:pPr>
        <w:kinsoku/>
        <w:overflowPunct/>
        <w:bidi w:val="0"/>
        <w:spacing w:line="360" w:lineRule="auto"/>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4.维护范围确认</w:t>
      </w:r>
    </w:p>
    <w:p w14:paraId="73E64270">
      <w:pPr>
        <w:kinsoku/>
        <w:overflowPunct/>
        <w:bidi w:val="0"/>
        <w:spacing w:line="360" w:lineRule="auto"/>
        <w:ind w:firstLine="480" w:firstLineChars="200"/>
        <w:rPr>
          <w:rFonts w:ascii="宋体" w:hAnsi="宋体" w:cs="宋体"/>
          <w:bCs/>
          <w:color w:val="auto"/>
          <w:sz w:val="24"/>
          <w:szCs w:val="20"/>
          <w:highlight w:val="none"/>
        </w:rPr>
      </w:pPr>
      <w:r>
        <w:rPr>
          <w:rFonts w:hint="eastAsia" w:ascii="宋体" w:hAnsi="宋体" w:cs="宋体"/>
          <w:bCs/>
          <w:color w:val="auto"/>
          <w:sz w:val="24"/>
          <w:szCs w:val="20"/>
          <w:highlight w:val="none"/>
        </w:rPr>
        <w:t>4.1所有系统、设备因设备线路老化、损坏、螺钉螺帽脱落、相关外设锈蚀等由非关键因素的维修由供应商免费解决；关键核心设备的故障由采购人提供设备，供应商提供人员保障。</w:t>
      </w:r>
    </w:p>
    <w:bookmarkEnd w:id="95"/>
    <w:bookmarkEnd w:id="96"/>
    <w:bookmarkEnd w:id="97"/>
    <w:p w14:paraId="65B98AA7">
      <w:pPr>
        <w:kinsoku/>
        <w:overflowPunct/>
        <w:autoSpaceDE w:val="0"/>
        <w:autoSpaceDN w:val="0"/>
        <w:bidi w:val="0"/>
        <w:adjustRightInd w:val="0"/>
        <w:spacing w:line="360" w:lineRule="auto"/>
        <w:ind w:firstLine="480" w:firstLineChars="200"/>
        <w:rPr>
          <w:rFonts w:ascii="宋体" w:hAnsi="宋体" w:cs="宋体"/>
          <w:color w:val="auto"/>
          <w:kern w:val="0"/>
          <w:sz w:val="24"/>
          <w:szCs w:val="21"/>
          <w:highlight w:val="none"/>
        </w:rPr>
      </w:pPr>
      <w:r>
        <w:rPr>
          <w:rFonts w:hint="eastAsia" w:ascii="宋体" w:hAnsi="宋体" w:cs="宋体"/>
          <w:color w:val="auto"/>
          <w:kern w:val="0"/>
          <w:sz w:val="24"/>
          <w:szCs w:val="21"/>
          <w:highlight w:val="none"/>
        </w:rPr>
        <w:t>4.2针对采购人业务需求指定专职客户经理、专职工程师，受理并处理采购人全程端到端的故障申告。</w:t>
      </w:r>
    </w:p>
    <w:p w14:paraId="7982AC3C">
      <w:pPr>
        <w:kinsoku/>
        <w:overflowPunct/>
        <w:autoSpaceDE w:val="0"/>
        <w:autoSpaceDN w:val="0"/>
        <w:bidi w:val="0"/>
        <w:adjustRightInd w:val="0"/>
        <w:spacing w:line="360" w:lineRule="auto"/>
        <w:ind w:firstLine="480" w:firstLineChars="200"/>
        <w:rPr>
          <w:rFonts w:ascii="宋体" w:hAnsi="宋体" w:cs="宋体"/>
          <w:color w:val="auto"/>
          <w:kern w:val="0"/>
          <w:sz w:val="24"/>
          <w:szCs w:val="21"/>
          <w:highlight w:val="none"/>
        </w:rPr>
      </w:pPr>
      <w:r>
        <w:rPr>
          <w:rFonts w:hint="eastAsia" w:ascii="宋体" w:hAnsi="宋体" w:cs="宋体"/>
          <w:color w:val="auto"/>
          <w:kern w:val="0"/>
          <w:sz w:val="24"/>
          <w:szCs w:val="21"/>
          <w:highlight w:val="none"/>
        </w:rPr>
        <w:t>4.3提供本项目服务期内所涉及设备和电路的整体维护和技术支持，包括运维、调试、搬迁、升级等涉及的一般性需求调整、功能完善、现场指导和应急保障及售后培训等。</w:t>
      </w:r>
    </w:p>
    <w:p w14:paraId="6F907C97">
      <w:pPr>
        <w:kinsoku/>
        <w:overflowPunct/>
        <w:autoSpaceDE w:val="0"/>
        <w:autoSpaceDN w:val="0"/>
        <w:bidi w:val="0"/>
        <w:adjustRightInd w:val="0"/>
        <w:spacing w:line="360" w:lineRule="auto"/>
        <w:ind w:firstLine="480" w:firstLineChars="200"/>
        <w:rPr>
          <w:rFonts w:ascii="宋体" w:hAnsi="宋体" w:cs="宋体"/>
          <w:color w:val="auto"/>
          <w:kern w:val="0"/>
          <w:sz w:val="24"/>
          <w:szCs w:val="21"/>
          <w:highlight w:val="none"/>
        </w:rPr>
      </w:pPr>
      <w:r>
        <w:rPr>
          <w:rFonts w:hint="eastAsia" w:ascii="宋体" w:hAnsi="宋体" w:cs="宋体"/>
          <w:color w:val="auto"/>
          <w:kern w:val="0"/>
          <w:sz w:val="24"/>
          <w:szCs w:val="21"/>
          <w:highlight w:val="none"/>
        </w:rPr>
        <w:t>5.故障处理：服务期内7*24小时受理通信故障申告，并按规定时限处理恢复。因光纤、线路等障碍引起的网络中断，在4小时内修复；提供的设备要求有备机备件及备线，因设备故障造成的网络中断，不能立即修复的提供备机备件，中断时间不能超过4小时。因处理故障而产生的相关费用由供应商自己承担。</w:t>
      </w:r>
    </w:p>
    <w:p w14:paraId="1F7634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p>
    <w:p w14:paraId="1DC29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四、</w:t>
      </w:r>
      <w:r>
        <w:rPr>
          <w:rFonts w:hint="eastAsia" w:ascii="黑体" w:hAnsi="黑体" w:eastAsia="黑体" w:cs="黑体"/>
          <w:b w:val="0"/>
          <w:bCs w:val="0"/>
          <w:color w:val="auto"/>
          <w:sz w:val="28"/>
          <w:szCs w:val="28"/>
          <w:highlight w:val="none"/>
        </w:rPr>
        <w:t>商务要求</w:t>
      </w:r>
      <w:r>
        <w:rPr>
          <w:rFonts w:hint="eastAsia" w:ascii="黑体" w:hAnsi="黑体" w:eastAsia="黑体" w:cs="黑体"/>
          <w:b w:val="0"/>
          <w:bCs w:val="0"/>
          <w:color w:val="auto"/>
          <w:sz w:val="28"/>
          <w:szCs w:val="28"/>
          <w:highlight w:val="none"/>
          <w:lang w:val="en-US" w:eastAsia="zh-CN"/>
        </w:rPr>
        <w:t>★</w:t>
      </w:r>
    </w:p>
    <w:p w14:paraId="5366E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1.服务期限:</w:t>
      </w:r>
      <w:r>
        <w:rPr>
          <w:rFonts w:hint="eastAsia" w:ascii="宋体" w:hAnsi="宋体"/>
          <w:bCs/>
          <w:color w:val="auto"/>
          <w:sz w:val="24"/>
          <w:highlight w:val="none"/>
        </w:rPr>
        <w:t>采用“一次招标三年沿用”机制，实行一年一签合同，分期考核、分期付款。本项目服务期为1年</w:t>
      </w:r>
      <w:r>
        <w:rPr>
          <w:rFonts w:hint="eastAsia" w:hAnsi="宋体"/>
          <w:bCs/>
          <w:color w:val="auto"/>
          <w:sz w:val="24"/>
          <w:highlight w:val="none"/>
          <w:lang w:eastAsia="zh-CN"/>
        </w:rPr>
        <w:t>。</w:t>
      </w:r>
    </w:p>
    <w:p w14:paraId="7B37D523">
      <w:pPr>
        <w:kinsoku/>
        <w:overflowPunct/>
        <w:bidi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2.服务地点：采购人指定地点。</w:t>
      </w:r>
    </w:p>
    <w:p w14:paraId="5B379E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3.支付方式：</w:t>
      </w:r>
      <w:r>
        <w:rPr>
          <w:rFonts w:hint="eastAsia"/>
          <w:color w:val="auto"/>
          <w:sz w:val="24"/>
          <w:szCs w:val="24"/>
          <w:highlight w:val="none"/>
        </w:rPr>
        <w:t>采购人将按照采购合同规定，及时向成交供应商支付采购资金。</w:t>
      </w:r>
    </w:p>
    <w:p w14:paraId="4DE9C3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验收方法及标准：</w:t>
      </w:r>
    </w:p>
    <w:p w14:paraId="313218C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按照</w:t>
      </w:r>
      <w:r>
        <w:rPr>
          <w:rFonts w:hint="eastAsia" w:asciiTheme="minorEastAsia" w:hAnsiTheme="minorEastAsia" w:eastAsiaTheme="minorEastAsia" w:cstheme="minorEastAsia"/>
          <w:color w:val="auto"/>
          <w:sz w:val="24"/>
          <w:szCs w:val="24"/>
          <w:highlight w:val="none"/>
        </w:rPr>
        <w:t>政府采购相关法律法规和《财政部关于进一步加强政府采购需求和履约验收管理的指导意见》（财库〔2016〕205号）</w:t>
      </w:r>
      <w:r>
        <w:rPr>
          <w:rFonts w:hint="eastAsia" w:asciiTheme="minorEastAsia" w:hAnsiTheme="minorEastAsia" w:eastAsiaTheme="minorEastAsia" w:cstheme="minorEastAsia"/>
          <w:color w:val="auto"/>
          <w:sz w:val="24"/>
          <w:szCs w:val="24"/>
          <w:highlight w:val="none"/>
          <w:lang w:val="en-US" w:eastAsia="zh-CN"/>
        </w:rPr>
        <w:t>及</w:t>
      </w:r>
      <w:r>
        <w:rPr>
          <w:rFonts w:hint="eastAsia" w:asciiTheme="minorEastAsia" w:hAnsiTheme="minorEastAsia" w:eastAsiaTheme="minorEastAsia" w:cstheme="minorEastAsia"/>
          <w:color w:val="auto"/>
          <w:sz w:val="24"/>
          <w:szCs w:val="24"/>
          <w:highlight w:val="none"/>
        </w:rPr>
        <w:t>《政府采购需求管理办法》（财库〔2021〕22号）的要求及</w:t>
      </w:r>
      <w:r>
        <w:rPr>
          <w:rFonts w:hint="eastAsia" w:asciiTheme="minorEastAsia" w:hAnsiTheme="minorEastAsia" w:eastAsiaTheme="minorEastAsia" w:cstheme="minorEastAsia"/>
          <w:color w:val="auto"/>
          <w:sz w:val="24"/>
          <w:szCs w:val="24"/>
          <w:highlight w:val="none"/>
          <w:lang w:eastAsia="zh-CN"/>
        </w:rPr>
        <w:t>采购</w:t>
      </w:r>
      <w:r>
        <w:rPr>
          <w:rFonts w:hint="eastAsia" w:asciiTheme="minorEastAsia" w:hAnsiTheme="minorEastAsia" w:eastAsiaTheme="minorEastAsia" w:cstheme="minorEastAsia"/>
          <w:color w:val="auto"/>
          <w:sz w:val="24"/>
          <w:szCs w:val="24"/>
          <w:highlight w:val="none"/>
        </w:rPr>
        <w:t>合同规定的技术、服务、安全标准进行验收。</w:t>
      </w:r>
    </w:p>
    <w:p w14:paraId="514B6BF8">
      <w:pPr>
        <w:pStyle w:val="10"/>
        <w:kinsoku/>
        <w:overflowPunct/>
        <w:bidi w:val="0"/>
        <w:spacing w:line="360" w:lineRule="auto"/>
        <w:ind w:firstLine="480" w:firstLineChars="200"/>
        <w:rPr>
          <w:rFonts w:hint="eastAsia"/>
          <w:color w:val="auto"/>
          <w:highlight w:val="none"/>
        </w:rPr>
      </w:pPr>
      <w:r>
        <w:rPr>
          <w:rFonts w:hint="eastAsia" w:hAnsi="Courier New" w:cs="宋体"/>
          <w:color w:val="auto"/>
          <w:kern w:val="0"/>
          <w:sz w:val="24"/>
          <w:szCs w:val="21"/>
          <w:highlight w:val="none"/>
          <w:lang w:val="en-US" w:eastAsia="zh-CN"/>
        </w:rPr>
        <w:t>5.</w:t>
      </w:r>
      <w:r>
        <w:rPr>
          <w:rFonts w:hint="eastAsia" w:ascii="宋体" w:hAnsi="Courier New" w:cs="宋体"/>
          <w:color w:val="auto"/>
          <w:kern w:val="0"/>
          <w:sz w:val="24"/>
          <w:szCs w:val="21"/>
          <w:highlight w:val="none"/>
        </w:rPr>
        <w:t>违约责任：供应商必须遵守采购合同并执行合同中的各项规定，保证采购合同的正常履行。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w:t>
      </w:r>
    </w:p>
    <w:p w14:paraId="3AE971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val="0"/>
          <w:color w:val="auto"/>
          <w:sz w:val="28"/>
          <w:szCs w:val="28"/>
          <w:highlight w:val="none"/>
          <w:lang w:val="en-US" w:eastAsia="zh-CN"/>
        </w:rPr>
      </w:pPr>
      <w:r>
        <w:rPr>
          <w:rFonts w:hint="eastAsia" w:ascii="黑体" w:hAnsi="黑体" w:eastAsia="黑体" w:cs="黑体"/>
          <w:b w:val="0"/>
          <w:bCs w:val="0"/>
          <w:color w:val="auto"/>
          <w:sz w:val="28"/>
          <w:szCs w:val="28"/>
          <w:highlight w:val="none"/>
          <w:lang w:val="en-US" w:eastAsia="zh-CN"/>
        </w:rPr>
        <w:t>五、其他服务要求</w:t>
      </w:r>
    </w:p>
    <w:p w14:paraId="74E584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1.供应商为本项目拟定详细的</w:t>
      </w:r>
      <w:r>
        <w:rPr>
          <w:rFonts w:ascii="宋体" w:hAnsi="宋体"/>
          <w:color w:val="auto"/>
          <w:sz w:val="24"/>
          <w:highlight w:val="none"/>
        </w:rPr>
        <w:t>组织实施方案包含：①</w:t>
      </w:r>
      <w:r>
        <w:rPr>
          <w:rFonts w:hint="eastAsia" w:ascii="宋体" w:hAnsi="宋体"/>
          <w:color w:val="auto"/>
          <w:sz w:val="24"/>
          <w:highlight w:val="none"/>
        </w:rPr>
        <w:t>技术方案</w:t>
      </w:r>
      <w:r>
        <w:rPr>
          <w:rFonts w:ascii="宋体" w:hAnsi="宋体"/>
          <w:color w:val="auto"/>
          <w:sz w:val="24"/>
          <w:highlight w:val="none"/>
        </w:rPr>
        <w:t>；②项目人员管理制度；③人员培训计划</w:t>
      </w:r>
      <w:r>
        <w:rPr>
          <w:rFonts w:hint="eastAsia" w:ascii="宋体" w:hAnsi="宋体"/>
          <w:color w:val="auto"/>
          <w:sz w:val="24"/>
          <w:highlight w:val="none"/>
        </w:rPr>
        <w:t>；④运维技术标准；⑤安全保密及风险防控措施；⑥应急预案</w:t>
      </w:r>
      <w:r>
        <w:rPr>
          <w:rFonts w:hint="eastAsia" w:ascii="宋体" w:hAnsi="宋体" w:eastAsia="宋体" w:cs="宋体"/>
          <w:color w:val="auto"/>
          <w:kern w:val="2"/>
          <w:sz w:val="24"/>
          <w:szCs w:val="24"/>
          <w:highlight w:val="none"/>
          <w:lang w:val="en-US" w:eastAsia="zh-CN" w:bidi="ar-SA"/>
        </w:rPr>
        <w:t>。</w:t>
      </w:r>
    </w:p>
    <w:p w14:paraId="09FE2C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2.供应商为本项目拟定详细</w:t>
      </w:r>
      <w:r>
        <w:rPr>
          <w:rFonts w:hint="eastAsia" w:ascii="宋体" w:hAnsi="宋体"/>
          <w:color w:val="auto"/>
          <w:sz w:val="24"/>
          <w:highlight w:val="none"/>
        </w:rPr>
        <w:t>的售后服务方案，包括但不限于：</w:t>
      </w:r>
      <w:r>
        <w:rPr>
          <w:rFonts w:ascii="宋体" w:hAnsi="宋体"/>
          <w:color w:val="auto"/>
          <w:sz w:val="24"/>
          <w:highlight w:val="none"/>
        </w:rPr>
        <w:t>①售后服务体系建设；②售后人员配置及培训计划；③售后服务网点建设；④故障处置及应急保障措施</w:t>
      </w:r>
      <w:r>
        <w:rPr>
          <w:rFonts w:hint="eastAsia" w:ascii="宋体" w:hAnsi="宋体"/>
          <w:color w:val="auto"/>
          <w:sz w:val="24"/>
          <w:highlight w:val="none"/>
          <w:lang w:eastAsia="zh-CN"/>
        </w:rPr>
        <w:t>。</w:t>
      </w:r>
    </w:p>
    <w:p w14:paraId="3DCE4D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3.供应商提供相应的</w:t>
      </w:r>
      <w:r>
        <w:rPr>
          <w:rFonts w:hint="eastAsia" w:ascii="宋体" w:hAnsi="宋体"/>
          <w:color w:val="auto"/>
          <w:sz w:val="24"/>
          <w:highlight w:val="none"/>
        </w:rPr>
        <w:t>履约能力</w:t>
      </w:r>
      <w:r>
        <w:rPr>
          <w:rFonts w:hint="eastAsia" w:ascii="宋体" w:hAnsi="宋体" w:eastAsia="宋体" w:cs="宋体"/>
          <w:color w:val="auto"/>
          <w:sz w:val="24"/>
          <w:highlight w:val="none"/>
          <w:lang w:val="en-US" w:eastAsia="zh-CN"/>
        </w:rPr>
        <w:t>的</w:t>
      </w:r>
      <w:r>
        <w:rPr>
          <w:rFonts w:hint="eastAsia" w:asciiTheme="minorEastAsia" w:hAnsiTheme="minorEastAsia" w:eastAsiaTheme="minorEastAsia" w:cstheme="minorEastAsia"/>
          <w:color w:val="auto"/>
          <w:sz w:val="24"/>
          <w:szCs w:val="24"/>
          <w:highlight w:val="none"/>
          <w:lang w:val="en-US" w:eastAsia="zh-CN"/>
        </w:rPr>
        <w:t>证明材料。</w:t>
      </w:r>
    </w:p>
    <w:p w14:paraId="4EEAF94B">
      <w:pPr>
        <w:numPr>
          <w:ilvl w:val="0"/>
          <w:numId w:val="0"/>
        </w:numPr>
        <w:tabs>
          <w:tab w:val="left" w:pos="0"/>
        </w:tabs>
        <w:kinsoku/>
        <w:overflowPunct/>
        <w:bidi w:val="0"/>
        <w:spacing w:line="500" w:lineRule="exact"/>
        <w:ind w:leftChars="0"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注：1.</w:t>
      </w:r>
      <w:r>
        <w:rPr>
          <w:rFonts w:hint="eastAsia" w:asciiTheme="minorEastAsia" w:hAnsiTheme="minorEastAsia" w:eastAsiaTheme="minorEastAsia" w:cstheme="minorEastAsia"/>
          <w:color w:val="auto"/>
          <w:sz w:val="24"/>
          <w:szCs w:val="24"/>
          <w:highlight w:val="none"/>
        </w:rPr>
        <w:t>本项目规定的国家、行业、地方等标准如有最新标准，均按最新标准执行。</w:t>
      </w:r>
    </w:p>
    <w:p w14:paraId="54DCCB89">
      <w:pPr>
        <w:numPr>
          <w:ilvl w:val="0"/>
          <w:numId w:val="0"/>
        </w:numPr>
        <w:kinsoku/>
        <w:overflowPunct/>
        <w:bidi w:val="0"/>
        <w:spacing w:line="500" w:lineRule="exact"/>
        <w:ind w:firstLine="960" w:firstLineChars="400"/>
        <w:rPr>
          <w:rFonts w:hint="default"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b w:val="0"/>
          <w:bCs w:val="0"/>
          <w:color w:val="auto"/>
          <w:sz w:val="24"/>
          <w:szCs w:val="24"/>
          <w:highlight w:val="none"/>
          <w:lang w:val="en-US" w:eastAsia="zh-CN"/>
        </w:rPr>
        <w:t>本章带</w:t>
      </w:r>
      <w:r>
        <w:rPr>
          <w:rFonts w:hint="eastAsia" w:ascii="微软雅黑" w:hAnsi="微软雅黑" w:eastAsia="微软雅黑" w:cs="微软雅黑"/>
          <w:b w:val="0"/>
          <w:bCs w:val="0"/>
          <w:color w:val="auto"/>
          <w:sz w:val="24"/>
          <w:szCs w:val="24"/>
          <w:highlight w:val="none"/>
          <w:lang w:val="en-US" w:eastAsia="zh-CN"/>
        </w:rPr>
        <w:t>★</w:t>
      </w:r>
      <w:r>
        <w:rPr>
          <w:rFonts w:hint="eastAsia" w:asciiTheme="minorEastAsia" w:hAnsiTheme="minorEastAsia" w:eastAsiaTheme="minorEastAsia" w:cstheme="minorEastAsia"/>
          <w:b w:val="0"/>
          <w:bCs w:val="0"/>
          <w:color w:val="auto"/>
          <w:sz w:val="24"/>
          <w:szCs w:val="24"/>
          <w:highlight w:val="none"/>
          <w:lang w:val="en-US" w:eastAsia="zh-CN"/>
        </w:rPr>
        <w:t>未实质性要求，须按照要求提供相关证明材料，未要求提供证明材料的在应答表应答，供应商若未满足的，将被视为响应文件无效。</w:t>
      </w:r>
    </w:p>
    <w:p w14:paraId="3DF2CEA0">
      <w:pPr>
        <w:kinsoku/>
        <w:overflowPunct/>
        <w:bidi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68"/>
    <w:bookmarkEnd w:id="69"/>
    <w:bookmarkEnd w:id="70"/>
    <w:bookmarkEnd w:id="71"/>
    <w:bookmarkEnd w:id="72"/>
    <w:p w14:paraId="36019504">
      <w:pPr>
        <w:pStyle w:val="2"/>
        <w:keepNext/>
        <w:keepLines/>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highlight w:val="none"/>
        </w:rPr>
      </w:pPr>
      <w:bookmarkStart w:id="98" w:name="_Toc20623"/>
      <w:bookmarkStart w:id="99" w:name="_Toc9270_WPSOffice_Level1"/>
      <w:bookmarkStart w:id="100" w:name="_Toc217446057"/>
      <w:bookmarkStart w:id="101" w:name="_Toc183582232"/>
      <w:bookmarkStart w:id="102" w:name="_Toc183682369"/>
      <w:r>
        <w:rPr>
          <w:rFonts w:hint="eastAsia" w:ascii="方正小标宋简体" w:hAnsi="方正小标宋简体" w:eastAsia="方正小标宋简体" w:cs="方正小标宋简体"/>
          <w:b w:val="0"/>
          <w:bCs w:val="0"/>
          <w:color w:val="auto"/>
          <w:highlight w:val="none"/>
        </w:rPr>
        <w:t xml:space="preserve">第六章  </w:t>
      </w:r>
      <w:bookmarkStart w:id="103" w:name="_Toc27025"/>
      <w:bookmarkStart w:id="104" w:name="_Toc31925"/>
      <w:r>
        <w:rPr>
          <w:rFonts w:hint="eastAsia" w:ascii="方正小标宋简体" w:hAnsi="方正小标宋简体" w:eastAsia="方正小标宋简体" w:cs="方正小标宋简体"/>
          <w:b w:val="0"/>
          <w:bCs w:val="0"/>
          <w:color w:val="auto"/>
          <w:highlight w:val="none"/>
        </w:rPr>
        <w:t>体现满足采购需求、质量和服务相等的采购项目实质性要求</w:t>
      </w:r>
      <w:bookmarkEnd w:id="98"/>
      <w:bookmarkEnd w:id="99"/>
      <w:bookmarkEnd w:id="103"/>
      <w:bookmarkEnd w:id="104"/>
    </w:p>
    <w:p w14:paraId="688340F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供应商资格必须符合国家有关规定和磋商文件资格性要求。</w:t>
      </w:r>
    </w:p>
    <w:p w14:paraId="77A71123">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若磋商结果无实质性变动，供应商必须满足采购文件规定。</w:t>
      </w:r>
    </w:p>
    <w:p w14:paraId="6F2A2135">
      <w:pPr>
        <w:pStyle w:val="10"/>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响应文件中不能附有采购人不能接受的条件，否则将视作无效文件处理。</w:t>
      </w:r>
    </w:p>
    <w:p w14:paraId="3894B693">
      <w:pPr>
        <w:kinsoku/>
        <w:overflowPunct/>
        <w:bidi w:val="0"/>
        <w:ind w:firstLine="680" w:firstLineChars="200"/>
        <w:rPr>
          <w:rFonts w:hint="eastAsia" w:asciiTheme="minorEastAsia" w:hAnsiTheme="minorEastAsia" w:eastAsiaTheme="minorEastAsia" w:cstheme="minorEastAsia"/>
          <w:color w:val="auto"/>
          <w:highlight w:val="none"/>
        </w:rPr>
      </w:pPr>
    </w:p>
    <w:p w14:paraId="7E0FD65C">
      <w:pPr>
        <w:kinsoku/>
        <w:overflowPunct/>
        <w:bidi w:val="0"/>
        <w:ind w:firstLine="680" w:firstLineChars="200"/>
        <w:rPr>
          <w:rFonts w:hint="eastAsia"/>
          <w:color w:val="auto"/>
          <w:highlight w:val="none"/>
        </w:rPr>
      </w:pPr>
    </w:p>
    <w:p w14:paraId="635C89BA">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68D8799D">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2B4953D7">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35CD338A">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5463B888">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3D491D94">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63770DAC">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58279F32">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102D52B3">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1C41D287">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27D244DD">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2296E029">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068F8867">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615A73A7">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260C4CE5">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79B20076">
      <w:pPr>
        <w:pStyle w:val="10"/>
        <w:kinsoku/>
        <w:overflowPunct/>
        <w:bidi w:val="0"/>
        <w:ind w:firstLine="680" w:firstLineChars="200"/>
        <w:rPr>
          <w:rFonts w:hint="eastAsia" w:asciiTheme="minorEastAsia" w:hAnsiTheme="minorEastAsia" w:eastAsiaTheme="minorEastAsia" w:cstheme="minorEastAsia"/>
          <w:color w:val="auto"/>
          <w:highlight w:val="none"/>
        </w:rPr>
      </w:pPr>
    </w:p>
    <w:p w14:paraId="4550D201">
      <w:pPr>
        <w:tabs>
          <w:tab w:val="left" w:pos="7665"/>
        </w:tabs>
        <w:kinsoku/>
        <w:overflowPunct/>
        <w:bidi w:val="0"/>
        <w:spacing w:line="400" w:lineRule="exact"/>
        <w:ind w:firstLine="480" w:firstLineChars="200"/>
        <w:rPr>
          <w:rFonts w:hint="eastAsia" w:asciiTheme="minorEastAsia" w:hAnsiTheme="minorEastAsia" w:eastAsiaTheme="minorEastAsia" w:cstheme="minorEastAsia"/>
          <w:bCs/>
          <w:color w:val="auto"/>
          <w:sz w:val="24"/>
          <w:highlight w:val="none"/>
        </w:rPr>
      </w:pPr>
    </w:p>
    <w:p w14:paraId="4BCC79EE">
      <w:pPr>
        <w:kinsoku/>
        <w:overflowPunct/>
        <w:bidi w:val="0"/>
        <w:ind w:firstLine="643" w:firstLineChars="200"/>
        <w:jc w:val="center"/>
        <w:rPr>
          <w:rFonts w:hint="eastAsia" w:asciiTheme="minorEastAsia" w:hAnsiTheme="minorEastAsia" w:eastAsiaTheme="minorEastAsia" w:cstheme="minorEastAsia"/>
          <w:b/>
          <w:color w:val="auto"/>
          <w:sz w:val="32"/>
          <w:szCs w:val="32"/>
          <w:highlight w:val="none"/>
        </w:rPr>
      </w:pPr>
    </w:p>
    <w:p w14:paraId="3443EE31">
      <w:pPr>
        <w:pStyle w:val="10"/>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3DDA121E">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7D82C5F9">
      <w:pPr>
        <w:pStyle w:val="10"/>
        <w:kinsoku/>
        <w:overflowPunct/>
        <w:bidi w:val="0"/>
        <w:ind w:firstLine="680" w:firstLineChars="200"/>
        <w:rPr>
          <w:rFonts w:hint="eastAsia" w:asciiTheme="minorEastAsia" w:hAnsiTheme="minorEastAsia" w:eastAsiaTheme="minorEastAsia" w:cstheme="minorEastAsia"/>
          <w:color w:val="auto"/>
          <w:highlight w:val="none"/>
        </w:rPr>
      </w:pPr>
    </w:p>
    <w:p w14:paraId="17FFAB15">
      <w:pPr>
        <w:pStyle w:val="10"/>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6EFDF1D1">
      <w:pPr>
        <w:pStyle w:val="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highlight w:val="none"/>
        </w:rPr>
      </w:pPr>
      <w:bookmarkStart w:id="105" w:name="_Toc9130"/>
      <w:bookmarkStart w:id="106" w:name="_Toc4377_WPSOffice_Level1"/>
      <w:r>
        <w:rPr>
          <w:rFonts w:hint="eastAsia" w:asciiTheme="minorEastAsia" w:hAnsiTheme="minorEastAsia" w:eastAsiaTheme="minorEastAsia" w:cstheme="minorEastAsia"/>
          <w:color w:val="auto"/>
          <w:highlight w:val="none"/>
        </w:rPr>
        <w:t>第七章  磋商过程中可实质性变动的内容</w:t>
      </w:r>
      <w:bookmarkEnd w:id="105"/>
      <w:bookmarkEnd w:id="106"/>
    </w:p>
    <w:p w14:paraId="5E0B763F">
      <w:pPr>
        <w:pStyle w:val="1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磋商过程中可能实质性变动的内容：</w:t>
      </w:r>
    </w:p>
    <w:p w14:paraId="4506880B">
      <w:pPr>
        <w:pStyle w:val="10"/>
        <w:pageBreakBefore w:val="0"/>
        <w:widowControl w:val="0"/>
        <w:numPr>
          <w:ilvl w:val="0"/>
          <w:numId w:val="0"/>
        </w:numPr>
        <w:tabs>
          <w:tab w:val="left" w:pos="0"/>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供应商报价。</w:t>
      </w:r>
    </w:p>
    <w:p w14:paraId="14BD4E0D">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2"/>
          <w:szCs w:val="18"/>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采购需求中的技术、商务、服务要求以及合同草案条款等实质性变动的内容须经磋商小组中的采购人代表确认。</w:t>
      </w:r>
    </w:p>
    <w:p w14:paraId="6F4397B5">
      <w:pPr>
        <w:pageBreakBefore w:val="0"/>
        <w:widowControl w:val="0"/>
        <w:tabs>
          <w:tab w:val="left" w:pos="7665"/>
        </w:tabs>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注意：采购人不同意磋商文件在磋商过程中有任何变动的，可以不规定此章内容。</w:t>
      </w:r>
    </w:p>
    <w:p w14:paraId="6467235F">
      <w:pPr>
        <w:pageBreakBefore w:val="0"/>
        <w:widowControl w:val="0"/>
        <w:tabs>
          <w:tab w:val="left" w:pos="7665"/>
        </w:tabs>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eastAsiaTheme="minorEastAsia" w:cstheme="minorEastAsia"/>
          <w:b/>
          <w:bCs/>
          <w:color w:val="auto"/>
          <w:sz w:val="28"/>
          <w:szCs w:val="28"/>
          <w:highlight w:val="none"/>
        </w:rPr>
      </w:pPr>
    </w:p>
    <w:p w14:paraId="006B7C91">
      <w:pPr>
        <w:pStyle w:val="2"/>
        <w:keepNext/>
        <w:keepLines/>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asciiTheme="minorEastAsia" w:hAnsiTheme="minorEastAsia" w:eastAsiaTheme="minorEastAsia" w:cstheme="minorEastAsia"/>
          <w:color w:val="auto"/>
          <w:highlight w:val="none"/>
          <w:lang w:eastAsia="zh-CN"/>
        </w:rPr>
      </w:pPr>
      <w:bookmarkStart w:id="107" w:name="_Toc5736_WPSOffice_Level1"/>
      <w:bookmarkStart w:id="108" w:name="_Toc5346"/>
      <w:r>
        <w:rPr>
          <w:rFonts w:hint="eastAsia" w:asciiTheme="minorEastAsia" w:hAnsiTheme="minorEastAsia" w:eastAsiaTheme="minorEastAsia" w:cstheme="minorEastAsia"/>
          <w:color w:val="auto"/>
          <w:highlight w:val="none"/>
        </w:rPr>
        <w:t>第八章  响应文件格式</w:t>
      </w:r>
      <w:bookmarkEnd w:id="107"/>
      <w:bookmarkEnd w:id="108"/>
    </w:p>
    <w:p w14:paraId="3BE6BC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szCs w:val="24"/>
          <w:highlight w:val="none"/>
        </w:rPr>
        <w:t xml:space="preserve"> 一、本章所制响应文件格式，除格式中明确将该格式作为实质性要求的，一律不具有强制性。</w:t>
      </w:r>
    </w:p>
    <w:p w14:paraId="5AC149E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二、本章所制响应文件格式有关表格中的备注栏，由供应商根据自身响应情况作解释性说明，不作为必填项。</w:t>
      </w:r>
    </w:p>
    <w:p w14:paraId="2F7617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三、本章所制响应文件格式中需要填写的相关内容事项，可能会与本采购项目无关，在不改变响应文件原义、不影响本项目采购需求的情况下，供应商可以不予填写，但应当注明。</w:t>
      </w:r>
    </w:p>
    <w:p w14:paraId="5A94A365">
      <w:pPr>
        <w:kinsoku/>
        <w:overflowPunct/>
        <w:bidi w:val="0"/>
        <w:ind w:firstLine="562" w:firstLineChars="200"/>
        <w:jc w:val="center"/>
        <w:rPr>
          <w:rFonts w:hint="eastAsia" w:asciiTheme="minorEastAsia" w:hAnsiTheme="minorEastAsia" w:eastAsiaTheme="minorEastAsia" w:cstheme="minorEastAsia"/>
          <w:b/>
          <w:color w:val="auto"/>
          <w:sz w:val="28"/>
          <w:szCs w:val="28"/>
          <w:highlight w:val="none"/>
        </w:rPr>
      </w:pPr>
    </w:p>
    <w:p w14:paraId="4515DB9F">
      <w:pPr>
        <w:kinsoku/>
        <w:overflowPunct/>
        <w:bidi w:val="0"/>
        <w:ind w:firstLine="643" w:firstLineChars="200"/>
        <w:jc w:val="center"/>
        <w:rPr>
          <w:rFonts w:hint="eastAsia" w:asciiTheme="minorEastAsia" w:hAnsiTheme="minorEastAsia" w:eastAsiaTheme="minorEastAsia" w:cstheme="minorEastAsia"/>
          <w:b/>
          <w:color w:val="auto"/>
          <w:sz w:val="32"/>
          <w:szCs w:val="32"/>
          <w:highlight w:val="none"/>
        </w:rPr>
      </w:pPr>
    </w:p>
    <w:p w14:paraId="25A274AF">
      <w:pPr>
        <w:pStyle w:val="6"/>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1648AF4E">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1B50C4C3">
      <w:pPr>
        <w:pStyle w:val="6"/>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6B6C9B09">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0A54CEE3">
      <w:pPr>
        <w:pStyle w:val="6"/>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5C74FBE0">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374064CF">
      <w:pPr>
        <w:pStyle w:val="6"/>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537A0521">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7EC1B254">
      <w:pPr>
        <w:pStyle w:val="6"/>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1449008F">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5B65AE2B">
      <w:pPr>
        <w:pStyle w:val="6"/>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099F48B9">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488B20B1">
      <w:pPr>
        <w:pStyle w:val="6"/>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1A153182">
      <w:pPr>
        <w:tabs>
          <w:tab w:val="left" w:pos="900"/>
        </w:tabs>
        <w:kinsoku/>
        <w:overflowPunct/>
        <w:bidi w:val="0"/>
        <w:spacing w:line="360" w:lineRule="auto"/>
        <w:ind w:firstLine="643" w:firstLineChars="20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“资格性响应文件”格式</w:t>
      </w:r>
    </w:p>
    <w:p w14:paraId="1C84C479">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p>
    <w:p w14:paraId="5089FA43">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封面：</w:t>
      </w:r>
    </w:p>
    <w:p w14:paraId="29B7F211">
      <w:pPr>
        <w:kinsoku/>
        <w:overflowPunct/>
        <w:bidi w:val="0"/>
        <w:spacing w:line="360" w:lineRule="auto"/>
        <w:ind w:firstLine="723" w:firstLineChars="200"/>
        <w:jc w:val="right"/>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（正本/副本）</w:t>
      </w:r>
    </w:p>
    <w:p w14:paraId="735BCC98">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p>
    <w:p w14:paraId="0ED57220">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p>
    <w:p w14:paraId="793A176F">
      <w:pPr>
        <w:kinsoku/>
        <w:overflowPunct/>
        <w:bidi w:val="0"/>
        <w:spacing w:line="360" w:lineRule="auto"/>
        <w:ind w:firstLine="803" w:firstLineChars="200"/>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40"/>
          <w:szCs w:val="48"/>
          <w:highlight w:val="none"/>
          <w:u w:val="single"/>
        </w:rPr>
        <w:t xml:space="preserve">                      </w:t>
      </w:r>
      <w:r>
        <w:rPr>
          <w:rFonts w:hint="eastAsia" w:asciiTheme="minorEastAsia" w:hAnsiTheme="minorEastAsia" w:eastAsiaTheme="minorEastAsia" w:cstheme="minorEastAsia"/>
          <w:b/>
          <w:color w:val="auto"/>
          <w:sz w:val="40"/>
          <w:szCs w:val="48"/>
          <w:highlight w:val="none"/>
        </w:rPr>
        <w:t>项目</w:t>
      </w:r>
    </w:p>
    <w:p w14:paraId="5D63BCB5">
      <w:pPr>
        <w:kinsoku/>
        <w:overflowPunct/>
        <w:bidi w:val="0"/>
        <w:spacing w:line="360" w:lineRule="auto"/>
        <w:ind w:firstLine="1044" w:firstLineChars="200"/>
        <w:rPr>
          <w:rFonts w:hint="eastAsia" w:asciiTheme="minorEastAsia" w:hAnsiTheme="minorEastAsia" w:eastAsiaTheme="minorEastAsia" w:cstheme="minorEastAsia"/>
          <w:b/>
          <w:color w:val="auto"/>
          <w:sz w:val="52"/>
          <w:szCs w:val="52"/>
          <w:highlight w:val="none"/>
        </w:rPr>
      </w:pPr>
    </w:p>
    <w:p w14:paraId="55D14F5D">
      <w:pPr>
        <w:kinsoku/>
        <w:overflowPunct/>
        <w:bidi w:val="0"/>
        <w:spacing w:line="360" w:lineRule="auto"/>
        <w:ind w:firstLine="1044" w:firstLineChars="20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52"/>
          <w:szCs w:val="52"/>
          <w:highlight w:val="none"/>
        </w:rPr>
        <w:t>资格性响应文件</w:t>
      </w:r>
    </w:p>
    <w:p w14:paraId="5385512F">
      <w:pPr>
        <w:kinsoku/>
        <w:overflowPunct/>
        <w:bidi w:val="0"/>
        <w:spacing w:line="360" w:lineRule="auto"/>
        <w:ind w:firstLine="723" w:firstLineChars="200"/>
        <w:rPr>
          <w:rFonts w:hint="eastAsia" w:asciiTheme="minorEastAsia" w:hAnsiTheme="minorEastAsia" w:eastAsiaTheme="minorEastAsia" w:cstheme="minorEastAsia"/>
          <w:b/>
          <w:color w:val="auto"/>
          <w:sz w:val="36"/>
          <w:highlight w:val="none"/>
        </w:rPr>
      </w:pPr>
    </w:p>
    <w:p w14:paraId="552055C1">
      <w:pPr>
        <w:kinsoku/>
        <w:overflowPunct/>
        <w:bidi w:val="0"/>
        <w:spacing w:line="360" w:lineRule="auto"/>
        <w:ind w:firstLine="723" w:firstLineChars="200"/>
        <w:rPr>
          <w:rFonts w:hint="eastAsia" w:asciiTheme="minorEastAsia" w:hAnsiTheme="minorEastAsia" w:eastAsiaTheme="minorEastAsia" w:cstheme="minorEastAsia"/>
          <w:b/>
          <w:color w:val="auto"/>
          <w:sz w:val="36"/>
          <w:highlight w:val="none"/>
        </w:rPr>
      </w:pPr>
    </w:p>
    <w:p w14:paraId="74BF02D8">
      <w:pPr>
        <w:kinsoku/>
        <w:overflowPunct/>
        <w:bidi w:val="0"/>
        <w:spacing w:line="360" w:lineRule="auto"/>
        <w:ind w:firstLine="643" w:firstLineChars="200"/>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供应商名称：</w:t>
      </w:r>
      <w:r>
        <w:rPr>
          <w:rFonts w:hint="eastAsia" w:asciiTheme="minorEastAsia" w:hAnsiTheme="minorEastAsia" w:eastAsiaTheme="minorEastAsia" w:cstheme="minorEastAsia"/>
          <w:b/>
          <w:color w:val="auto"/>
          <w:sz w:val="32"/>
          <w:highlight w:val="none"/>
          <w:u w:val="single"/>
        </w:rPr>
        <w:t xml:space="preserve">                                 </w:t>
      </w:r>
    </w:p>
    <w:p w14:paraId="174F7E2C">
      <w:pPr>
        <w:kinsoku/>
        <w:overflowPunct/>
        <w:bidi w:val="0"/>
        <w:spacing w:line="360" w:lineRule="auto"/>
        <w:ind w:firstLine="643" w:firstLineChars="200"/>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采购项目编号：</w:t>
      </w:r>
      <w:r>
        <w:rPr>
          <w:rFonts w:hint="eastAsia" w:asciiTheme="minorEastAsia" w:hAnsiTheme="minorEastAsia" w:eastAsiaTheme="minorEastAsia" w:cstheme="minorEastAsia"/>
          <w:b/>
          <w:color w:val="auto"/>
          <w:sz w:val="32"/>
          <w:highlight w:val="none"/>
          <w:u w:val="single"/>
        </w:rPr>
        <w:t xml:space="preserve">                                 </w:t>
      </w:r>
    </w:p>
    <w:p w14:paraId="099F3A06">
      <w:pPr>
        <w:kinsoku/>
        <w:overflowPunct/>
        <w:bidi w:val="0"/>
        <w:spacing w:line="360" w:lineRule="auto"/>
        <w:ind w:firstLine="643" w:firstLineChars="200"/>
        <w:jc w:val="center"/>
        <w:rPr>
          <w:rFonts w:hint="eastAsia" w:asciiTheme="minorEastAsia" w:hAnsiTheme="minorEastAsia" w:eastAsiaTheme="minorEastAsia" w:cstheme="minorEastAsia"/>
          <w:b/>
          <w:color w:val="auto"/>
          <w:sz w:val="32"/>
          <w:highlight w:val="none"/>
        </w:rPr>
      </w:pPr>
    </w:p>
    <w:p w14:paraId="0500B48A">
      <w:pPr>
        <w:kinsoku/>
        <w:overflowPunct/>
        <w:bidi w:val="0"/>
        <w:spacing w:line="360" w:lineRule="auto"/>
        <w:ind w:firstLine="643" w:firstLineChars="20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lang w:val="en-US" w:eastAsia="zh-CN"/>
        </w:rPr>
        <w:t>磋商</w:t>
      </w:r>
      <w:r>
        <w:rPr>
          <w:rFonts w:hint="eastAsia" w:asciiTheme="minorEastAsia" w:hAnsiTheme="minorEastAsia" w:eastAsiaTheme="minorEastAsia" w:cstheme="minorEastAsia"/>
          <w:b/>
          <w:color w:val="auto"/>
          <w:sz w:val="32"/>
          <w:highlight w:val="none"/>
        </w:rPr>
        <w:t>时间：202</w:t>
      </w:r>
      <w:r>
        <w:rPr>
          <w:rFonts w:hint="eastAsia" w:asciiTheme="minorEastAsia" w:hAnsiTheme="minorEastAsia" w:eastAsiaTheme="minorEastAsia" w:cstheme="minorEastAsia"/>
          <w:b/>
          <w:color w:val="auto"/>
          <w:sz w:val="32"/>
          <w:highlight w:val="none"/>
          <w:lang w:val="en-US" w:eastAsia="zh-CN"/>
        </w:rPr>
        <w:t>5</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p>
    <w:p w14:paraId="61927F7C">
      <w:pPr>
        <w:pStyle w:val="10"/>
        <w:kinsoku/>
        <w:overflowPunct/>
        <w:bidi w:val="0"/>
        <w:ind w:firstLine="480" w:firstLineChars="200"/>
        <w:rPr>
          <w:rFonts w:hint="eastAsia" w:asciiTheme="minorEastAsia" w:hAnsiTheme="minorEastAsia" w:eastAsiaTheme="minorEastAsia" w:cstheme="minorEastAsia"/>
          <w:color w:val="auto"/>
          <w:sz w:val="24"/>
          <w:highlight w:val="none"/>
        </w:rPr>
        <w:sectPr>
          <w:footerReference r:id="rId4" w:type="first"/>
          <w:footerReference r:id="rId3" w:type="default"/>
          <w:pgSz w:w="11905" w:h="16838"/>
          <w:pgMar w:top="1417" w:right="1531" w:bottom="1417" w:left="1531" w:header="851" w:footer="992" w:gutter="0"/>
          <w:pgNumType w:fmt="decimal" w:start="1"/>
          <w:cols w:space="0" w:num="1"/>
          <w:rtlGutter w:val="0"/>
          <w:docGrid w:linePitch="312" w:charSpace="0"/>
        </w:sectPr>
      </w:pPr>
    </w:p>
    <w:p w14:paraId="260438F3">
      <w:pPr>
        <w:pStyle w:val="6"/>
        <w:kinsoku/>
        <w:overflowPunct/>
        <w:bidi w:val="0"/>
        <w:ind w:firstLine="680" w:firstLineChars="200"/>
        <w:rPr>
          <w:rFonts w:hint="eastAsia" w:asciiTheme="minorEastAsia" w:hAnsiTheme="minorEastAsia" w:eastAsiaTheme="minorEastAsia" w:cstheme="minorEastAsia"/>
          <w:color w:val="auto"/>
          <w:highlight w:val="none"/>
        </w:rPr>
      </w:pPr>
    </w:p>
    <w:p w14:paraId="7C1E169A">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一、法定代表人授权书</w:t>
      </w:r>
    </w:p>
    <w:p w14:paraId="73686942">
      <w:pPr>
        <w:kinsoku/>
        <w:overflowPunct/>
        <w:bidi w:val="0"/>
        <w:ind w:firstLine="883" w:firstLineChars="200"/>
        <w:jc w:val="center"/>
        <w:rPr>
          <w:rFonts w:hint="eastAsia" w:asciiTheme="minorEastAsia" w:hAnsiTheme="minorEastAsia" w:eastAsiaTheme="minorEastAsia" w:cstheme="minorEastAsia"/>
          <w:b/>
          <w:color w:val="auto"/>
          <w:sz w:val="44"/>
          <w:highlight w:val="none"/>
        </w:rPr>
      </w:pPr>
    </w:p>
    <w:p w14:paraId="75D36BCF">
      <w:pPr>
        <w:widowControl/>
        <w:kinsoku/>
        <w:overflowPunct/>
        <w:bidi w:val="0"/>
        <w:spacing w:line="460" w:lineRule="exact"/>
        <w:ind w:firstLine="480" w:firstLineChars="20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代理机构</w:t>
      </w:r>
      <w:r>
        <w:rPr>
          <w:rFonts w:hint="eastAsia" w:asciiTheme="minorEastAsia" w:hAnsiTheme="minorEastAsia" w:eastAsiaTheme="minorEastAsia" w:cstheme="minorEastAsia"/>
          <w:color w:val="auto"/>
          <w:sz w:val="24"/>
          <w:szCs w:val="24"/>
          <w:highlight w:val="none"/>
        </w:rPr>
        <w:t>名称）：</w:t>
      </w:r>
    </w:p>
    <w:p w14:paraId="64F17D92">
      <w:pPr>
        <w:widowControl/>
        <w:kinsoku/>
        <w:overflowPunct/>
        <w:bidi w:val="0"/>
        <w:spacing w:line="460" w:lineRule="exact"/>
        <w:ind w:firstLine="480" w:firstLineChars="20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本授权声明：</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r>
        <w:rPr>
          <w:rFonts w:hint="eastAsia" w:asciiTheme="minorEastAsia" w:hAnsiTheme="minorEastAsia" w:eastAsiaTheme="minorEastAsia" w:cstheme="minorEastAsia"/>
          <w:color w:val="auto"/>
          <w:sz w:val="24"/>
          <w:szCs w:val="24"/>
          <w:highlight w:val="none"/>
        </w:rPr>
        <w:t xml:space="preserve">姓名、职务）授权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（被授权人姓名、职务）为我方“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项目（磋商编号：</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活动的合法代表，以我方名义全权处理该项目有关</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、签订合同以及执行合同等一切事宜。</w:t>
      </w:r>
    </w:p>
    <w:p w14:paraId="42E612C3">
      <w:pPr>
        <w:widowControl/>
        <w:kinsoku/>
        <w:overflowPunct/>
        <w:bidi w:val="0"/>
        <w:spacing w:line="460" w:lineRule="exact"/>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特此声明。</w:t>
      </w:r>
    </w:p>
    <w:p w14:paraId="4DC6A7EC">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r>
        <w:rPr>
          <w:rFonts w:hint="eastAsia" w:asciiTheme="minorEastAsia" w:hAnsiTheme="minorEastAsia" w:eastAsiaTheme="minorEastAsia" w:cstheme="minorEastAsia"/>
          <w:color w:val="auto"/>
          <w:sz w:val="24"/>
          <w:szCs w:val="24"/>
          <w:highlight w:val="none"/>
        </w:rPr>
        <w:t>身份证复印件：         授权代表身份证复印件：</w:t>
      </w:r>
    </w:p>
    <w:p w14:paraId="48814998">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2703195</wp:posOffset>
                </wp:positionH>
                <wp:positionV relativeFrom="paragraph">
                  <wp:posOffset>159385</wp:posOffset>
                </wp:positionV>
                <wp:extent cx="1809115" cy="1152525"/>
                <wp:effectExtent l="0" t="0" r="0" b="0"/>
                <wp:wrapNone/>
                <wp:docPr id="10" name="矩形 2"/>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ln>
                      </wps:spPr>
                      <wps:txbx>
                        <w:txbxContent>
                          <w:p w14:paraId="139E3CB7"/>
                        </w:txbxContent>
                      </wps:txbx>
                      <wps:bodyPr vert="horz" wrap="square" lIns="91440" tIns="45720" rIns="91440" bIns="45720" anchor="t" anchorCtr="0" upright="0">
                        <a:noAutofit/>
                      </wps:bodyPr>
                    </wps:wsp>
                  </a:graphicData>
                </a:graphic>
              </wp:anchor>
            </w:drawing>
          </mc:Choice>
          <mc:Fallback>
            <w:pict>
              <v:rect id="矩形 2" o:spid="_x0000_s1026" o:spt="1" style="position:absolute;left:0pt;margin-left:212.85pt;margin-top:12.55pt;height:90.75pt;width:142.45pt;z-index:-251657216;mso-width-relative:page;mso-height-relative:page;" fillcolor="#FFFFFF" filled="t" stroked="t" coordsize="21600,21600" o:gfxdata="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1l1GztgA&#10;AAAKAQAADwAAAAAAAAABACAAAAAiAAAAZHJzL2Rvd25yZXYueG1sUEsBAhQAFAAAAAgAh07iQMec&#10;R6kfAgAAWAQAAA4AAAAAAAAAAQAgAAAAJwEAAGRycy9lMm9Eb2MueG1sUEsFBgAAAAAGAAYAWQEA&#10;ALgFAAAAAA==&#10;">
                <v:fill on="t" focussize="0,0"/>
                <v:stroke color="#000000" joinstyle="miter"/>
                <v:imagedata o:title=""/>
                <o:lock v:ext="edit" aspectratio="f"/>
                <v:textbox>
                  <w:txbxContent>
                    <w:p w14:paraId="139E3CB7"/>
                  </w:txbxContent>
                </v:textbox>
              </v: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264795</wp:posOffset>
                </wp:positionH>
                <wp:positionV relativeFrom="paragraph">
                  <wp:posOffset>159385</wp:posOffset>
                </wp:positionV>
                <wp:extent cx="1809115" cy="1152525"/>
                <wp:effectExtent l="0" t="0" r="0" b="0"/>
                <wp:wrapNone/>
                <wp:docPr id="13" name="矩形 3"/>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ln>
                      </wps:spPr>
                      <wps:txbx>
                        <w:txbxContent>
                          <w:p w14:paraId="7CE1EEC6"/>
                        </w:txbxContent>
                      </wps:txbx>
                      <wps:bodyPr vert="horz" wrap="square" lIns="91440" tIns="45720" rIns="91440" bIns="45720" anchor="t" anchorCtr="0" upright="0">
                        <a:noAutofit/>
                      </wps:bodyPr>
                    </wps:wsp>
                  </a:graphicData>
                </a:graphic>
              </wp:anchor>
            </w:drawing>
          </mc:Choice>
          <mc:Fallback>
            <w:pict>
              <v:rect id="矩形 3" o:spid="_x0000_s1026" o:spt="1" style="position:absolute;left:0pt;margin-left:20.85pt;margin-top:12.55pt;height:90.75pt;width:142.45pt;z-index:-251657216;mso-width-relative:page;mso-height-relative:page;" fillcolor="#FFFFFF" filled="t" stroked="t" coordsize="21600,21600" o:gfxdata="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JgfdcA&#10;AAAJAQAADwAAAAAAAAABACAAAAAiAAAAZHJzL2Rvd25yZXYueG1sUEsBAhQAFAAAAAgAh07iQIHH&#10;iosgAgAAWAQAAA4AAAAAAAAAAQAgAAAAJgEAAGRycy9lMm9Eb2MueG1sUEsFBgAAAAAGAAYAWQEA&#10;ALgFAAAAAA==&#10;">
                <v:fill on="t" focussize="0,0"/>
                <v:stroke color="#000000" joinstyle="miter"/>
                <v:imagedata o:title=""/>
                <o:lock v:ext="edit" aspectratio="f"/>
                <v:textbox>
                  <w:txbxContent>
                    <w:p w14:paraId="7CE1EEC6"/>
                  </w:txbxContent>
                </v:textbox>
              </v:rect>
            </w:pict>
          </mc:Fallback>
        </mc:AlternateContent>
      </w:r>
    </w:p>
    <w:p w14:paraId="08AC5429">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08AC91E9">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正面                           正面</w:t>
      </w:r>
    </w:p>
    <w:p w14:paraId="2E95F834">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660EF642">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2656205</wp:posOffset>
                </wp:positionH>
                <wp:positionV relativeFrom="paragraph">
                  <wp:posOffset>254635</wp:posOffset>
                </wp:positionV>
                <wp:extent cx="1809115" cy="1152525"/>
                <wp:effectExtent l="0" t="0" r="0" b="0"/>
                <wp:wrapNone/>
                <wp:docPr id="16" name="矩形 4"/>
                <wp:cNvGraphicFramePr/>
                <a:graphic xmlns:a="http://schemas.openxmlformats.org/drawingml/2006/main">
                  <a:graphicData uri="http://schemas.microsoft.com/office/word/2010/wordprocessingShape">
                    <wps:wsp>
                      <wps:cNvSpPr/>
                      <wps:spPr>
                        <a:xfrm>
                          <a:off x="0" y="0"/>
                          <a:ext cx="1809115" cy="1152525"/>
                        </a:xfrm>
                        <a:prstGeom prst="rect">
                          <a:avLst/>
                        </a:prstGeom>
                        <a:solidFill>
                          <a:srgbClr val="FFFFFF"/>
                        </a:solidFill>
                        <a:ln w="9525" cap="flat" cmpd="sng">
                          <a:solidFill>
                            <a:srgbClr val="000000"/>
                          </a:solidFill>
                          <a:prstDash val="solid"/>
                          <a:miter/>
                        </a:ln>
                      </wps:spPr>
                      <wps:txbx>
                        <w:txbxContent>
                          <w:p w14:paraId="548AC526"/>
                        </w:txbxContent>
                      </wps:txbx>
                      <wps:bodyPr vert="horz" wrap="square" lIns="91440" tIns="45720" rIns="91440" bIns="45720" anchor="t" anchorCtr="0" upright="0">
                        <a:noAutofit/>
                      </wps:bodyPr>
                    </wps:wsp>
                  </a:graphicData>
                </a:graphic>
              </wp:anchor>
            </w:drawing>
          </mc:Choice>
          <mc:Fallback>
            <w:pict>
              <v:rect id="矩形 4" o:spid="_x0000_s1026" o:spt="1" style="position:absolute;left:0pt;margin-left:209.15pt;margin-top:20.05pt;height:90.75pt;width:142.45pt;z-index:-251657216;mso-width-relative:page;mso-height-relative:page;" fillcolor="#FFFFFF" filled="t" stroked="t" coordsize="21600,21600" o:gfxdata="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O4sdrXY&#10;AAAACgEAAA8AAAAAAAAAAQAgAAAAIgAAAGRycy9kb3ducmV2LnhtbFBLAQIUABQAAAAIAIdO4kDw&#10;l2YdIAIAAFgEAAAOAAAAAAAAAAEAIAAAACcBAABkcnMvZTJvRG9jLnhtbFBLBQYAAAAABgAGAFkB&#10;AAC5BQAAAAA=&#10;">
                <v:fill on="t" focussize="0,0"/>
                <v:stroke color="#000000" joinstyle="miter"/>
                <v:imagedata o:title=""/>
                <o:lock v:ext="edit" aspectratio="f"/>
                <v:textbox>
                  <w:txbxContent>
                    <w:p w14:paraId="548AC526"/>
                  </w:txbxContent>
                </v:textbox>
              </v:rect>
            </w:pict>
          </mc:Fallback>
        </mc:AlternateContent>
      </w:r>
      <w:r>
        <w:rPr>
          <w:rFonts w:hint="eastAsia" w:asciiTheme="minorEastAsia" w:hAnsiTheme="minorEastAsia" w:eastAsiaTheme="minorEastAsia" w:cstheme="minorEastAsia"/>
          <w:color w:val="auto"/>
          <w:sz w:val="24"/>
          <w:szCs w:val="24"/>
          <w:highlight w:val="none"/>
        </w:rPr>
        <mc:AlternateContent>
          <mc:Choice Requires="wps">
            <w:drawing>
              <wp:anchor distT="0" distB="0" distL="113665" distR="113665" simplePos="0" relativeHeight="251659264" behindDoc="1" locked="0" layoutInCell="1" allowOverlap="1">
                <wp:simplePos x="0" y="0"/>
                <wp:positionH relativeFrom="column">
                  <wp:posOffset>288290</wp:posOffset>
                </wp:positionH>
                <wp:positionV relativeFrom="paragraph">
                  <wp:posOffset>225425</wp:posOffset>
                </wp:positionV>
                <wp:extent cx="1847215" cy="1143000"/>
                <wp:effectExtent l="0" t="0" r="0" b="0"/>
                <wp:wrapNone/>
                <wp:docPr id="19" name="矩形 5"/>
                <wp:cNvGraphicFramePr/>
                <a:graphic xmlns:a="http://schemas.openxmlformats.org/drawingml/2006/main">
                  <a:graphicData uri="http://schemas.microsoft.com/office/word/2010/wordprocessingShape">
                    <wps:wsp>
                      <wps:cNvSpPr/>
                      <wps:spPr>
                        <a:xfrm>
                          <a:off x="0" y="0"/>
                          <a:ext cx="1847214" cy="1143000"/>
                        </a:xfrm>
                        <a:prstGeom prst="rect">
                          <a:avLst/>
                        </a:prstGeom>
                        <a:solidFill>
                          <a:srgbClr val="FFFFFF"/>
                        </a:solidFill>
                        <a:ln w="9525" cap="flat" cmpd="sng">
                          <a:solidFill>
                            <a:srgbClr val="000000"/>
                          </a:solidFill>
                          <a:prstDash val="solid"/>
                          <a:miter/>
                        </a:ln>
                      </wps:spPr>
                      <wps:txbx>
                        <w:txbxContent>
                          <w:p w14:paraId="0C4439A8"/>
                        </w:txbxContent>
                      </wps:txbx>
                      <wps:bodyPr vert="horz" wrap="square" lIns="91440" tIns="45720" rIns="91440" bIns="45720" anchor="t" anchorCtr="0" upright="0">
                        <a:noAutofit/>
                      </wps:bodyPr>
                    </wps:wsp>
                  </a:graphicData>
                </a:graphic>
              </wp:anchor>
            </w:drawing>
          </mc:Choice>
          <mc:Fallback>
            <w:pict>
              <v:rect id="矩形 5" o:spid="_x0000_s1026" o:spt="1" style="position:absolute;left:0pt;margin-left:22.7pt;margin-top:17.75pt;height:90pt;width:145.45pt;z-index:-251657216;mso-width-relative:page;mso-height-relative:page;" fillcolor="#FFFFFF" filled="t" stroked="t" coordsize="21600,21600" o:gfxdata="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CwHu2AAAAAkBAAAPAAAAAAAAAAEAIAAAACIAAABkcnMvZG93bnJldi54bWxQSwECFAAUAAAA&#10;CACHTuJARCLHvicCAABYBAAADgAAAAAAAAABACAAAAAnAQAAZHJzL2Uyb0RvYy54bWxQSwUGAAAA&#10;AAYABgBZAQAAwAUAAAAA&#10;">
                <v:fill on="t" focussize="0,0"/>
                <v:stroke color="#000000" joinstyle="miter"/>
                <v:imagedata o:title=""/>
                <o:lock v:ext="edit" aspectratio="f"/>
                <v:textbox>
                  <w:txbxContent>
                    <w:p w14:paraId="0C4439A8"/>
                  </w:txbxContent>
                </v:textbox>
              </v:rect>
            </w:pict>
          </mc:Fallback>
        </mc:AlternateContent>
      </w:r>
      <w:r>
        <w:rPr>
          <w:rFonts w:hint="eastAsia" w:asciiTheme="minorEastAsia" w:hAnsiTheme="minorEastAsia" w:eastAsiaTheme="minorEastAsia" w:cstheme="minorEastAsia"/>
          <w:color w:val="auto"/>
          <w:sz w:val="24"/>
          <w:szCs w:val="24"/>
          <w:highlight w:val="none"/>
        </w:rPr>
        <w:t xml:space="preserve">                               </w:t>
      </w:r>
    </w:p>
    <w:p w14:paraId="62D23CF2">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67A7FE22">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反面                           反面</w:t>
      </w:r>
    </w:p>
    <w:p w14:paraId="02B4CD0E">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385A2776">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p>
    <w:p w14:paraId="387DD991">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r>
        <w:rPr>
          <w:rFonts w:hint="eastAsia" w:asciiTheme="minorEastAsia" w:hAnsiTheme="minorEastAsia" w:eastAsiaTheme="minorEastAsia" w:cstheme="minorEastAsia"/>
          <w:color w:val="auto"/>
          <w:sz w:val="24"/>
          <w:szCs w:val="24"/>
          <w:highlight w:val="none"/>
        </w:rPr>
        <w:t>签字或者加盖个人名章：XXXX</w:t>
      </w:r>
    </w:p>
    <w:p w14:paraId="59B5836C">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授权代表签字：XXXX</w:t>
      </w:r>
    </w:p>
    <w:p w14:paraId="3FDDB673">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供应商名称：XXXX（单位盖章）</w:t>
      </w:r>
    </w:p>
    <w:p w14:paraId="4FDF0447">
      <w:pPr>
        <w:widowControl/>
        <w:kinsoku/>
        <w:overflowPunct/>
        <w:bidi w:val="0"/>
        <w:spacing w:line="360" w:lineRule="auto"/>
        <w:ind w:firstLine="480" w:firstLineChars="200"/>
        <w:jc w:val="left"/>
        <w:rPr>
          <w:rFonts w:hint="eastAsia" w:asciiTheme="minorEastAsia" w:hAnsiTheme="minorEastAsia" w:eastAsiaTheme="minorEastAsia" w:cstheme="minorEastAsia"/>
          <w:color w:val="auto"/>
          <w:sz w:val="32"/>
          <w:szCs w:val="18"/>
          <w:highlight w:val="none"/>
        </w:rPr>
      </w:pPr>
      <w:r>
        <w:rPr>
          <w:rFonts w:hint="eastAsia" w:asciiTheme="minorEastAsia" w:hAnsiTheme="minorEastAsia" w:eastAsiaTheme="minorEastAsia" w:cstheme="minorEastAsia"/>
          <w:color w:val="auto"/>
          <w:sz w:val="24"/>
          <w:szCs w:val="24"/>
          <w:highlight w:val="none"/>
        </w:rPr>
        <w:t>日    期：XXXX</w:t>
      </w:r>
    </w:p>
    <w:p w14:paraId="761D9F94">
      <w:pPr>
        <w:widowControl/>
        <w:kinsoku/>
        <w:overflowPunct/>
        <w:bidi w:val="0"/>
        <w:spacing w:line="360" w:lineRule="atLeast"/>
        <w:ind w:firstLine="482" w:firstLineChars="200"/>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注：1、提供法定代表人/单位负责人及委托代理人身份证复印件正反两面；</w:t>
      </w:r>
    </w:p>
    <w:p w14:paraId="33CF29CF">
      <w:pPr>
        <w:widowControl/>
        <w:kinsoku/>
        <w:overflowPunct/>
        <w:bidi w:val="0"/>
        <w:spacing w:line="360" w:lineRule="atLeast"/>
        <w:ind w:firstLine="482" w:firstLineChars="200"/>
        <w:jc w:val="left"/>
        <w:rPr>
          <w:rFonts w:hint="eastAsia" w:asciiTheme="minorEastAsia" w:hAnsiTheme="minorEastAsia" w:eastAsiaTheme="minorEastAsia" w:cstheme="minorEastAsia"/>
          <w:color w:val="auto"/>
          <w:sz w:val="36"/>
          <w:szCs w:val="32"/>
          <w:highlight w:val="none"/>
        </w:rPr>
      </w:pPr>
      <w:r>
        <w:rPr>
          <w:rFonts w:hint="eastAsia" w:asciiTheme="minorEastAsia" w:hAnsiTheme="minorEastAsia" w:eastAsiaTheme="minorEastAsia" w:cstheme="minorEastAsia"/>
          <w:b/>
          <w:color w:val="auto"/>
          <w:sz w:val="24"/>
          <w:szCs w:val="24"/>
          <w:highlight w:val="none"/>
        </w:rPr>
        <w:t xml:space="preserve">    2、委托代</w:t>
      </w:r>
      <w:r>
        <w:rPr>
          <w:rFonts w:hint="eastAsia" w:asciiTheme="minorEastAsia" w:hAnsiTheme="minorEastAsia" w:eastAsiaTheme="minorEastAsia" w:cstheme="minorEastAsia"/>
          <w:b/>
          <w:color w:val="auto"/>
          <w:spacing w:val="5"/>
          <w:sz w:val="24"/>
          <w:szCs w:val="24"/>
          <w:highlight w:val="none"/>
        </w:rPr>
        <w:t>理</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pacing w:val="5"/>
          <w:sz w:val="24"/>
          <w:szCs w:val="24"/>
          <w:highlight w:val="none"/>
        </w:rPr>
        <w:t>而非法</w:t>
      </w:r>
      <w:r>
        <w:rPr>
          <w:rFonts w:hint="eastAsia" w:asciiTheme="minorEastAsia" w:hAnsiTheme="minorEastAsia" w:eastAsiaTheme="minorEastAsia" w:cstheme="minorEastAsia"/>
          <w:b/>
          <w:color w:val="auto"/>
          <w:sz w:val="24"/>
          <w:szCs w:val="24"/>
          <w:highlight w:val="none"/>
        </w:rPr>
        <w:t>定代</w:t>
      </w:r>
      <w:r>
        <w:rPr>
          <w:rFonts w:hint="eastAsia" w:asciiTheme="minorEastAsia" w:hAnsiTheme="minorEastAsia" w:eastAsiaTheme="minorEastAsia" w:cstheme="minorEastAsia"/>
          <w:b/>
          <w:color w:val="auto"/>
          <w:spacing w:val="5"/>
          <w:sz w:val="24"/>
          <w:szCs w:val="24"/>
          <w:highlight w:val="none"/>
        </w:rPr>
        <w:t>表</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z w:val="24"/>
          <w:szCs w:val="24"/>
          <w:highlight w:val="none"/>
        </w:rPr>
        <w:t>适用。</w:t>
      </w:r>
    </w:p>
    <w:p w14:paraId="4E14A939">
      <w:pPr>
        <w:kinsoku/>
        <w:overflowPunct/>
        <w:bidi w:val="0"/>
        <w:ind w:firstLine="680" w:firstLineChars="200"/>
        <w:rPr>
          <w:rFonts w:hint="eastAsia" w:asciiTheme="minorEastAsia" w:hAnsiTheme="minorEastAsia" w:eastAsiaTheme="minorEastAsia" w:cstheme="minorEastAsia"/>
          <w:color w:val="auto"/>
          <w:highlight w:val="none"/>
        </w:rPr>
      </w:pPr>
    </w:p>
    <w:p w14:paraId="1605C0CC">
      <w:pPr>
        <w:pStyle w:val="10"/>
        <w:kinsoku/>
        <w:overflowPunct/>
        <w:bidi w:val="0"/>
        <w:ind w:firstLine="680" w:firstLineChars="200"/>
        <w:rPr>
          <w:rFonts w:hint="eastAsia" w:asciiTheme="minorEastAsia" w:hAnsiTheme="minorEastAsia" w:eastAsiaTheme="minorEastAsia" w:cstheme="minorEastAsia"/>
          <w:color w:val="auto"/>
          <w:highlight w:val="none"/>
        </w:rPr>
      </w:pPr>
    </w:p>
    <w:p w14:paraId="6D8F266A">
      <w:pPr>
        <w:kinsoku/>
        <w:overflowPunct/>
        <w:bidi w:val="0"/>
        <w:ind w:firstLine="720" w:firstLineChars="200"/>
        <w:rPr>
          <w:rFonts w:hint="eastAsia" w:asciiTheme="minorEastAsia" w:hAnsiTheme="minorEastAsia" w:eastAsiaTheme="minorEastAsia" w:cstheme="minorEastAsia"/>
          <w:color w:val="auto"/>
          <w:sz w:val="36"/>
          <w:szCs w:val="32"/>
          <w:highlight w:val="none"/>
        </w:rPr>
      </w:pPr>
      <w:bookmarkStart w:id="109" w:name="_Toc24345_WPSOffice_Level1"/>
      <w:r>
        <w:rPr>
          <w:rFonts w:hint="eastAsia" w:asciiTheme="minorEastAsia" w:hAnsiTheme="minorEastAsia" w:eastAsiaTheme="minorEastAsia" w:cstheme="minorEastAsia"/>
          <w:color w:val="auto"/>
          <w:sz w:val="36"/>
          <w:szCs w:val="32"/>
          <w:highlight w:val="none"/>
        </w:rPr>
        <w:br w:type="page"/>
      </w:r>
    </w:p>
    <w:p w14:paraId="1131431B">
      <w:pPr>
        <w:pStyle w:val="3"/>
        <w:keepNext/>
        <w:keepLines/>
        <w:pageBreakBefore w:val="0"/>
        <w:widowControl w:val="0"/>
        <w:kinsoku/>
        <w:wordWrap/>
        <w:overflowPunct/>
        <w:topLinePunct w:val="0"/>
        <w:autoSpaceDE/>
        <w:autoSpaceDN/>
        <w:bidi w:val="0"/>
        <w:adjustRightInd/>
        <w:snapToGrid/>
        <w:spacing w:line="377" w:lineRule="auto"/>
        <w:ind w:firstLine="643" w:firstLineChars="200"/>
        <w:jc w:val="both"/>
        <w:textAlignment w:val="auto"/>
        <w:outlineLvl w:val="1"/>
        <w:rPr>
          <w:rFonts w:hint="eastAsia" w:asciiTheme="minorEastAsia" w:hAnsiTheme="minorEastAsia" w:eastAsiaTheme="minorEastAsia" w:cstheme="minorEastAsia"/>
          <w:b/>
          <w:bCs w:val="0"/>
          <w:color w:val="auto"/>
          <w:sz w:val="32"/>
          <w:szCs w:val="32"/>
          <w:highlight w:val="none"/>
          <w:lang w:val="en-US" w:eastAsia="zh-CN" w:bidi="ar-SA"/>
        </w:rPr>
      </w:pPr>
      <w:r>
        <w:rPr>
          <w:rFonts w:hint="eastAsia" w:asciiTheme="minorEastAsia" w:hAnsiTheme="minorEastAsia" w:eastAsiaTheme="minorEastAsia" w:cstheme="minorEastAsia"/>
          <w:b/>
          <w:bCs w:val="0"/>
          <w:color w:val="auto"/>
          <w:sz w:val="32"/>
          <w:szCs w:val="32"/>
          <w:highlight w:val="none"/>
          <w:lang w:val="en-US" w:eastAsia="zh-CN" w:bidi="ar-SA"/>
        </w:rPr>
        <w:t>二、法定代表/单位负责人人身份证明</w:t>
      </w:r>
      <w:bookmarkEnd w:id="109"/>
    </w:p>
    <w:p w14:paraId="4207D606">
      <w:pPr>
        <w:keepNext w:val="0"/>
        <w:keepLines w:val="0"/>
        <w:pageBreakBefore w:val="0"/>
        <w:widowControl w:val="0"/>
        <w:tabs>
          <w:tab w:val="left" w:pos="5420"/>
        </w:tabs>
        <w:kinsoku/>
        <w:wordWrap/>
        <w:overflowPunct/>
        <w:topLinePunct w:val="0"/>
        <w:autoSpaceDE w:val="0"/>
        <w:autoSpaceDN w:val="0"/>
        <w:bidi w:val="0"/>
        <w:adjustRightInd w:val="0"/>
        <w:snapToGrid/>
        <w:spacing w:line="360" w:lineRule="auto"/>
        <w:ind w:left="120"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pacing w:val="5"/>
          <w:sz w:val="24"/>
          <w:szCs w:val="24"/>
          <w:highlight w:val="none"/>
        </w:rPr>
        <w:t>名</w:t>
      </w:r>
      <w:r>
        <w:rPr>
          <w:rFonts w:hint="eastAsia" w:asciiTheme="minorEastAsia" w:hAnsiTheme="minorEastAsia" w:eastAsiaTheme="minorEastAsia" w:cstheme="minorEastAsia"/>
          <w:color w:val="auto"/>
          <w:sz w:val="24"/>
          <w:szCs w:val="24"/>
          <w:highlight w:val="none"/>
        </w:rPr>
        <w:t>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14:paraId="602B0D8A">
      <w:pPr>
        <w:keepNext w:val="0"/>
        <w:keepLines w:val="0"/>
        <w:pageBreakBefore w:val="0"/>
        <w:widowControl w:val="0"/>
        <w:tabs>
          <w:tab w:val="left" w:pos="5420"/>
        </w:tabs>
        <w:kinsoku/>
        <w:wordWrap/>
        <w:overflowPunct/>
        <w:topLinePunct w:val="0"/>
        <w:autoSpaceDE w:val="0"/>
        <w:autoSpaceDN w:val="0"/>
        <w:bidi w:val="0"/>
        <w:adjustRightInd w:val="0"/>
        <w:snapToGrid/>
        <w:spacing w:before="6" w:line="360" w:lineRule="auto"/>
        <w:ind w:left="120"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单位性</w:t>
      </w:r>
      <w:r>
        <w:rPr>
          <w:rFonts w:hint="eastAsia" w:asciiTheme="minorEastAsia" w:hAnsiTheme="minorEastAsia" w:eastAsiaTheme="minorEastAsia" w:cstheme="minorEastAsia"/>
          <w:color w:val="auto"/>
          <w:spacing w:val="5"/>
          <w:sz w:val="24"/>
          <w:szCs w:val="24"/>
          <w:highlight w:val="none"/>
        </w:rPr>
        <w:t>质</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14:paraId="61F7017C">
      <w:pPr>
        <w:keepNext w:val="0"/>
        <w:keepLines w:val="0"/>
        <w:pageBreakBefore w:val="0"/>
        <w:widowControl w:val="0"/>
        <w:tabs>
          <w:tab w:val="left" w:pos="5420"/>
        </w:tabs>
        <w:kinsoku/>
        <w:wordWrap/>
        <w:overflowPunct/>
        <w:topLinePunct w:val="0"/>
        <w:autoSpaceDE w:val="0"/>
        <w:autoSpaceDN w:val="0"/>
        <w:bidi w:val="0"/>
        <w:adjustRightInd w:val="0"/>
        <w:snapToGrid/>
        <w:spacing w:before="6" w:line="360" w:lineRule="auto"/>
        <w:ind w:left="120"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14:paraId="3BECAEFD">
      <w:pPr>
        <w:keepNext w:val="0"/>
        <w:keepLines w:val="0"/>
        <w:pageBreakBefore w:val="0"/>
        <w:widowControl w:val="0"/>
        <w:tabs>
          <w:tab w:val="left" w:pos="2340"/>
          <w:tab w:val="left" w:pos="3600"/>
          <w:tab w:val="left" w:pos="4720"/>
        </w:tabs>
        <w:kinsoku/>
        <w:wordWrap/>
        <w:overflowPunct/>
        <w:topLinePunct w:val="0"/>
        <w:autoSpaceDE w:val="0"/>
        <w:autoSpaceDN w:val="0"/>
        <w:bidi w:val="0"/>
        <w:adjustRightInd w:val="0"/>
        <w:snapToGrid/>
        <w:spacing w:before="6" w:line="360" w:lineRule="auto"/>
        <w:ind w:left="120"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成立时</w:t>
      </w:r>
      <w:r>
        <w:rPr>
          <w:rFonts w:hint="eastAsia" w:asciiTheme="minorEastAsia" w:hAnsiTheme="minorEastAsia" w:eastAsiaTheme="minorEastAsia" w:cstheme="minorEastAsia"/>
          <w:color w:val="auto"/>
          <w:spacing w:val="5"/>
          <w:sz w:val="24"/>
          <w:szCs w:val="24"/>
          <w:highlight w:val="none"/>
        </w:rPr>
        <w:t>间</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 xml:space="preserve"> 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pacing w:val="5"/>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日</w:t>
      </w:r>
    </w:p>
    <w:p w14:paraId="6CD1A21A">
      <w:pPr>
        <w:keepNext w:val="0"/>
        <w:keepLines w:val="0"/>
        <w:pageBreakBefore w:val="0"/>
        <w:widowControl w:val="0"/>
        <w:tabs>
          <w:tab w:val="left" w:pos="2340"/>
        </w:tabs>
        <w:kinsoku/>
        <w:wordWrap/>
        <w:overflowPunct/>
        <w:topLinePunct w:val="0"/>
        <w:autoSpaceDE w:val="0"/>
        <w:autoSpaceDN w:val="0"/>
        <w:bidi w:val="0"/>
        <w:adjustRightInd w:val="0"/>
        <w:snapToGrid/>
        <w:spacing w:line="360" w:lineRule="auto"/>
        <w:ind w:left="120"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经营期</w:t>
      </w:r>
      <w:r>
        <w:rPr>
          <w:rFonts w:hint="eastAsia" w:asciiTheme="minorEastAsia" w:hAnsiTheme="minorEastAsia" w:eastAsiaTheme="minorEastAsia" w:cstheme="minorEastAsia"/>
          <w:color w:val="auto"/>
          <w:spacing w:val="5"/>
          <w:sz w:val="24"/>
          <w:szCs w:val="24"/>
          <w:highlight w:val="none"/>
        </w:rPr>
        <w:t>限</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p>
    <w:p w14:paraId="36A34D64">
      <w:pPr>
        <w:keepNext w:val="0"/>
        <w:keepLines w:val="0"/>
        <w:pageBreakBefore w:val="0"/>
        <w:widowControl w:val="0"/>
        <w:tabs>
          <w:tab w:val="left" w:pos="2340"/>
        </w:tabs>
        <w:kinsoku/>
        <w:wordWrap/>
        <w:overflowPunct/>
        <w:topLinePunct w:val="0"/>
        <w:autoSpaceDE w:val="0"/>
        <w:autoSpaceDN w:val="0"/>
        <w:bidi w:val="0"/>
        <w:adjustRightInd w:val="0"/>
        <w:snapToGrid/>
        <w:spacing w:line="360" w:lineRule="auto"/>
        <w:ind w:left="120"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u w:val="single"/>
        </w:rPr>
      </w:pPr>
    </w:p>
    <w:p w14:paraId="1036B80F">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p>
    <w:p w14:paraId="79497240">
      <w:pPr>
        <w:keepNext w:val="0"/>
        <w:keepLines w:val="0"/>
        <w:pageBreakBefore w:val="0"/>
        <w:widowControl w:val="0"/>
        <w:tabs>
          <w:tab w:val="left" w:pos="2640"/>
          <w:tab w:val="left" w:pos="4440"/>
          <w:tab w:val="left" w:pos="6600"/>
          <w:tab w:val="left" w:pos="7940"/>
        </w:tabs>
        <w:kinsoku/>
        <w:wordWrap/>
        <w:overflowPunct/>
        <w:topLinePunct w:val="0"/>
        <w:autoSpaceDE w:val="0"/>
        <w:autoSpaceDN w:val="0"/>
        <w:bidi w:val="0"/>
        <w:adjustRightInd w:val="0"/>
        <w:snapToGrid/>
        <w:spacing w:before="6" w:line="360" w:lineRule="auto"/>
        <w:ind w:left="120" w:right="-199"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r>
        <w:rPr>
          <w:rFonts w:hint="eastAsia" w:asciiTheme="minorEastAsia" w:hAnsiTheme="minorEastAsia" w:eastAsiaTheme="minorEastAsia" w:cstheme="minorEastAsia"/>
          <w:color w:val="auto"/>
          <w:spacing w:val="-115"/>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pacing w:val="5"/>
          <w:sz w:val="24"/>
          <w:szCs w:val="24"/>
          <w:highlight w:val="none"/>
          <w:lang w:eastAsia="zh-CN"/>
        </w:rPr>
        <w:t>供应商</w:t>
      </w:r>
      <w:r>
        <w:rPr>
          <w:rFonts w:hint="eastAsia" w:asciiTheme="minorEastAsia" w:hAnsiTheme="minorEastAsia" w:eastAsiaTheme="minorEastAsia" w:cstheme="minorEastAsia"/>
          <w:color w:val="auto"/>
          <w:spacing w:val="5"/>
          <w:sz w:val="24"/>
          <w:szCs w:val="24"/>
          <w:highlight w:val="none"/>
        </w:rPr>
        <w:t>名</w:t>
      </w:r>
      <w:r>
        <w:rPr>
          <w:rFonts w:hint="eastAsia" w:asciiTheme="minorEastAsia" w:hAnsiTheme="minorEastAsia" w:eastAsiaTheme="minorEastAsia" w:cstheme="minorEastAsia"/>
          <w:color w:val="auto"/>
          <w:sz w:val="24"/>
          <w:szCs w:val="24"/>
          <w:highlight w:val="none"/>
        </w:rPr>
        <w:t>称</w:t>
      </w:r>
      <w:r>
        <w:rPr>
          <w:rFonts w:hint="eastAsia" w:asciiTheme="minorEastAsia" w:hAnsiTheme="minorEastAsia" w:eastAsiaTheme="minorEastAsia" w:cstheme="minorEastAsia"/>
          <w:color w:val="auto"/>
          <w:spacing w:val="5"/>
          <w:sz w:val="24"/>
          <w:szCs w:val="24"/>
          <w:highlight w:val="none"/>
        </w:rPr>
        <w:t xml:space="preserve">） </w:t>
      </w:r>
      <w:r>
        <w:rPr>
          <w:rFonts w:hint="eastAsia" w:asciiTheme="minorEastAsia" w:hAnsiTheme="minorEastAsia" w:eastAsiaTheme="minorEastAsia" w:cstheme="minorEastAsia"/>
          <w:color w:val="auto"/>
          <w:sz w:val="24"/>
          <w:szCs w:val="24"/>
          <w:highlight w:val="none"/>
        </w:rPr>
        <w:t>的法定代表人/单位负责人</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职务：</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电</w:t>
      </w:r>
      <w:r>
        <w:rPr>
          <w:rFonts w:hint="eastAsia" w:asciiTheme="minorEastAsia" w:hAnsiTheme="minorEastAsia" w:eastAsiaTheme="minorEastAsia" w:cstheme="minorEastAsia"/>
          <w:color w:val="auto"/>
          <w:sz w:val="24"/>
          <w:szCs w:val="24"/>
          <w:highlight w:val="none"/>
        </w:rPr>
        <w:t>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pacing w:val="5"/>
          <w:sz w:val="24"/>
          <w:szCs w:val="24"/>
          <w:highlight w:val="none"/>
        </w:rPr>
        <w:t>）。</w:t>
      </w:r>
    </w:p>
    <w:p w14:paraId="3AEEA1EB">
      <w:pPr>
        <w:keepNext w:val="0"/>
        <w:keepLines w:val="0"/>
        <w:pageBreakBefore w:val="0"/>
        <w:widowControl w:val="0"/>
        <w:kinsoku/>
        <w:wordWrap/>
        <w:overflowPunct/>
        <w:topLinePunct w:val="0"/>
        <w:autoSpaceDE w:val="0"/>
        <w:autoSpaceDN w:val="0"/>
        <w:bidi w:val="0"/>
        <w:adjustRightInd w:val="0"/>
        <w:snapToGrid/>
        <w:spacing w:before="4"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p>
    <w:p w14:paraId="720D15C6">
      <w:pPr>
        <w:keepNext w:val="0"/>
        <w:keepLines w:val="0"/>
        <w:pageBreakBefore w:val="0"/>
        <w:widowControl w:val="0"/>
        <w:kinsoku/>
        <w:wordWrap/>
        <w:overflowPunct/>
        <w:topLinePunct w:val="0"/>
        <w:autoSpaceDE w:val="0"/>
        <w:autoSpaceDN w:val="0"/>
        <w:bidi w:val="0"/>
        <w:adjustRightInd w:val="0"/>
        <w:snapToGrid/>
        <w:spacing w:line="360" w:lineRule="auto"/>
        <w:ind w:left="677"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w:t>
      </w:r>
      <w:r>
        <w:rPr>
          <w:rFonts w:hint="eastAsia" w:asciiTheme="minorEastAsia" w:hAnsiTheme="minorEastAsia" w:eastAsiaTheme="minorEastAsia" w:cstheme="minorEastAsia"/>
          <w:color w:val="auto"/>
          <w:spacing w:val="5"/>
          <w:sz w:val="24"/>
          <w:szCs w:val="24"/>
          <w:highlight w:val="none"/>
        </w:rPr>
        <w:t>此</w:t>
      </w:r>
      <w:r>
        <w:rPr>
          <w:rFonts w:hint="eastAsia" w:asciiTheme="minorEastAsia" w:hAnsiTheme="minorEastAsia" w:eastAsiaTheme="minorEastAsia" w:cstheme="minorEastAsia"/>
          <w:color w:val="auto"/>
          <w:sz w:val="24"/>
          <w:szCs w:val="24"/>
          <w:highlight w:val="none"/>
        </w:rPr>
        <w:t>证明。</w:t>
      </w:r>
    </w:p>
    <w:p w14:paraId="21129377">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p>
    <w:p w14:paraId="11178D24">
      <w:pPr>
        <w:keepNext w:val="0"/>
        <w:keepLines w:val="0"/>
        <w:pageBreakBefore w:val="0"/>
        <w:widowControl w:val="0"/>
        <w:kinsoku/>
        <w:wordWrap/>
        <w:overflowPunct/>
        <w:topLinePunct w:val="0"/>
        <w:autoSpaceDE w:val="0"/>
        <w:autoSpaceDN w:val="0"/>
        <w:bidi w:val="0"/>
        <w:adjustRightInd w:val="0"/>
        <w:snapToGrid/>
        <w:spacing w:line="360" w:lineRule="auto"/>
        <w:ind w:left="677"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rPr>
        <w:t>法定代表人/单位负责人</w:t>
      </w:r>
      <w:r>
        <w:rPr>
          <w:rFonts w:hint="eastAsia" w:asciiTheme="minorEastAsia" w:hAnsiTheme="minorEastAsia" w:eastAsiaTheme="minorEastAsia" w:cstheme="minorEastAsia"/>
          <w:color w:val="auto"/>
          <w:spacing w:val="5"/>
          <w:sz w:val="24"/>
          <w:szCs w:val="24"/>
          <w:highlight w:val="none"/>
        </w:rPr>
        <w:t>身</w:t>
      </w:r>
      <w:r>
        <w:rPr>
          <w:rFonts w:hint="eastAsia" w:asciiTheme="minorEastAsia" w:hAnsiTheme="minorEastAsia" w:eastAsiaTheme="minorEastAsia" w:cstheme="minorEastAsia"/>
          <w:color w:val="auto"/>
          <w:sz w:val="24"/>
          <w:szCs w:val="24"/>
          <w:highlight w:val="none"/>
        </w:rPr>
        <w:t>份证</w:t>
      </w:r>
      <w:r>
        <w:rPr>
          <w:rFonts w:hint="eastAsia" w:asciiTheme="minorEastAsia" w:hAnsiTheme="minorEastAsia" w:eastAsiaTheme="minorEastAsia" w:cstheme="minorEastAsia"/>
          <w:color w:val="auto"/>
          <w:spacing w:val="5"/>
          <w:sz w:val="24"/>
          <w:szCs w:val="24"/>
          <w:highlight w:val="none"/>
        </w:rPr>
        <w:t>复</w:t>
      </w:r>
      <w:r>
        <w:rPr>
          <w:rFonts w:hint="eastAsia" w:asciiTheme="minorEastAsia" w:hAnsiTheme="minorEastAsia" w:eastAsiaTheme="minorEastAsia" w:cstheme="minorEastAsia"/>
          <w:color w:val="auto"/>
          <w:sz w:val="24"/>
          <w:szCs w:val="24"/>
          <w:highlight w:val="none"/>
        </w:rPr>
        <w:t>印</w:t>
      </w:r>
      <w:r>
        <w:rPr>
          <w:rFonts w:hint="eastAsia" w:asciiTheme="minorEastAsia" w:hAnsiTheme="minorEastAsia" w:eastAsiaTheme="minorEastAsia" w:cstheme="minorEastAsia"/>
          <w:color w:val="auto"/>
          <w:spacing w:val="5"/>
          <w:sz w:val="24"/>
          <w:szCs w:val="24"/>
          <w:highlight w:val="none"/>
        </w:rPr>
        <w:t>件正反两面</w:t>
      </w:r>
    </w:p>
    <w:p w14:paraId="1FDA6F3D">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p>
    <w:p w14:paraId="58E133BE">
      <w:pPr>
        <w:keepNext w:val="0"/>
        <w:keepLines w:val="0"/>
        <w:pageBreakBefore w:val="0"/>
        <w:widowControl w:val="0"/>
        <w:tabs>
          <w:tab w:val="left" w:pos="5840"/>
        </w:tabs>
        <w:kinsoku/>
        <w:wordWrap/>
        <w:overflowPunct/>
        <w:topLinePunct w:val="0"/>
        <w:autoSpaceDE w:val="0"/>
        <w:autoSpaceDN w:val="0"/>
        <w:bidi w:val="0"/>
        <w:adjustRightInd w:val="0"/>
        <w:snapToGrid/>
        <w:spacing w:line="360" w:lineRule="auto"/>
        <w:ind w:right="-20" w:firstLine="50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lang w:eastAsia="zh-CN"/>
        </w:rPr>
        <w:t>供应商</w:t>
      </w:r>
      <w:r>
        <w:rPr>
          <w:rFonts w:hint="eastAsia" w:asciiTheme="minorEastAsia" w:hAnsiTheme="minorEastAsia" w:eastAsiaTheme="minorEastAsia" w:cstheme="minorEastAsia"/>
          <w:color w:val="auto"/>
          <w:spacing w:val="5"/>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ab/>
      </w:r>
      <w:r>
        <w:rPr>
          <w:rFonts w:hint="eastAsia" w:asciiTheme="minorEastAsia" w:hAnsiTheme="minorEastAsia" w:eastAsiaTheme="minorEastAsia" w:cstheme="minorEastAsia"/>
          <w:color w:val="auto"/>
          <w:sz w:val="24"/>
          <w:szCs w:val="24"/>
          <w:highlight w:val="none"/>
        </w:rPr>
        <w:t xml:space="preserve"> （盖单位公章）</w:t>
      </w:r>
    </w:p>
    <w:p w14:paraId="0A5464BE">
      <w:pPr>
        <w:keepNext w:val="0"/>
        <w:keepLines w:val="0"/>
        <w:pageBreakBefore w:val="0"/>
        <w:widowControl w:val="0"/>
        <w:kinsoku/>
        <w:wordWrap/>
        <w:overflowPunct/>
        <w:topLinePunct w:val="0"/>
        <w:autoSpaceDE w:val="0"/>
        <w:autoSpaceDN w:val="0"/>
        <w:bidi w:val="0"/>
        <w:adjustRightInd w:val="0"/>
        <w:snapToGrid/>
        <w:spacing w:before="5" w:line="360" w:lineRule="auto"/>
        <w:ind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p>
    <w:p w14:paraId="072CC9F9">
      <w:pPr>
        <w:keepNext w:val="0"/>
        <w:keepLines w:val="0"/>
        <w:pageBreakBefore w:val="0"/>
        <w:widowControl w:val="0"/>
        <w:tabs>
          <w:tab w:val="left" w:pos="4300"/>
          <w:tab w:val="left" w:pos="5560"/>
          <w:tab w:val="left" w:pos="6820"/>
        </w:tabs>
        <w:kinsoku/>
        <w:wordWrap/>
        <w:overflowPunct/>
        <w:topLinePunct w:val="0"/>
        <w:autoSpaceDE w:val="0"/>
        <w:autoSpaceDN w:val="0"/>
        <w:bidi w:val="0"/>
        <w:adjustRightInd w:val="0"/>
        <w:snapToGrid/>
        <w:spacing w:before="6" w:line="360" w:lineRule="auto"/>
        <w:ind w:right="-20" w:firstLine="480" w:firstLineChars="200"/>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5"/>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日</w:t>
      </w:r>
    </w:p>
    <w:p w14:paraId="7401F971">
      <w:pPr>
        <w:keepNext w:val="0"/>
        <w:keepLines w:val="0"/>
        <w:pageBreakBefore w:val="0"/>
        <w:widowControl w:val="0"/>
        <w:tabs>
          <w:tab w:val="left" w:pos="4300"/>
          <w:tab w:val="left" w:pos="5560"/>
          <w:tab w:val="left" w:pos="6820"/>
        </w:tabs>
        <w:kinsoku/>
        <w:wordWrap/>
        <w:overflowPunct/>
        <w:topLinePunct w:val="0"/>
        <w:autoSpaceDE w:val="0"/>
        <w:autoSpaceDN w:val="0"/>
        <w:bidi w:val="0"/>
        <w:adjustRightInd w:val="0"/>
        <w:snapToGrid/>
        <w:spacing w:before="6" w:line="360" w:lineRule="auto"/>
        <w:ind w:right="-20" w:firstLine="200" w:firstLineChars="200"/>
        <w:jc w:val="left"/>
        <w:textAlignment w:val="auto"/>
        <w:outlineLvl w:val="9"/>
        <w:rPr>
          <w:rFonts w:hint="eastAsia" w:asciiTheme="minorEastAsia" w:hAnsiTheme="minorEastAsia" w:eastAsiaTheme="minorEastAsia" w:cstheme="minorEastAsia"/>
          <w:color w:val="auto"/>
          <w:sz w:val="10"/>
          <w:szCs w:val="24"/>
          <w:highlight w:val="none"/>
        </w:rPr>
      </w:pPr>
    </w:p>
    <w:p w14:paraId="097F5960">
      <w:pPr>
        <w:keepNext w:val="0"/>
        <w:keepLines w:val="0"/>
        <w:pageBreakBefore w:val="0"/>
        <w:widowControl w:val="0"/>
        <w:kinsoku/>
        <w:wordWrap/>
        <w:overflowPunct/>
        <w:topLinePunct w:val="0"/>
        <w:bidi w:val="0"/>
        <w:snapToGrid/>
        <w:spacing w:line="360" w:lineRule="auto"/>
        <w:ind w:firstLine="482" w:firstLineChars="200"/>
        <w:textAlignment w:val="auto"/>
        <w:outlineLvl w:val="9"/>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注</w:t>
      </w:r>
      <w:r>
        <w:rPr>
          <w:rFonts w:hint="eastAsia" w:asciiTheme="minorEastAsia" w:hAnsiTheme="minorEastAsia" w:eastAsiaTheme="minorEastAsia" w:cstheme="minorEastAsia"/>
          <w:b/>
          <w:color w:val="auto"/>
          <w:spacing w:val="-139"/>
          <w:sz w:val="24"/>
          <w:szCs w:val="24"/>
          <w:highlight w:val="none"/>
        </w:rPr>
        <w:t>：</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b/>
          <w:color w:val="auto"/>
          <w:spacing w:val="5"/>
          <w:sz w:val="24"/>
          <w:szCs w:val="24"/>
          <w:highlight w:val="none"/>
        </w:rPr>
        <w:t>法</w:t>
      </w:r>
      <w:r>
        <w:rPr>
          <w:rFonts w:hint="eastAsia" w:asciiTheme="minorEastAsia" w:hAnsiTheme="minorEastAsia" w:eastAsiaTheme="minorEastAsia" w:cstheme="minorEastAsia"/>
          <w:b/>
          <w:color w:val="auto"/>
          <w:sz w:val="24"/>
          <w:szCs w:val="24"/>
          <w:highlight w:val="none"/>
        </w:rPr>
        <w:t>定代</w:t>
      </w:r>
      <w:r>
        <w:rPr>
          <w:rFonts w:hint="eastAsia" w:asciiTheme="minorEastAsia" w:hAnsiTheme="minorEastAsia" w:eastAsiaTheme="minorEastAsia" w:cstheme="minorEastAsia"/>
          <w:b/>
          <w:color w:val="auto"/>
          <w:spacing w:val="5"/>
          <w:sz w:val="24"/>
          <w:szCs w:val="24"/>
          <w:highlight w:val="none"/>
        </w:rPr>
        <w:t>表</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pacing w:val="5"/>
          <w:sz w:val="24"/>
          <w:szCs w:val="24"/>
          <w:highlight w:val="none"/>
        </w:rPr>
        <w:t>而非</w:t>
      </w:r>
      <w:r>
        <w:rPr>
          <w:rFonts w:hint="eastAsia" w:asciiTheme="minorEastAsia" w:hAnsiTheme="minorEastAsia" w:eastAsiaTheme="minorEastAsia" w:cstheme="minorEastAsia"/>
          <w:b/>
          <w:color w:val="auto"/>
          <w:sz w:val="24"/>
          <w:szCs w:val="24"/>
          <w:highlight w:val="none"/>
        </w:rPr>
        <w:t>委托代</w:t>
      </w:r>
      <w:r>
        <w:rPr>
          <w:rFonts w:hint="eastAsia" w:asciiTheme="minorEastAsia" w:hAnsiTheme="minorEastAsia" w:eastAsiaTheme="minorEastAsia" w:cstheme="minorEastAsia"/>
          <w:b/>
          <w:color w:val="auto"/>
          <w:spacing w:val="5"/>
          <w:sz w:val="24"/>
          <w:szCs w:val="24"/>
          <w:highlight w:val="none"/>
        </w:rPr>
        <w:t>理</w:t>
      </w:r>
      <w:r>
        <w:rPr>
          <w:rFonts w:hint="eastAsia" w:asciiTheme="minorEastAsia" w:hAnsiTheme="minorEastAsia" w:eastAsiaTheme="minorEastAsia" w:cstheme="minorEastAsia"/>
          <w:b/>
          <w:color w:val="auto"/>
          <w:sz w:val="24"/>
          <w:szCs w:val="24"/>
          <w:highlight w:val="none"/>
        </w:rPr>
        <w:t>人</w:t>
      </w:r>
      <w:r>
        <w:rPr>
          <w:rFonts w:hint="eastAsia" w:asciiTheme="minorEastAsia" w:hAnsiTheme="minorEastAsia" w:eastAsiaTheme="minorEastAsia" w:cstheme="minorEastAsia"/>
          <w:b/>
          <w:color w:val="auto"/>
          <w:sz w:val="24"/>
          <w:szCs w:val="24"/>
          <w:highlight w:val="none"/>
          <w:lang w:val="en-US" w:eastAsia="zh-CN"/>
        </w:rPr>
        <w:t>磋商</w:t>
      </w:r>
      <w:r>
        <w:rPr>
          <w:rFonts w:hint="eastAsia" w:asciiTheme="minorEastAsia" w:hAnsiTheme="minorEastAsia" w:eastAsiaTheme="minorEastAsia" w:cstheme="minorEastAsia"/>
          <w:b/>
          <w:color w:val="auto"/>
          <w:sz w:val="24"/>
          <w:szCs w:val="24"/>
          <w:highlight w:val="none"/>
        </w:rPr>
        <w:t>适用。</w:t>
      </w:r>
    </w:p>
    <w:p w14:paraId="732B98B3">
      <w:pPr>
        <w:keepNext w:val="0"/>
        <w:keepLines w:val="0"/>
        <w:pageBreakBefore w:val="0"/>
        <w:widowControl w:val="0"/>
        <w:kinsoku/>
        <w:wordWrap/>
        <w:overflowPunct/>
        <w:topLinePunct w:val="0"/>
        <w:bidi w:val="0"/>
        <w:snapToGrid/>
        <w:ind w:firstLine="643" w:firstLineChars="200"/>
        <w:textAlignment w:val="auto"/>
        <w:outlineLvl w:val="9"/>
        <w:rPr>
          <w:rFonts w:hint="eastAsia" w:asciiTheme="minorEastAsia" w:hAnsiTheme="minorEastAsia" w:eastAsiaTheme="minorEastAsia" w:cstheme="minorEastAsia"/>
          <w:b/>
          <w:bCs/>
          <w:color w:val="auto"/>
          <w:sz w:val="32"/>
          <w:szCs w:val="40"/>
          <w:highlight w:val="none"/>
        </w:rPr>
      </w:pPr>
    </w:p>
    <w:p w14:paraId="54929010">
      <w:pPr>
        <w:keepNext w:val="0"/>
        <w:keepLines w:val="0"/>
        <w:pageBreakBefore w:val="0"/>
        <w:widowControl w:val="0"/>
        <w:kinsoku/>
        <w:wordWrap/>
        <w:overflowPunct/>
        <w:topLinePunct w:val="0"/>
        <w:bidi w:val="0"/>
        <w:snapToGrid/>
        <w:ind w:firstLine="643" w:firstLineChars="200"/>
        <w:jc w:val="center"/>
        <w:textAlignment w:val="auto"/>
        <w:outlineLvl w:val="9"/>
        <w:rPr>
          <w:rFonts w:hint="eastAsia" w:asciiTheme="minorEastAsia" w:hAnsiTheme="minorEastAsia" w:eastAsiaTheme="minorEastAsia" w:cstheme="minorEastAsia"/>
          <w:b/>
          <w:bCs/>
          <w:color w:val="auto"/>
          <w:sz w:val="32"/>
          <w:szCs w:val="40"/>
          <w:highlight w:val="none"/>
        </w:rPr>
      </w:pPr>
    </w:p>
    <w:p w14:paraId="70972713">
      <w:pPr>
        <w:keepNext w:val="0"/>
        <w:keepLines w:val="0"/>
        <w:pageBreakBefore w:val="0"/>
        <w:widowControl w:val="0"/>
        <w:kinsoku/>
        <w:wordWrap/>
        <w:overflowPunct/>
        <w:topLinePunct w:val="0"/>
        <w:bidi w:val="0"/>
        <w:snapToGrid/>
        <w:ind w:firstLine="643" w:firstLineChars="200"/>
        <w:textAlignment w:val="auto"/>
        <w:outlineLvl w:val="9"/>
        <w:rPr>
          <w:rFonts w:hint="eastAsia" w:asciiTheme="minorEastAsia" w:hAnsiTheme="minorEastAsia" w:eastAsiaTheme="minorEastAsia" w:cstheme="minorEastAsia"/>
          <w:b/>
          <w:bCs/>
          <w:color w:val="auto"/>
          <w:sz w:val="32"/>
          <w:szCs w:val="40"/>
          <w:highlight w:val="none"/>
        </w:rPr>
      </w:pPr>
    </w:p>
    <w:p w14:paraId="04E140E0">
      <w:pPr>
        <w:keepNext w:val="0"/>
        <w:keepLines w:val="0"/>
        <w:pageBreakBefore w:val="0"/>
        <w:widowControl w:val="0"/>
        <w:kinsoku/>
        <w:wordWrap/>
        <w:overflowPunct/>
        <w:topLinePunct w:val="0"/>
        <w:bidi w:val="0"/>
        <w:snapToGrid/>
        <w:ind w:firstLine="643" w:firstLineChars="200"/>
        <w:jc w:val="center"/>
        <w:textAlignment w:val="auto"/>
        <w:outlineLvl w:val="9"/>
        <w:rPr>
          <w:rFonts w:hint="eastAsia" w:asciiTheme="minorEastAsia" w:hAnsiTheme="minorEastAsia" w:eastAsiaTheme="minorEastAsia" w:cstheme="minorEastAsia"/>
          <w:b/>
          <w:bCs/>
          <w:color w:val="auto"/>
          <w:sz w:val="32"/>
          <w:szCs w:val="40"/>
          <w:highlight w:val="none"/>
        </w:rPr>
      </w:pPr>
    </w:p>
    <w:p w14:paraId="07DD6693">
      <w:pPr>
        <w:keepNext w:val="0"/>
        <w:keepLines w:val="0"/>
        <w:pageBreakBefore w:val="0"/>
        <w:widowControl w:val="0"/>
        <w:kinsoku/>
        <w:wordWrap/>
        <w:overflowPunct/>
        <w:topLinePunct w:val="0"/>
        <w:bidi w:val="0"/>
        <w:snapToGrid/>
        <w:ind w:firstLine="643" w:firstLineChars="200"/>
        <w:jc w:val="center"/>
        <w:textAlignment w:val="auto"/>
        <w:outlineLvl w:val="9"/>
        <w:rPr>
          <w:rFonts w:hint="eastAsia" w:asciiTheme="minorEastAsia" w:hAnsiTheme="minorEastAsia" w:eastAsiaTheme="minorEastAsia" w:cstheme="minorEastAsia"/>
          <w:b/>
          <w:bCs/>
          <w:color w:val="auto"/>
          <w:sz w:val="32"/>
          <w:szCs w:val="40"/>
          <w:highlight w:val="none"/>
        </w:rPr>
      </w:pPr>
    </w:p>
    <w:p w14:paraId="556A089E">
      <w:pPr>
        <w:keepNext w:val="0"/>
        <w:keepLines w:val="0"/>
        <w:pageBreakBefore w:val="0"/>
        <w:widowControl w:val="0"/>
        <w:kinsoku/>
        <w:wordWrap/>
        <w:overflowPunct/>
        <w:topLinePunct w:val="0"/>
        <w:bidi w:val="0"/>
        <w:snapToGrid/>
        <w:ind w:firstLine="643" w:firstLineChars="200"/>
        <w:textAlignment w:val="auto"/>
        <w:outlineLvl w:val="9"/>
        <w:rPr>
          <w:rFonts w:hint="eastAsia" w:asciiTheme="minorEastAsia" w:hAnsiTheme="minorEastAsia" w:eastAsiaTheme="minorEastAsia" w:cstheme="minorEastAsia"/>
          <w:b/>
          <w:bCs/>
          <w:color w:val="auto"/>
          <w:sz w:val="32"/>
          <w:szCs w:val="40"/>
          <w:highlight w:val="none"/>
        </w:rPr>
      </w:pPr>
    </w:p>
    <w:p w14:paraId="7D6833B5">
      <w:pPr>
        <w:keepNext w:val="0"/>
        <w:keepLines w:val="0"/>
        <w:pageBreakBefore w:val="0"/>
        <w:widowControl w:val="0"/>
        <w:kinsoku/>
        <w:wordWrap/>
        <w:overflowPunct/>
        <w:topLinePunct w:val="0"/>
        <w:bidi w:val="0"/>
        <w:snapToGrid/>
        <w:ind w:firstLine="643" w:firstLineChars="200"/>
        <w:textAlignment w:val="auto"/>
        <w:outlineLvl w:val="9"/>
        <w:rPr>
          <w:rFonts w:hint="eastAsia" w:asciiTheme="minorEastAsia" w:hAnsiTheme="minorEastAsia" w:eastAsiaTheme="minorEastAsia" w:cstheme="minorEastAsia"/>
          <w:b/>
          <w:bCs/>
          <w:color w:val="auto"/>
          <w:sz w:val="32"/>
          <w:szCs w:val="40"/>
          <w:highlight w:val="none"/>
        </w:rPr>
      </w:pPr>
      <w:bookmarkStart w:id="110" w:name="_Toc6536_WPSOffice_Level1"/>
      <w:r>
        <w:rPr>
          <w:rFonts w:hint="eastAsia" w:asciiTheme="minorEastAsia" w:hAnsiTheme="minorEastAsia" w:eastAsiaTheme="minorEastAsia" w:cstheme="minorEastAsia"/>
          <w:b/>
          <w:bCs/>
          <w:color w:val="auto"/>
          <w:sz w:val="32"/>
          <w:szCs w:val="40"/>
          <w:highlight w:val="none"/>
        </w:rPr>
        <w:br w:type="page"/>
      </w:r>
    </w:p>
    <w:bookmarkEnd w:id="110"/>
    <w:p w14:paraId="34ADFC52">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Theme="minorEastAsia" w:hAnsiTheme="minorEastAsia" w:eastAsiaTheme="minorEastAsia" w:cstheme="minorEastAsia"/>
          <w:b/>
          <w:color w:val="auto"/>
          <w:sz w:val="32"/>
          <w:szCs w:val="32"/>
          <w:highlight w:val="none"/>
        </w:rPr>
      </w:pPr>
      <w:bookmarkStart w:id="111" w:name="_Toc10254_WPSOffice_Level1"/>
      <w:r>
        <w:rPr>
          <w:rFonts w:hint="eastAsia" w:asciiTheme="minorEastAsia" w:hAnsiTheme="minorEastAsia" w:eastAsiaTheme="minorEastAsia" w:cstheme="minorEastAsia"/>
          <w:b/>
          <w:color w:val="auto"/>
          <w:sz w:val="32"/>
          <w:szCs w:val="32"/>
          <w:highlight w:val="none"/>
          <w:lang w:val="en-US" w:eastAsia="zh-CN"/>
        </w:rPr>
        <w:t>三</w:t>
      </w:r>
      <w:r>
        <w:rPr>
          <w:rFonts w:hint="eastAsia" w:asciiTheme="minorEastAsia" w:hAnsiTheme="minorEastAsia" w:eastAsiaTheme="minorEastAsia" w:cstheme="minorEastAsia"/>
          <w:b/>
          <w:color w:val="auto"/>
          <w:sz w:val="32"/>
          <w:szCs w:val="32"/>
          <w:highlight w:val="none"/>
        </w:rPr>
        <w:t>、承诺函</w:t>
      </w:r>
      <w:bookmarkEnd w:id="111"/>
    </w:p>
    <w:p w14:paraId="0F332192">
      <w:pPr>
        <w:keepNext w:val="0"/>
        <w:keepLines w:val="0"/>
        <w:pageBreakBefore w:val="0"/>
        <w:widowControl w:val="0"/>
        <w:kinsoku/>
        <w:wordWrap/>
        <w:overflowPunct/>
        <w:topLinePunct w:val="0"/>
        <w:bidi w:val="0"/>
        <w:snapToGrid/>
        <w:ind w:firstLine="643" w:firstLineChars="200"/>
        <w:jc w:val="center"/>
        <w:textAlignment w:val="auto"/>
        <w:outlineLvl w:val="9"/>
        <w:rPr>
          <w:rFonts w:hint="eastAsia" w:asciiTheme="minorEastAsia" w:hAnsiTheme="minorEastAsia" w:eastAsiaTheme="minorEastAsia" w:cstheme="minorEastAsia"/>
          <w:b/>
          <w:color w:val="auto"/>
          <w:sz w:val="32"/>
          <w:szCs w:val="32"/>
          <w:highlight w:val="none"/>
        </w:rPr>
      </w:pPr>
    </w:p>
    <w:p w14:paraId="22ACC48D">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代理机构</w:t>
      </w:r>
      <w:r>
        <w:rPr>
          <w:rFonts w:hint="eastAsia" w:asciiTheme="minorEastAsia" w:hAnsiTheme="minorEastAsia" w:eastAsiaTheme="minorEastAsia" w:cstheme="minorEastAsia"/>
          <w:color w:val="auto"/>
          <w:sz w:val="24"/>
          <w:szCs w:val="24"/>
          <w:highlight w:val="none"/>
        </w:rPr>
        <w:t>名称）：</w:t>
      </w:r>
    </w:p>
    <w:p w14:paraId="1317362B">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我公司作为本次采购项目的供应商，根据磋商文件要求，现郑重承诺如下：</w:t>
      </w:r>
    </w:p>
    <w:p w14:paraId="26DE8C32">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一、具备《中华人民共和国政府采购法》第二十二条第一款和本项目规定的条件：</w:t>
      </w:r>
    </w:p>
    <w:p w14:paraId="25C09BF5">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（一）具有独立承担民事责任的能力；</w:t>
      </w:r>
    </w:p>
    <w:p w14:paraId="1AADBEB7">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（二）具有良好的商业信誉和健全的财务会计制度；</w:t>
      </w:r>
    </w:p>
    <w:p w14:paraId="34599268">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（三）具有履行合同所必需的设备和专业技术能力；</w:t>
      </w:r>
    </w:p>
    <w:p w14:paraId="32BC62E5">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（四）有依法缴纳税收和社会保障资金的良好记录；</w:t>
      </w:r>
    </w:p>
    <w:p w14:paraId="27FB8E35">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（五）参加采购活动前三年内，在经营活动中没有重大违法记录；</w:t>
      </w:r>
    </w:p>
    <w:p w14:paraId="221957E0">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（六）法律、行政法规规定的其他条件；</w:t>
      </w:r>
    </w:p>
    <w:p w14:paraId="2A4EC19C">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（七）根据采购项目提出的特殊条件。</w:t>
      </w:r>
    </w:p>
    <w:p w14:paraId="20C25D22">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完全接受和满足本项目磋商文件中规定的实质性要求，如对磋商文件有异议，已经在递交响应文件截止时间届满前依法进行维权救济，不存在对磋商文件有异议的同时又参加磋商以求侥幸成交或者为实现其他非法目的的行为。</w:t>
      </w:r>
    </w:p>
    <w:p w14:paraId="4EF43744">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、响应文件中提供的任何资料和技术、服务、商务等响应承诺情况都是真实的、有效的、合法的。</w:t>
      </w:r>
    </w:p>
    <w:p w14:paraId="56D1DB5E">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如本项目磋商采购过程中需要提供样品，则我公司提供的样品即为成交后将要提供的成交产品，我公司对提供样品的性能和质量负责，因样品存在缺陷或者不符合磋商文件要求导致未能成交的，我公司愿意承担相应不利后果。</w:t>
      </w:r>
    </w:p>
    <w:p w14:paraId="6009AE02">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本公司对上述承诺的内容事项真实性负责。如经查实上述承诺的内容事项存在虚假，我公司愿意接受以提供虚假材料谋取成交的法律责任。</w:t>
      </w:r>
    </w:p>
    <w:p w14:paraId="509AAD39">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776D588C">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法定代表人/单位负责人签字或者加盖个人私章：XXXX</w:t>
      </w:r>
    </w:p>
    <w:p w14:paraId="32388F45">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授权代表签字：XXXX</w:t>
      </w:r>
    </w:p>
    <w:p w14:paraId="3A59D767">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供应商名称：XXXX（盖章）</w:t>
      </w:r>
    </w:p>
    <w:p w14:paraId="69EC83BE">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color w:val="auto"/>
          <w:sz w:val="24"/>
          <w:szCs w:val="24"/>
          <w:highlight w:val="none"/>
        </w:rPr>
        <w:t>日    期：XXX年XXX月XXX日</w:t>
      </w:r>
    </w:p>
    <w:p w14:paraId="6C8D7E9E">
      <w:pPr>
        <w:pStyle w:val="10"/>
        <w:keepNext w:val="0"/>
        <w:keepLines w:val="0"/>
        <w:pageBreakBefore w:val="0"/>
        <w:widowControl w:val="0"/>
        <w:kinsoku/>
        <w:wordWrap/>
        <w:overflowPunct/>
        <w:topLinePunct w:val="0"/>
        <w:bidi w:val="0"/>
        <w:snapToGrid/>
        <w:ind w:firstLine="562" w:firstLineChars="200"/>
        <w:textAlignment w:val="auto"/>
        <w:outlineLvl w:val="9"/>
        <w:rPr>
          <w:rFonts w:hint="eastAsia" w:asciiTheme="minorEastAsia" w:hAnsiTheme="minorEastAsia" w:eastAsiaTheme="minorEastAsia" w:cstheme="minorEastAsia"/>
          <w:b/>
          <w:color w:val="auto"/>
          <w:sz w:val="28"/>
          <w:szCs w:val="28"/>
          <w:highlight w:val="none"/>
        </w:rPr>
      </w:pPr>
    </w:p>
    <w:p w14:paraId="56B03E66">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default" w:asciiTheme="minorEastAsia" w:hAnsiTheme="minorEastAsia" w:eastAsiaTheme="minorEastAsia" w:cstheme="minorEastAsia"/>
          <w:b/>
          <w:color w:val="auto"/>
          <w:sz w:val="32"/>
          <w:szCs w:val="32"/>
          <w:highlight w:val="none"/>
          <w:lang w:val="en-US" w:eastAsia="zh-CN"/>
        </w:rPr>
      </w:pPr>
      <w:bookmarkStart w:id="112" w:name="_Toc15445_WPSOffice_Level1"/>
      <w:r>
        <w:rPr>
          <w:rFonts w:hint="eastAsia" w:asciiTheme="minorEastAsia" w:hAnsiTheme="minorEastAsia" w:eastAsiaTheme="minorEastAsia" w:cstheme="minorEastAsia"/>
          <w:b/>
          <w:color w:val="auto"/>
          <w:sz w:val="32"/>
          <w:szCs w:val="32"/>
          <w:highlight w:val="none"/>
          <w:lang w:val="en-US" w:eastAsia="zh-CN"/>
        </w:rPr>
        <w:t>四、其他资格性证明材料</w:t>
      </w:r>
    </w:p>
    <w:p w14:paraId="2A4C0472">
      <w:pPr>
        <w:kinsoku/>
        <w:overflowPunct/>
        <w:bidi w:val="0"/>
        <w:ind w:firstLine="643" w:firstLineChars="20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7CC00FEA">
      <w:pPr>
        <w:tabs>
          <w:tab w:val="left" w:pos="900"/>
        </w:tabs>
        <w:kinsoku/>
        <w:overflowPunct/>
        <w:bidi w:val="0"/>
        <w:spacing w:line="360" w:lineRule="auto"/>
        <w:ind w:firstLine="643" w:firstLineChars="200"/>
        <w:jc w:val="center"/>
        <w:rPr>
          <w:rFonts w:hint="eastAsia"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b/>
          <w:color w:val="auto"/>
          <w:sz w:val="32"/>
          <w:highlight w:val="none"/>
        </w:rPr>
        <w:t>“技术、商务响应文件”格式</w:t>
      </w:r>
    </w:p>
    <w:p w14:paraId="4F4B5CDE">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p>
    <w:p w14:paraId="4EA1BA6E">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封面：</w:t>
      </w:r>
    </w:p>
    <w:p w14:paraId="4115D259">
      <w:pPr>
        <w:kinsoku/>
        <w:overflowPunct/>
        <w:bidi w:val="0"/>
        <w:spacing w:line="360" w:lineRule="auto"/>
        <w:ind w:firstLine="723" w:firstLineChars="200"/>
        <w:jc w:val="right"/>
        <w:rPr>
          <w:rFonts w:hint="eastAsia"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6"/>
          <w:highlight w:val="none"/>
        </w:rPr>
        <w:t>（正本/副本）</w:t>
      </w:r>
    </w:p>
    <w:p w14:paraId="14986EEB">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p>
    <w:p w14:paraId="2CF74A8A">
      <w:pPr>
        <w:kinsoku/>
        <w:overflowPunct/>
        <w:bidi w:val="0"/>
        <w:spacing w:line="360" w:lineRule="auto"/>
        <w:ind w:firstLine="643" w:firstLineChars="200"/>
        <w:rPr>
          <w:rFonts w:hint="eastAsia" w:asciiTheme="minorEastAsia" w:hAnsiTheme="minorEastAsia" w:eastAsiaTheme="minorEastAsia" w:cstheme="minorEastAsia"/>
          <w:b/>
          <w:color w:val="auto"/>
          <w:sz w:val="32"/>
          <w:szCs w:val="32"/>
          <w:highlight w:val="none"/>
        </w:rPr>
      </w:pPr>
    </w:p>
    <w:p w14:paraId="39CECDDC">
      <w:pPr>
        <w:kinsoku/>
        <w:overflowPunct/>
        <w:bidi w:val="0"/>
        <w:spacing w:line="360" w:lineRule="auto"/>
        <w:ind w:firstLine="803" w:firstLineChars="200"/>
        <w:jc w:val="center"/>
        <w:rPr>
          <w:rFonts w:hint="eastAsia" w:asciiTheme="minorEastAsia" w:hAnsiTheme="minorEastAsia" w:eastAsiaTheme="minorEastAsia" w:cstheme="minorEastAsia"/>
          <w:b/>
          <w:color w:val="auto"/>
          <w:sz w:val="72"/>
          <w:highlight w:val="none"/>
        </w:rPr>
      </w:pPr>
      <w:r>
        <w:rPr>
          <w:rFonts w:hint="eastAsia" w:asciiTheme="minorEastAsia" w:hAnsiTheme="minorEastAsia" w:eastAsiaTheme="minorEastAsia" w:cstheme="minorEastAsia"/>
          <w:b/>
          <w:color w:val="auto"/>
          <w:sz w:val="40"/>
          <w:szCs w:val="48"/>
          <w:highlight w:val="none"/>
          <w:u w:val="single"/>
        </w:rPr>
        <w:t xml:space="preserve">                      </w:t>
      </w:r>
      <w:r>
        <w:rPr>
          <w:rFonts w:hint="eastAsia" w:asciiTheme="minorEastAsia" w:hAnsiTheme="minorEastAsia" w:eastAsiaTheme="minorEastAsia" w:cstheme="minorEastAsia"/>
          <w:b/>
          <w:color w:val="auto"/>
          <w:sz w:val="40"/>
          <w:szCs w:val="48"/>
          <w:highlight w:val="none"/>
        </w:rPr>
        <w:t>项目</w:t>
      </w:r>
    </w:p>
    <w:p w14:paraId="1027E845">
      <w:pPr>
        <w:kinsoku/>
        <w:overflowPunct/>
        <w:bidi w:val="0"/>
        <w:spacing w:line="360" w:lineRule="auto"/>
        <w:ind w:firstLine="1044" w:firstLineChars="200"/>
        <w:rPr>
          <w:rFonts w:hint="eastAsia" w:asciiTheme="minorEastAsia" w:hAnsiTheme="minorEastAsia" w:eastAsiaTheme="minorEastAsia" w:cstheme="minorEastAsia"/>
          <w:b/>
          <w:color w:val="auto"/>
          <w:sz w:val="52"/>
          <w:szCs w:val="52"/>
          <w:highlight w:val="none"/>
        </w:rPr>
      </w:pPr>
    </w:p>
    <w:p w14:paraId="13307571">
      <w:pPr>
        <w:kinsoku/>
        <w:overflowPunct/>
        <w:bidi w:val="0"/>
        <w:spacing w:line="360" w:lineRule="auto"/>
        <w:ind w:firstLine="1044" w:firstLineChars="20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52"/>
          <w:szCs w:val="52"/>
          <w:highlight w:val="none"/>
        </w:rPr>
        <w:t>技术、商务响应文件</w:t>
      </w:r>
    </w:p>
    <w:p w14:paraId="54839A76">
      <w:pPr>
        <w:kinsoku/>
        <w:overflowPunct/>
        <w:bidi w:val="0"/>
        <w:spacing w:line="360" w:lineRule="auto"/>
        <w:ind w:firstLine="723" w:firstLineChars="200"/>
        <w:rPr>
          <w:rFonts w:hint="eastAsia" w:asciiTheme="minorEastAsia" w:hAnsiTheme="minorEastAsia" w:eastAsiaTheme="minorEastAsia" w:cstheme="minorEastAsia"/>
          <w:b/>
          <w:color w:val="auto"/>
          <w:sz w:val="36"/>
          <w:highlight w:val="none"/>
        </w:rPr>
      </w:pPr>
    </w:p>
    <w:p w14:paraId="3C33219D">
      <w:pPr>
        <w:kinsoku/>
        <w:overflowPunct/>
        <w:bidi w:val="0"/>
        <w:spacing w:line="360" w:lineRule="auto"/>
        <w:ind w:firstLine="723" w:firstLineChars="200"/>
        <w:rPr>
          <w:rFonts w:hint="eastAsia" w:asciiTheme="minorEastAsia" w:hAnsiTheme="minorEastAsia" w:eastAsiaTheme="minorEastAsia" w:cstheme="minorEastAsia"/>
          <w:b/>
          <w:color w:val="auto"/>
          <w:sz w:val="36"/>
          <w:highlight w:val="none"/>
        </w:rPr>
      </w:pPr>
    </w:p>
    <w:p w14:paraId="65E6D3B4">
      <w:pPr>
        <w:kinsoku/>
        <w:overflowPunct/>
        <w:bidi w:val="0"/>
        <w:spacing w:line="360" w:lineRule="auto"/>
        <w:ind w:firstLine="643" w:firstLineChars="200"/>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供应商名称：</w:t>
      </w:r>
      <w:r>
        <w:rPr>
          <w:rFonts w:hint="eastAsia" w:asciiTheme="minorEastAsia" w:hAnsiTheme="minorEastAsia" w:eastAsiaTheme="minorEastAsia" w:cstheme="minorEastAsia"/>
          <w:b/>
          <w:color w:val="auto"/>
          <w:sz w:val="32"/>
          <w:highlight w:val="none"/>
          <w:u w:val="single"/>
        </w:rPr>
        <w:t xml:space="preserve">                                 </w:t>
      </w:r>
    </w:p>
    <w:p w14:paraId="41C9E797">
      <w:pPr>
        <w:kinsoku/>
        <w:overflowPunct/>
        <w:bidi w:val="0"/>
        <w:spacing w:line="360" w:lineRule="auto"/>
        <w:ind w:firstLine="643" w:firstLineChars="200"/>
        <w:jc w:val="left"/>
        <w:rPr>
          <w:rFonts w:hint="eastAsia" w:asciiTheme="minorEastAsia" w:hAnsiTheme="minorEastAsia" w:eastAsiaTheme="minorEastAsia" w:cstheme="minorEastAsia"/>
          <w:b/>
          <w:color w:val="auto"/>
          <w:sz w:val="32"/>
          <w:highlight w:val="none"/>
          <w:u w:val="single"/>
        </w:rPr>
      </w:pPr>
      <w:r>
        <w:rPr>
          <w:rFonts w:hint="eastAsia" w:asciiTheme="minorEastAsia" w:hAnsiTheme="minorEastAsia" w:eastAsiaTheme="minorEastAsia" w:cstheme="minorEastAsia"/>
          <w:b/>
          <w:color w:val="auto"/>
          <w:sz w:val="32"/>
          <w:highlight w:val="none"/>
        </w:rPr>
        <w:t>采购项目编号：</w:t>
      </w:r>
      <w:r>
        <w:rPr>
          <w:rFonts w:hint="eastAsia" w:asciiTheme="minorEastAsia" w:hAnsiTheme="minorEastAsia" w:eastAsiaTheme="minorEastAsia" w:cstheme="minorEastAsia"/>
          <w:b/>
          <w:color w:val="auto"/>
          <w:sz w:val="32"/>
          <w:highlight w:val="none"/>
          <w:u w:val="single"/>
        </w:rPr>
        <w:t xml:space="preserve">                                 </w:t>
      </w:r>
    </w:p>
    <w:p w14:paraId="6D654A59">
      <w:pPr>
        <w:kinsoku/>
        <w:overflowPunct/>
        <w:bidi w:val="0"/>
        <w:spacing w:line="360" w:lineRule="auto"/>
        <w:ind w:firstLine="643" w:firstLineChars="200"/>
        <w:jc w:val="center"/>
        <w:rPr>
          <w:rFonts w:hint="eastAsia" w:asciiTheme="minorEastAsia" w:hAnsiTheme="minorEastAsia" w:eastAsiaTheme="minorEastAsia" w:cstheme="minorEastAsia"/>
          <w:b/>
          <w:color w:val="auto"/>
          <w:sz w:val="32"/>
          <w:highlight w:val="none"/>
        </w:rPr>
      </w:pPr>
    </w:p>
    <w:p w14:paraId="067D418F">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highlight w:val="none"/>
          <w:lang w:val="en-US" w:eastAsia="zh-CN"/>
        </w:rPr>
        <w:t>磋商</w:t>
      </w:r>
      <w:r>
        <w:rPr>
          <w:rFonts w:hint="eastAsia" w:asciiTheme="minorEastAsia" w:hAnsiTheme="minorEastAsia" w:eastAsiaTheme="minorEastAsia" w:cstheme="minorEastAsia"/>
          <w:b/>
          <w:color w:val="auto"/>
          <w:sz w:val="32"/>
          <w:highlight w:val="none"/>
        </w:rPr>
        <w:t>时间：202</w:t>
      </w:r>
      <w:r>
        <w:rPr>
          <w:rFonts w:hint="eastAsia" w:asciiTheme="minorEastAsia" w:hAnsiTheme="minorEastAsia" w:eastAsiaTheme="minorEastAsia" w:cstheme="minorEastAsia"/>
          <w:b/>
          <w:color w:val="auto"/>
          <w:sz w:val="32"/>
          <w:highlight w:val="none"/>
          <w:lang w:val="en-US" w:eastAsia="zh-CN"/>
        </w:rPr>
        <w:t>5</w:t>
      </w:r>
      <w:r>
        <w:rPr>
          <w:rFonts w:hint="eastAsia" w:asciiTheme="minorEastAsia" w:hAnsiTheme="minorEastAsia" w:eastAsiaTheme="minorEastAsia" w:cstheme="minorEastAsia"/>
          <w:b/>
          <w:color w:val="auto"/>
          <w:sz w:val="32"/>
          <w:highlight w:val="none"/>
        </w:rPr>
        <w:t>年</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月</w:t>
      </w:r>
      <w:r>
        <w:rPr>
          <w:rFonts w:hint="eastAsia" w:asciiTheme="minorEastAsia" w:hAnsiTheme="minorEastAsia" w:eastAsiaTheme="minorEastAsia" w:cstheme="minorEastAsia"/>
          <w:b/>
          <w:color w:val="auto"/>
          <w:sz w:val="32"/>
          <w:highlight w:val="none"/>
          <w:u w:val="single"/>
        </w:rPr>
        <w:t xml:space="preserve">   </w:t>
      </w:r>
      <w:r>
        <w:rPr>
          <w:rFonts w:hint="eastAsia" w:asciiTheme="minorEastAsia" w:hAnsiTheme="minorEastAsia" w:eastAsiaTheme="minorEastAsia" w:cstheme="minorEastAsia"/>
          <w:b/>
          <w:color w:val="auto"/>
          <w:sz w:val="32"/>
          <w:highlight w:val="none"/>
        </w:rPr>
        <w:t>日</w:t>
      </w:r>
    </w:p>
    <w:p w14:paraId="329073A8">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p>
    <w:p w14:paraId="4160D709">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DBD99BE">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Theme="minorEastAsia" w:hAnsiTheme="minorEastAsia" w:eastAsiaTheme="minorEastAsia" w:cstheme="minorEastAsia"/>
          <w:b/>
          <w:bCs/>
          <w:color w:val="auto"/>
          <w:sz w:val="32"/>
          <w:szCs w:val="40"/>
          <w:highlight w:val="none"/>
        </w:rPr>
      </w:pPr>
      <w:r>
        <w:rPr>
          <w:rFonts w:hint="eastAsia" w:asciiTheme="minorEastAsia" w:hAnsiTheme="minorEastAsia" w:eastAsiaTheme="minorEastAsia" w:cstheme="minorEastAsia"/>
          <w:b/>
          <w:bCs/>
          <w:color w:val="auto"/>
          <w:sz w:val="32"/>
          <w:szCs w:val="40"/>
          <w:highlight w:val="none"/>
          <w:lang w:val="en-US" w:eastAsia="zh-CN"/>
        </w:rPr>
        <w:t>一、磋商</w:t>
      </w:r>
      <w:r>
        <w:rPr>
          <w:rFonts w:hint="eastAsia" w:asciiTheme="minorEastAsia" w:hAnsiTheme="minorEastAsia" w:eastAsiaTheme="minorEastAsia" w:cstheme="minorEastAsia"/>
          <w:b/>
          <w:bCs/>
          <w:color w:val="auto"/>
          <w:sz w:val="32"/>
          <w:szCs w:val="40"/>
          <w:highlight w:val="none"/>
        </w:rPr>
        <w:t>函</w:t>
      </w:r>
    </w:p>
    <w:p w14:paraId="2E3373FD">
      <w:pPr>
        <w:widowControl/>
        <w:kinsoku/>
        <w:overflowPunct/>
        <w:bidi w:val="0"/>
        <w:spacing w:line="460" w:lineRule="exact"/>
        <w:ind w:firstLine="560" w:firstLineChars="200"/>
        <w:jc w:val="left"/>
        <w:rPr>
          <w:rFonts w:hint="eastAsia" w:asciiTheme="minorEastAsia" w:hAnsiTheme="minorEastAsia" w:eastAsiaTheme="minorEastAsia" w:cstheme="minorEastAsia"/>
          <w:color w:val="auto"/>
          <w:sz w:val="28"/>
          <w:szCs w:val="28"/>
          <w:highlight w:val="none"/>
        </w:rPr>
      </w:pPr>
    </w:p>
    <w:p w14:paraId="3A6628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代理机构</w:t>
      </w:r>
      <w:r>
        <w:rPr>
          <w:rFonts w:hint="eastAsia" w:asciiTheme="minorEastAsia" w:hAnsiTheme="minorEastAsia" w:eastAsiaTheme="minorEastAsia" w:cstheme="minorEastAsia"/>
          <w:color w:val="auto"/>
          <w:sz w:val="24"/>
          <w:szCs w:val="24"/>
          <w:highlight w:val="none"/>
        </w:rPr>
        <w:t>名称）：</w:t>
      </w:r>
    </w:p>
    <w:p w14:paraId="18F55CAB">
      <w:pPr>
        <w:pStyle w:val="45"/>
        <w:keepNext w:val="0"/>
        <w:keepLines w:val="0"/>
        <w:pageBreakBefore w:val="0"/>
        <w:numPr>
          <w:ilvl w:val="0"/>
          <w:numId w:val="0"/>
        </w:numPr>
        <w:tabs>
          <w:tab w:val="left" w:pos="227"/>
        </w:tabs>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sz w:val="24"/>
          <w:highlight w:val="none"/>
        </w:rPr>
      </w:pPr>
      <w:r>
        <w:rPr>
          <w:rFonts w:hint="default" w:ascii="宋体" w:hAnsi="宋体" w:eastAsia="宋体" w:cs="宋体"/>
          <w:color w:val="auto"/>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我方全面研究了“</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”项目（磋商编号：      ）磋商文件，决定参加贵单位组织的本项目</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。我方授权</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（姓名、职务）代表我方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的名称）全权处理本项目</w:t>
      </w:r>
      <w:r>
        <w:rPr>
          <w:rFonts w:hint="eastAsia" w:asciiTheme="minorEastAsia" w:hAnsiTheme="minorEastAsia" w:eastAsiaTheme="minorEastAsia" w:cstheme="minorEastAsia"/>
          <w:color w:val="auto"/>
          <w:sz w:val="24"/>
          <w:szCs w:val="24"/>
          <w:highlight w:val="none"/>
          <w:lang w:val="en-US" w:eastAsia="zh-CN"/>
        </w:rPr>
        <w:t>磋商</w:t>
      </w:r>
      <w:r>
        <w:rPr>
          <w:rFonts w:hint="eastAsia" w:asciiTheme="minorEastAsia" w:hAnsiTheme="minorEastAsia" w:eastAsiaTheme="minorEastAsia" w:cstheme="minorEastAsia"/>
          <w:color w:val="auto"/>
          <w:sz w:val="24"/>
          <w:szCs w:val="24"/>
          <w:highlight w:val="none"/>
        </w:rPr>
        <w:t>的有关事宜</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color w:val="auto"/>
          <w:sz w:val="24"/>
          <w:szCs w:val="24"/>
          <w:highlight w:val="none"/>
        </w:rPr>
        <w:t>（大写：XXXX）</w:t>
      </w:r>
      <w:r>
        <w:rPr>
          <w:rFonts w:hint="eastAsia" w:asciiTheme="minorEastAsia" w:hAnsiTheme="minorEastAsia" w:eastAsiaTheme="minorEastAsia" w:cstheme="minorEastAsia"/>
          <w:color w:val="auto"/>
          <w:sz w:val="24"/>
          <w:szCs w:val="24"/>
          <w:highlight w:val="none"/>
          <w:lang w:eastAsia="zh-CN"/>
        </w:rPr>
        <w:t>，</w:t>
      </w:r>
      <w:r>
        <w:rPr>
          <w:rFonts w:hint="eastAsia" w:ascii="宋体" w:hAnsi="宋体" w:cs="宋体"/>
          <w:color w:val="auto"/>
          <w:sz w:val="24"/>
          <w:highlight w:val="none"/>
        </w:rPr>
        <w:t>按合同约定</w:t>
      </w:r>
      <w:r>
        <w:rPr>
          <w:rFonts w:hint="eastAsia" w:ascii="宋体" w:hAnsi="宋体" w:cs="宋体"/>
          <w:color w:val="auto"/>
          <w:sz w:val="24"/>
          <w:highlight w:val="none"/>
          <w:lang w:val="en-US" w:eastAsia="zh-CN"/>
        </w:rPr>
        <w:t>服务内容</w:t>
      </w:r>
      <w:r>
        <w:rPr>
          <w:rFonts w:hint="eastAsia" w:ascii="宋体" w:hAnsi="宋体" w:cs="宋体"/>
          <w:color w:val="auto"/>
          <w:sz w:val="24"/>
          <w:highlight w:val="none"/>
        </w:rPr>
        <w:t>。</w:t>
      </w:r>
    </w:p>
    <w:p w14:paraId="125F58CD">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2．我方承诺在响应文件有效期</w:t>
      </w:r>
      <w:r>
        <w:rPr>
          <w:rFonts w:hint="eastAsia" w:hAnsi="宋体" w:cs="宋体"/>
          <w:color w:val="auto"/>
          <w:sz w:val="24"/>
          <w:highlight w:val="none"/>
          <w:u w:val="single"/>
          <w:lang w:val="en-US" w:eastAsia="zh-CN"/>
        </w:rPr>
        <w:t xml:space="preserve">   90   </w:t>
      </w:r>
      <w:r>
        <w:rPr>
          <w:rFonts w:hint="eastAsia" w:ascii="宋体" w:hAnsi="宋体" w:cs="宋体"/>
          <w:color w:val="auto"/>
          <w:sz w:val="24"/>
          <w:highlight w:val="none"/>
        </w:rPr>
        <w:t>天内不修改、撤销响应文件。</w:t>
      </w:r>
    </w:p>
    <w:p w14:paraId="04EC8EE5">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3．如我方成交：</w:t>
      </w:r>
    </w:p>
    <w:p w14:paraId="3DBF1412">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我方承诺在收到成交通知书后，在规定的期限内与采购人签订合同。</w:t>
      </w:r>
    </w:p>
    <w:p w14:paraId="4BF5C161">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2</w:t>
      </w:r>
      <w:r>
        <w:rPr>
          <w:rFonts w:hint="eastAsia" w:ascii="宋体" w:hAnsi="宋体" w:cs="宋体"/>
          <w:color w:val="auto"/>
          <w:sz w:val="24"/>
          <w:highlight w:val="none"/>
        </w:rPr>
        <w:t>）我方将严格履行政府采购合同规定的责任和义务。</w:t>
      </w:r>
    </w:p>
    <w:p w14:paraId="6A47BD9A">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3</w:t>
      </w:r>
      <w:r>
        <w:rPr>
          <w:rFonts w:hint="eastAsia" w:ascii="宋体" w:hAnsi="宋体" w:cs="宋体"/>
          <w:color w:val="auto"/>
          <w:sz w:val="24"/>
          <w:highlight w:val="none"/>
        </w:rPr>
        <w:t>）我方愿意提供贵单位可能另外要求的，与磋商报价有关的文件资料，并保证我方已提供和将要提供的文件资料是真实、准确的。</w:t>
      </w:r>
    </w:p>
    <w:p w14:paraId="3E0808A8">
      <w:pPr>
        <w:keepNext w:val="0"/>
        <w:keepLines w:val="0"/>
        <w:pageBreakBefore w:val="0"/>
        <w:kinsoku/>
        <w:wordWrap/>
        <w:overflowPunct/>
        <w:topLinePunct w:val="0"/>
        <w:autoSpaceDE/>
        <w:autoSpaceDN/>
        <w:bidi w:val="0"/>
        <w:adjustRightInd/>
        <w:snapToGrid/>
        <w:spacing w:line="360" w:lineRule="auto"/>
        <w:ind w:left="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4</w:t>
      </w:r>
      <w:r>
        <w:rPr>
          <w:rFonts w:hint="eastAsia" w:ascii="宋体" w:hAnsi="宋体" w:cs="宋体"/>
          <w:color w:val="auto"/>
          <w:sz w:val="24"/>
          <w:highlight w:val="none"/>
        </w:rPr>
        <w:t>）我方自愿按照磋商文件规定的各项要求完成</w:t>
      </w:r>
      <w:r>
        <w:rPr>
          <w:rFonts w:hint="eastAsia" w:hAnsi="宋体" w:cs="宋体"/>
          <w:color w:val="auto"/>
          <w:sz w:val="24"/>
          <w:highlight w:val="none"/>
          <w:lang w:val="en-US" w:eastAsia="zh-CN"/>
        </w:rPr>
        <w:t>服务内容</w:t>
      </w:r>
      <w:r>
        <w:rPr>
          <w:rFonts w:hint="eastAsia" w:ascii="宋体" w:hAnsi="宋体" w:cs="宋体"/>
          <w:color w:val="auto"/>
          <w:sz w:val="24"/>
          <w:highlight w:val="none"/>
        </w:rPr>
        <w:t>项目，最后报价以《最后报价表》为准，接受采购人按照采购合同约定金额支付采购资金。</w:t>
      </w:r>
    </w:p>
    <w:p w14:paraId="27C0E56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4"/>
          <w:highlight w:val="none"/>
        </w:rPr>
        <w:t>（</w:t>
      </w:r>
      <w:r>
        <w:rPr>
          <w:rFonts w:hint="eastAsia"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（其他补充说明）。</w:t>
      </w:r>
    </w:p>
    <w:p w14:paraId="629634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p>
    <w:p w14:paraId="53ECC34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名称：XXXX（单位公章）</w:t>
      </w:r>
    </w:p>
    <w:p w14:paraId="2F3D6252">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法定代表人/单位负责人或授权代表（签字或加盖个人名章）：XXXX</w:t>
      </w:r>
    </w:p>
    <w:p w14:paraId="28EBD51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通讯地址：XXXX</w:t>
      </w:r>
    </w:p>
    <w:p w14:paraId="2CCF608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邮政编码：XXXX</w:t>
      </w:r>
    </w:p>
    <w:p w14:paraId="0075C39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联系电话：XXXX</w:t>
      </w:r>
    </w:p>
    <w:p w14:paraId="0EF6690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4"/>
          <w:szCs w:val="24"/>
          <w:highlight w:val="none"/>
        </w:rPr>
        <w:t>传    真：XXXX</w:t>
      </w:r>
    </w:p>
    <w:p w14:paraId="5EE4430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期：XXXX年XXXX月XXXX日</w:t>
      </w:r>
    </w:p>
    <w:p w14:paraId="4EFFE87E">
      <w:pPr>
        <w:kinsoku/>
        <w:overflowPunct/>
        <w:bidi w:val="0"/>
        <w:ind w:firstLine="643" w:firstLineChars="200"/>
        <w:rPr>
          <w:rFonts w:hint="eastAsia" w:asciiTheme="minorEastAsia" w:hAnsiTheme="minorEastAsia" w:eastAsiaTheme="minorEastAsia" w:cstheme="minorEastAsia"/>
          <w:b/>
          <w:bCs/>
          <w:color w:val="auto"/>
          <w:sz w:val="32"/>
          <w:szCs w:val="32"/>
          <w:highlight w:val="none"/>
          <w:lang w:val="en-US" w:eastAsia="zh-CN"/>
        </w:rPr>
      </w:pPr>
      <w:r>
        <w:rPr>
          <w:rFonts w:hint="eastAsia" w:asciiTheme="minorEastAsia" w:hAnsiTheme="minorEastAsia" w:eastAsiaTheme="minorEastAsia" w:cstheme="minorEastAsia"/>
          <w:b/>
          <w:bCs/>
          <w:color w:val="auto"/>
          <w:sz w:val="32"/>
          <w:szCs w:val="32"/>
          <w:highlight w:val="none"/>
          <w:lang w:val="en-US" w:eastAsia="zh-CN"/>
        </w:rPr>
        <w:br w:type="page"/>
      </w:r>
    </w:p>
    <w:p w14:paraId="15320BF8">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lang w:val="en-US" w:eastAsia="zh-CN"/>
        </w:rPr>
        <w:t>二</w:t>
      </w:r>
      <w:r>
        <w:rPr>
          <w:rFonts w:hint="eastAsia" w:asciiTheme="minorEastAsia" w:hAnsiTheme="minorEastAsia" w:eastAsiaTheme="minorEastAsia" w:cstheme="minorEastAsia"/>
          <w:b/>
          <w:bCs/>
          <w:color w:val="auto"/>
          <w:sz w:val="32"/>
          <w:szCs w:val="32"/>
          <w:highlight w:val="none"/>
        </w:rPr>
        <w:t>、供应商基本情况表</w:t>
      </w:r>
    </w:p>
    <w:p w14:paraId="311F3CC2">
      <w:pPr>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p>
    <w:tbl>
      <w:tblPr>
        <w:tblStyle w:val="24"/>
        <w:tblW w:w="10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080"/>
        <w:gridCol w:w="180"/>
        <w:gridCol w:w="1260"/>
        <w:gridCol w:w="1260"/>
        <w:gridCol w:w="420"/>
        <w:gridCol w:w="480"/>
        <w:gridCol w:w="360"/>
        <w:gridCol w:w="840"/>
        <w:gridCol w:w="60"/>
        <w:gridCol w:w="360"/>
        <w:gridCol w:w="1524"/>
      </w:tblGrid>
      <w:tr w14:paraId="21357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34" w:type="dxa"/>
            <w:vAlign w:val="center"/>
          </w:tcPr>
          <w:p w14:paraId="07010C3B">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供应商名称</w:t>
            </w:r>
          </w:p>
        </w:tc>
        <w:tc>
          <w:tcPr>
            <w:tcW w:w="7824" w:type="dxa"/>
            <w:gridSpan w:val="11"/>
            <w:vAlign w:val="center"/>
          </w:tcPr>
          <w:p w14:paraId="77293669">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21F69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234" w:type="dxa"/>
            <w:vAlign w:val="center"/>
          </w:tcPr>
          <w:p w14:paraId="316FC02C">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注册地址</w:t>
            </w:r>
          </w:p>
        </w:tc>
        <w:tc>
          <w:tcPr>
            <w:tcW w:w="4680" w:type="dxa"/>
            <w:gridSpan w:val="6"/>
            <w:vAlign w:val="center"/>
          </w:tcPr>
          <w:p w14:paraId="48F2C40C">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14:paraId="4259F8D5">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邮政编码</w:t>
            </w:r>
          </w:p>
        </w:tc>
        <w:tc>
          <w:tcPr>
            <w:tcW w:w="1884" w:type="dxa"/>
            <w:gridSpan w:val="2"/>
            <w:vAlign w:val="center"/>
          </w:tcPr>
          <w:p w14:paraId="5F7CC13D">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6190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34" w:type="dxa"/>
            <w:vMerge w:val="restart"/>
            <w:vAlign w:val="center"/>
          </w:tcPr>
          <w:p w14:paraId="3B8D64E3">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联系方式</w:t>
            </w:r>
          </w:p>
        </w:tc>
        <w:tc>
          <w:tcPr>
            <w:tcW w:w="1080" w:type="dxa"/>
            <w:vAlign w:val="center"/>
          </w:tcPr>
          <w:p w14:paraId="386F0CF4">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联系人</w:t>
            </w:r>
          </w:p>
        </w:tc>
        <w:tc>
          <w:tcPr>
            <w:tcW w:w="3600" w:type="dxa"/>
            <w:gridSpan w:val="5"/>
            <w:vAlign w:val="center"/>
          </w:tcPr>
          <w:p w14:paraId="2A23AE5E">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14:paraId="5D6604EB">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p>
        </w:tc>
        <w:tc>
          <w:tcPr>
            <w:tcW w:w="1884" w:type="dxa"/>
            <w:gridSpan w:val="2"/>
            <w:vAlign w:val="center"/>
          </w:tcPr>
          <w:p w14:paraId="79053317">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3FBFA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234" w:type="dxa"/>
            <w:vMerge w:val="continue"/>
            <w:vAlign w:val="center"/>
          </w:tcPr>
          <w:p w14:paraId="2F7D6156">
            <w:pPr>
              <w:kinsoku/>
              <w:overflowPunct/>
              <w:bidi w:val="0"/>
              <w:ind w:firstLine="680" w:firstLineChars="200"/>
              <w:rPr>
                <w:rFonts w:hint="eastAsia" w:asciiTheme="minorEastAsia" w:hAnsiTheme="minorEastAsia" w:eastAsiaTheme="minorEastAsia" w:cstheme="minorEastAsia"/>
                <w:color w:val="auto"/>
                <w:highlight w:val="none"/>
              </w:rPr>
            </w:pPr>
          </w:p>
        </w:tc>
        <w:tc>
          <w:tcPr>
            <w:tcW w:w="1080" w:type="dxa"/>
            <w:vAlign w:val="center"/>
          </w:tcPr>
          <w:p w14:paraId="1C624636">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传真</w:t>
            </w:r>
          </w:p>
        </w:tc>
        <w:tc>
          <w:tcPr>
            <w:tcW w:w="3600" w:type="dxa"/>
            <w:gridSpan w:val="5"/>
            <w:vAlign w:val="center"/>
          </w:tcPr>
          <w:p w14:paraId="60420F89">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14:paraId="6DD095D2">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网址</w:t>
            </w:r>
          </w:p>
        </w:tc>
        <w:tc>
          <w:tcPr>
            <w:tcW w:w="1884" w:type="dxa"/>
            <w:gridSpan w:val="2"/>
            <w:vAlign w:val="center"/>
          </w:tcPr>
          <w:p w14:paraId="3E6A1908">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72D5C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34" w:type="dxa"/>
            <w:vAlign w:val="center"/>
          </w:tcPr>
          <w:p w14:paraId="3B09E276">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组织结构</w:t>
            </w:r>
          </w:p>
        </w:tc>
        <w:tc>
          <w:tcPr>
            <w:tcW w:w="7824" w:type="dxa"/>
            <w:gridSpan w:val="11"/>
            <w:vAlign w:val="center"/>
          </w:tcPr>
          <w:p w14:paraId="7001DF28">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55E7F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2234" w:type="dxa"/>
            <w:vAlign w:val="center"/>
          </w:tcPr>
          <w:p w14:paraId="55F9B309">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w:t>
            </w:r>
            <w:r>
              <w:rPr>
                <w:rFonts w:hint="eastAsia" w:asciiTheme="minorEastAsia" w:hAnsiTheme="minorEastAsia" w:eastAsiaTheme="minorEastAsia" w:cstheme="minorEastAsia"/>
                <w:color w:val="auto"/>
                <w:sz w:val="24"/>
                <w:szCs w:val="24"/>
                <w:highlight w:val="none"/>
                <w:lang w:val="en-US" w:eastAsia="zh-CN"/>
              </w:rPr>
              <w:t>/单位负责人</w:t>
            </w:r>
          </w:p>
        </w:tc>
        <w:tc>
          <w:tcPr>
            <w:tcW w:w="1260" w:type="dxa"/>
            <w:gridSpan w:val="2"/>
            <w:vAlign w:val="center"/>
          </w:tcPr>
          <w:p w14:paraId="6B58B9A3">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姓名</w:t>
            </w:r>
          </w:p>
        </w:tc>
        <w:tc>
          <w:tcPr>
            <w:tcW w:w="1260" w:type="dxa"/>
            <w:vAlign w:val="center"/>
          </w:tcPr>
          <w:p w14:paraId="430DE8CD">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260" w:type="dxa"/>
            <w:vAlign w:val="center"/>
          </w:tcPr>
          <w:p w14:paraId="7CFC9391">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技术职称</w:t>
            </w:r>
          </w:p>
        </w:tc>
        <w:tc>
          <w:tcPr>
            <w:tcW w:w="1260" w:type="dxa"/>
            <w:gridSpan w:val="3"/>
            <w:vAlign w:val="center"/>
          </w:tcPr>
          <w:p w14:paraId="2D67254C">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14:paraId="78E9301A">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p>
        </w:tc>
        <w:tc>
          <w:tcPr>
            <w:tcW w:w="1524" w:type="dxa"/>
            <w:vAlign w:val="center"/>
          </w:tcPr>
          <w:p w14:paraId="334AAE5C">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28E5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234" w:type="dxa"/>
            <w:vAlign w:val="center"/>
          </w:tcPr>
          <w:p w14:paraId="095F7707">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技术负责人</w:t>
            </w:r>
          </w:p>
        </w:tc>
        <w:tc>
          <w:tcPr>
            <w:tcW w:w="1260" w:type="dxa"/>
            <w:gridSpan w:val="2"/>
            <w:vAlign w:val="center"/>
          </w:tcPr>
          <w:p w14:paraId="4BC9FAAE">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姓名</w:t>
            </w:r>
          </w:p>
        </w:tc>
        <w:tc>
          <w:tcPr>
            <w:tcW w:w="1260" w:type="dxa"/>
            <w:vAlign w:val="center"/>
          </w:tcPr>
          <w:p w14:paraId="073CCF2F">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260" w:type="dxa"/>
            <w:vAlign w:val="center"/>
          </w:tcPr>
          <w:p w14:paraId="34EB37EC">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技术职称</w:t>
            </w:r>
          </w:p>
        </w:tc>
        <w:tc>
          <w:tcPr>
            <w:tcW w:w="1260" w:type="dxa"/>
            <w:gridSpan w:val="3"/>
            <w:vAlign w:val="center"/>
          </w:tcPr>
          <w:p w14:paraId="45D4FCA1">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260" w:type="dxa"/>
            <w:gridSpan w:val="3"/>
            <w:vAlign w:val="center"/>
          </w:tcPr>
          <w:p w14:paraId="5479FFE3">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联系电话</w:t>
            </w:r>
          </w:p>
        </w:tc>
        <w:tc>
          <w:tcPr>
            <w:tcW w:w="1524" w:type="dxa"/>
            <w:vAlign w:val="center"/>
          </w:tcPr>
          <w:p w14:paraId="636A22CC">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73B07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234" w:type="dxa"/>
            <w:vAlign w:val="center"/>
          </w:tcPr>
          <w:p w14:paraId="517FC0E8">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成立时间</w:t>
            </w:r>
          </w:p>
        </w:tc>
        <w:tc>
          <w:tcPr>
            <w:tcW w:w="2520" w:type="dxa"/>
            <w:gridSpan w:val="3"/>
            <w:vAlign w:val="center"/>
          </w:tcPr>
          <w:p w14:paraId="360B8728">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5304" w:type="dxa"/>
            <w:gridSpan w:val="8"/>
            <w:vAlign w:val="center"/>
          </w:tcPr>
          <w:p w14:paraId="6E949031">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员工总人数：</w:t>
            </w:r>
          </w:p>
        </w:tc>
      </w:tr>
      <w:tr w14:paraId="6E197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2234" w:type="dxa"/>
            <w:vAlign w:val="center"/>
          </w:tcPr>
          <w:p w14:paraId="407EC6CD">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企业资质等级</w:t>
            </w:r>
          </w:p>
        </w:tc>
        <w:tc>
          <w:tcPr>
            <w:tcW w:w="2520" w:type="dxa"/>
            <w:gridSpan w:val="3"/>
            <w:vAlign w:val="center"/>
          </w:tcPr>
          <w:p w14:paraId="4C4CA7F0">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restart"/>
            <w:vAlign w:val="center"/>
          </w:tcPr>
          <w:p w14:paraId="68090868">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其中</w:t>
            </w:r>
          </w:p>
        </w:tc>
        <w:tc>
          <w:tcPr>
            <w:tcW w:w="1680" w:type="dxa"/>
            <w:gridSpan w:val="3"/>
            <w:vAlign w:val="center"/>
          </w:tcPr>
          <w:p w14:paraId="312691C8">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项目经理</w:t>
            </w:r>
          </w:p>
        </w:tc>
        <w:tc>
          <w:tcPr>
            <w:tcW w:w="1944" w:type="dxa"/>
            <w:gridSpan w:val="3"/>
            <w:vAlign w:val="center"/>
          </w:tcPr>
          <w:p w14:paraId="4D4A72E3">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198A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234" w:type="dxa"/>
            <w:vAlign w:val="center"/>
          </w:tcPr>
          <w:p w14:paraId="0496360F">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营业执照</w:t>
            </w:r>
            <w:r>
              <w:rPr>
                <w:rFonts w:hint="eastAsia" w:asciiTheme="minorEastAsia" w:hAnsiTheme="minorEastAsia" w:eastAsiaTheme="minorEastAsia" w:cstheme="minorEastAsia"/>
                <w:color w:val="auto"/>
                <w:sz w:val="24"/>
                <w:szCs w:val="24"/>
                <w:highlight w:val="none"/>
              </w:rPr>
              <w:t>号</w:t>
            </w:r>
          </w:p>
        </w:tc>
        <w:tc>
          <w:tcPr>
            <w:tcW w:w="2520" w:type="dxa"/>
            <w:gridSpan w:val="3"/>
            <w:vAlign w:val="center"/>
          </w:tcPr>
          <w:p w14:paraId="63A071F9">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14:paraId="1BD13CBC">
            <w:pPr>
              <w:kinsoku/>
              <w:overflowPunct/>
              <w:bidi w:val="0"/>
              <w:ind w:firstLine="680" w:firstLineChars="200"/>
              <w:rPr>
                <w:rFonts w:hint="eastAsia" w:asciiTheme="minorEastAsia" w:hAnsiTheme="minorEastAsia" w:eastAsiaTheme="minorEastAsia" w:cstheme="minorEastAsia"/>
                <w:color w:val="auto"/>
                <w:highlight w:val="none"/>
              </w:rPr>
            </w:pPr>
          </w:p>
        </w:tc>
        <w:tc>
          <w:tcPr>
            <w:tcW w:w="1680" w:type="dxa"/>
            <w:gridSpan w:val="3"/>
            <w:vAlign w:val="center"/>
          </w:tcPr>
          <w:p w14:paraId="09CFDD20">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高级职称人员</w:t>
            </w:r>
          </w:p>
        </w:tc>
        <w:tc>
          <w:tcPr>
            <w:tcW w:w="1944" w:type="dxa"/>
            <w:gridSpan w:val="3"/>
            <w:vAlign w:val="center"/>
          </w:tcPr>
          <w:p w14:paraId="220AE067">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0450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234" w:type="dxa"/>
            <w:vAlign w:val="center"/>
          </w:tcPr>
          <w:p w14:paraId="67EC979F">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注册资金</w:t>
            </w:r>
          </w:p>
        </w:tc>
        <w:tc>
          <w:tcPr>
            <w:tcW w:w="2520" w:type="dxa"/>
            <w:gridSpan w:val="3"/>
            <w:vAlign w:val="center"/>
          </w:tcPr>
          <w:p w14:paraId="0CA7623E">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14:paraId="6FB294D7">
            <w:pPr>
              <w:kinsoku/>
              <w:overflowPunct/>
              <w:bidi w:val="0"/>
              <w:ind w:firstLine="680" w:firstLineChars="200"/>
              <w:rPr>
                <w:rFonts w:hint="eastAsia" w:asciiTheme="minorEastAsia" w:hAnsiTheme="minorEastAsia" w:eastAsiaTheme="minorEastAsia" w:cstheme="minorEastAsia"/>
                <w:color w:val="auto"/>
                <w:highlight w:val="none"/>
              </w:rPr>
            </w:pPr>
          </w:p>
        </w:tc>
        <w:tc>
          <w:tcPr>
            <w:tcW w:w="1680" w:type="dxa"/>
            <w:gridSpan w:val="3"/>
            <w:vAlign w:val="center"/>
          </w:tcPr>
          <w:p w14:paraId="47C1F44C">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中级职称人员</w:t>
            </w:r>
          </w:p>
        </w:tc>
        <w:tc>
          <w:tcPr>
            <w:tcW w:w="1944" w:type="dxa"/>
            <w:gridSpan w:val="3"/>
            <w:vAlign w:val="center"/>
          </w:tcPr>
          <w:p w14:paraId="5A7DF3E0">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4DD1C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234" w:type="dxa"/>
            <w:vAlign w:val="center"/>
          </w:tcPr>
          <w:p w14:paraId="4C9C9C5B">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开户银行</w:t>
            </w:r>
          </w:p>
        </w:tc>
        <w:tc>
          <w:tcPr>
            <w:tcW w:w="2520" w:type="dxa"/>
            <w:gridSpan w:val="3"/>
            <w:vAlign w:val="center"/>
          </w:tcPr>
          <w:p w14:paraId="7F0F4B39">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14:paraId="33B65A19">
            <w:pPr>
              <w:kinsoku/>
              <w:overflowPunct/>
              <w:bidi w:val="0"/>
              <w:ind w:firstLine="680" w:firstLineChars="200"/>
              <w:rPr>
                <w:rFonts w:hint="eastAsia" w:asciiTheme="minorEastAsia" w:hAnsiTheme="minorEastAsia" w:eastAsiaTheme="minorEastAsia" w:cstheme="minorEastAsia"/>
                <w:color w:val="auto"/>
                <w:highlight w:val="none"/>
              </w:rPr>
            </w:pPr>
          </w:p>
        </w:tc>
        <w:tc>
          <w:tcPr>
            <w:tcW w:w="1680" w:type="dxa"/>
            <w:gridSpan w:val="3"/>
            <w:vAlign w:val="center"/>
          </w:tcPr>
          <w:p w14:paraId="36FABC52">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初级职称人员</w:t>
            </w:r>
          </w:p>
        </w:tc>
        <w:tc>
          <w:tcPr>
            <w:tcW w:w="1944" w:type="dxa"/>
            <w:gridSpan w:val="3"/>
            <w:vAlign w:val="center"/>
          </w:tcPr>
          <w:p w14:paraId="016D668F">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0F14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234" w:type="dxa"/>
            <w:vAlign w:val="center"/>
          </w:tcPr>
          <w:p w14:paraId="520458F2">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账号</w:t>
            </w:r>
          </w:p>
        </w:tc>
        <w:tc>
          <w:tcPr>
            <w:tcW w:w="2520" w:type="dxa"/>
            <w:gridSpan w:val="3"/>
            <w:vAlign w:val="center"/>
          </w:tcPr>
          <w:p w14:paraId="17A494AF">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c>
          <w:tcPr>
            <w:tcW w:w="1680" w:type="dxa"/>
            <w:gridSpan w:val="2"/>
            <w:vMerge w:val="continue"/>
            <w:vAlign w:val="center"/>
          </w:tcPr>
          <w:p w14:paraId="375C8511">
            <w:pPr>
              <w:kinsoku/>
              <w:overflowPunct/>
              <w:bidi w:val="0"/>
              <w:ind w:firstLine="680" w:firstLineChars="200"/>
              <w:rPr>
                <w:rFonts w:hint="eastAsia" w:asciiTheme="minorEastAsia" w:hAnsiTheme="minorEastAsia" w:eastAsiaTheme="minorEastAsia" w:cstheme="minorEastAsia"/>
                <w:color w:val="auto"/>
                <w:highlight w:val="none"/>
              </w:rPr>
            </w:pPr>
          </w:p>
        </w:tc>
        <w:tc>
          <w:tcPr>
            <w:tcW w:w="1680" w:type="dxa"/>
            <w:gridSpan w:val="3"/>
            <w:vAlign w:val="center"/>
          </w:tcPr>
          <w:p w14:paraId="18037F56">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技工</w:t>
            </w:r>
          </w:p>
        </w:tc>
        <w:tc>
          <w:tcPr>
            <w:tcW w:w="1944" w:type="dxa"/>
            <w:gridSpan w:val="3"/>
            <w:vAlign w:val="center"/>
          </w:tcPr>
          <w:p w14:paraId="5363C72B">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10CF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234" w:type="dxa"/>
            <w:vAlign w:val="center"/>
          </w:tcPr>
          <w:p w14:paraId="549E3911">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经营范围</w:t>
            </w:r>
          </w:p>
        </w:tc>
        <w:tc>
          <w:tcPr>
            <w:tcW w:w="7824" w:type="dxa"/>
            <w:gridSpan w:val="11"/>
            <w:vAlign w:val="center"/>
          </w:tcPr>
          <w:p w14:paraId="21E47B58">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r w14:paraId="47A96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2234" w:type="dxa"/>
            <w:vAlign w:val="center"/>
          </w:tcPr>
          <w:p w14:paraId="4083F9B0">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备注</w:t>
            </w:r>
          </w:p>
        </w:tc>
        <w:tc>
          <w:tcPr>
            <w:tcW w:w="7824" w:type="dxa"/>
            <w:gridSpan w:val="11"/>
            <w:vAlign w:val="center"/>
          </w:tcPr>
          <w:p w14:paraId="3DDA3630">
            <w:pPr>
              <w:kinsoku/>
              <w:overflowPunct/>
              <w:bidi w:val="0"/>
              <w:spacing w:line="360" w:lineRule="exact"/>
              <w:ind w:firstLine="480" w:firstLineChars="200"/>
              <w:jc w:val="center"/>
              <w:rPr>
                <w:rFonts w:hint="eastAsia" w:asciiTheme="minorEastAsia" w:hAnsiTheme="minorEastAsia" w:eastAsiaTheme="minorEastAsia" w:cstheme="minorEastAsia"/>
                <w:bCs/>
                <w:color w:val="auto"/>
                <w:sz w:val="24"/>
                <w:szCs w:val="24"/>
                <w:highlight w:val="none"/>
              </w:rPr>
            </w:pPr>
          </w:p>
        </w:tc>
      </w:tr>
    </w:tbl>
    <w:p w14:paraId="1FB9D1AD">
      <w:pPr>
        <w:kinsoku/>
        <w:overflowPunct/>
        <w:bidi w:val="0"/>
        <w:adjustRightInd w:val="0"/>
        <w:spacing w:line="400" w:lineRule="exact"/>
        <w:ind w:firstLine="480" w:firstLineChars="200"/>
        <w:jc w:val="left"/>
        <w:rPr>
          <w:rFonts w:hint="eastAsia" w:asciiTheme="minorEastAsia" w:hAnsiTheme="minorEastAsia" w:eastAsiaTheme="minorEastAsia" w:cstheme="minorEastAsia"/>
          <w:color w:val="auto"/>
          <w:sz w:val="24"/>
          <w:highlight w:val="none"/>
        </w:rPr>
      </w:pPr>
    </w:p>
    <w:p w14:paraId="24FC9FDE">
      <w:pPr>
        <w:kinsoku/>
        <w:overflowPunct/>
        <w:bidi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供应商名称：XXX（盖单位公章）</w:t>
      </w:r>
    </w:p>
    <w:p w14:paraId="76A9A27B">
      <w:pPr>
        <w:kinsoku/>
        <w:overflowPunct/>
        <w:bidi w:val="0"/>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法定代表人/单位负责人或授权代表（签字或盖章）：XXX</w:t>
      </w:r>
    </w:p>
    <w:p w14:paraId="21E7A860">
      <w:pPr>
        <w:kinsoku/>
        <w:overflowPunct/>
        <w:bidi w:val="0"/>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  期：XXX年XXX月XXX日</w:t>
      </w:r>
    </w:p>
    <w:p w14:paraId="449E7855">
      <w:pPr>
        <w:kinsoku/>
        <w:overflowPunct/>
        <w:bidi w:val="0"/>
        <w:ind w:firstLine="480" w:firstLineChars="20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br w:type="page"/>
      </w:r>
    </w:p>
    <w:bookmarkEnd w:id="112"/>
    <w:p w14:paraId="693C1FC5">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Theme="minorEastAsia" w:hAnsiTheme="minorEastAsia" w:eastAsiaTheme="minorEastAsia" w:cstheme="minorEastAsia"/>
          <w:b/>
          <w:bCs/>
          <w:color w:val="auto"/>
          <w:sz w:val="32"/>
          <w:szCs w:val="32"/>
          <w:highlight w:val="none"/>
        </w:rPr>
      </w:pPr>
      <w:bookmarkStart w:id="113" w:name="_Toc11330_WPSOffice_Level1"/>
      <w:r>
        <w:rPr>
          <w:rFonts w:hint="eastAsia" w:asciiTheme="minorEastAsia" w:hAnsiTheme="minorEastAsia" w:eastAsiaTheme="minorEastAsia" w:cstheme="minorEastAsia"/>
          <w:b/>
          <w:bCs/>
          <w:color w:val="auto"/>
          <w:sz w:val="32"/>
          <w:szCs w:val="32"/>
          <w:highlight w:val="none"/>
          <w:lang w:val="en-US" w:eastAsia="zh-CN"/>
        </w:rPr>
        <w:t>三</w:t>
      </w:r>
      <w:r>
        <w:rPr>
          <w:rFonts w:hint="eastAsia" w:asciiTheme="minorEastAsia" w:hAnsiTheme="minorEastAsia" w:eastAsiaTheme="minorEastAsia" w:cstheme="minorEastAsia"/>
          <w:b/>
          <w:bCs/>
          <w:color w:val="auto"/>
          <w:sz w:val="32"/>
          <w:szCs w:val="32"/>
          <w:highlight w:val="none"/>
        </w:rPr>
        <w:t>、</w:t>
      </w:r>
      <w:r>
        <w:rPr>
          <w:rFonts w:hint="eastAsia" w:asciiTheme="minorEastAsia" w:hAnsiTheme="minorEastAsia" w:eastAsiaTheme="minorEastAsia" w:cstheme="minorEastAsia"/>
          <w:b/>
          <w:bCs/>
          <w:color w:val="auto"/>
          <w:sz w:val="32"/>
          <w:szCs w:val="32"/>
          <w:highlight w:val="none"/>
          <w:lang w:val="en-US" w:eastAsia="zh-CN"/>
        </w:rPr>
        <w:t>技术服务</w:t>
      </w:r>
      <w:r>
        <w:rPr>
          <w:rFonts w:hint="eastAsia" w:asciiTheme="minorEastAsia" w:hAnsiTheme="minorEastAsia" w:eastAsiaTheme="minorEastAsia" w:cstheme="minorEastAsia"/>
          <w:b/>
          <w:bCs/>
          <w:color w:val="auto"/>
          <w:sz w:val="32"/>
          <w:szCs w:val="32"/>
          <w:highlight w:val="none"/>
        </w:rPr>
        <w:t>应答表</w:t>
      </w:r>
      <w:bookmarkEnd w:id="113"/>
    </w:p>
    <w:p w14:paraId="5950A610">
      <w:pPr>
        <w:pStyle w:val="18"/>
        <w:pBdr>
          <w:bottom w:val="none" w:color="auto" w:sz="0" w:space="0"/>
        </w:pBdr>
        <w:tabs>
          <w:tab w:val="clear" w:pos="4153"/>
          <w:tab w:val="clear" w:pos="8306"/>
        </w:tabs>
        <w:kinsoku/>
        <w:overflowPunct/>
        <w:bidi w:val="0"/>
        <w:snapToGrid/>
        <w:ind w:firstLine="560" w:firstLineChars="200"/>
        <w:jc w:val="both"/>
        <w:rPr>
          <w:rFonts w:hint="eastAsia" w:asciiTheme="minorEastAsia" w:hAnsiTheme="minorEastAsia" w:eastAsiaTheme="minorEastAsia" w:cstheme="minorEastAsia"/>
          <w:color w:val="auto"/>
          <w:sz w:val="28"/>
          <w:szCs w:val="28"/>
          <w:highlight w:val="none"/>
        </w:rPr>
      </w:pPr>
    </w:p>
    <w:p w14:paraId="528E86BC">
      <w:pPr>
        <w:pStyle w:val="18"/>
        <w:pBdr>
          <w:bottom w:val="none" w:color="auto" w:sz="0" w:space="0"/>
        </w:pBdr>
        <w:tabs>
          <w:tab w:val="clear" w:pos="4153"/>
          <w:tab w:val="clear" w:pos="8306"/>
        </w:tabs>
        <w:kinsoku/>
        <w:overflowPunct/>
        <w:bidi w:val="0"/>
        <w:snapToGrid/>
        <w:ind w:firstLine="560" w:firstLineChars="200"/>
        <w:jc w:val="both"/>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tbl>
      <w:tblPr>
        <w:tblStyle w:val="24"/>
        <w:tblW w:w="8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569"/>
        <w:gridCol w:w="2955"/>
        <w:gridCol w:w="2022"/>
      </w:tblGrid>
      <w:tr w14:paraId="4EA2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vAlign w:val="center"/>
          </w:tcPr>
          <w:p w14:paraId="1B7477D5">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序号</w:t>
            </w:r>
          </w:p>
        </w:tc>
        <w:tc>
          <w:tcPr>
            <w:tcW w:w="2569" w:type="dxa"/>
            <w:vAlign w:val="center"/>
          </w:tcPr>
          <w:p w14:paraId="3D27DB22">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采购文件要求</w:t>
            </w:r>
          </w:p>
        </w:tc>
        <w:tc>
          <w:tcPr>
            <w:tcW w:w="2955" w:type="dxa"/>
            <w:vAlign w:val="center"/>
          </w:tcPr>
          <w:p w14:paraId="10D94F23">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响应文件响应</w:t>
            </w:r>
          </w:p>
        </w:tc>
        <w:tc>
          <w:tcPr>
            <w:tcW w:w="2022" w:type="dxa"/>
            <w:vAlign w:val="center"/>
          </w:tcPr>
          <w:p w14:paraId="2AFAC01E">
            <w:pPr>
              <w:pStyle w:val="52"/>
              <w:kinsoku/>
              <w:overflowPunct/>
              <w:bidi w:val="0"/>
              <w:spacing w:line="240" w:lineRule="auto"/>
              <w:ind w:firstLine="480" w:firstLineChars="2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szCs w:val="24"/>
                <w:highlight w:val="none"/>
              </w:rPr>
              <w:t>偏离情况</w:t>
            </w:r>
          </w:p>
        </w:tc>
      </w:tr>
      <w:tr w14:paraId="3C22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14:paraId="1B5E149A">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569" w:type="dxa"/>
          </w:tcPr>
          <w:p w14:paraId="3AE4041C">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955" w:type="dxa"/>
          </w:tcPr>
          <w:p w14:paraId="43356FEF">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022" w:type="dxa"/>
            <w:vAlign w:val="center"/>
          </w:tcPr>
          <w:p w14:paraId="27F8F283">
            <w:pPr>
              <w:pStyle w:val="52"/>
              <w:kinsoku/>
              <w:overflowPunct/>
              <w:bidi w:val="0"/>
              <w:spacing w:line="240" w:lineRule="auto"/>
              <w:ind w:left="0" w:leftChars="0" w:right="0" w:rightChars="0" w:firstLine="480" w:firstLineChars="200"/>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0"/>
                <w:highlight w:val="none"/>
                <w:lang w:val="en-US" w:eastAsia="zh-CN" w:bidi="ar-SA"/>
              </w:rPr>
              <w:t>正/负/无偏离</w:t>
            </w:r>
          </w:p>
        </w:tc>
      </w:tr>
      <w:tr w14:paraId="4A82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14:paraId="47BF5525">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569" w:type="dxa"/>
          </w:tcPr>
          <w:p w14:paraId="3138A169">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955" w:type="dxa"/>
          </w:tcPr>
          <w:p w14:paraId="0EBBE685">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022" w:type="dxa"/>
          </w:tcPr>
          <w:p w14:paraId="3D72B59A">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r>
      <w:tr w14:paraId="25E17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14:paraId="099076D6">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569" w:type="dxa"/>
          </w:tcPr>
          <w:p w14:paraId="3F82081A">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955" w:type="dxa"/>
          </w:tcPr>
          <w:p w14:paraId="498E0647">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022" w:type="dxa"/>
          </w:tcPr>
          <w:p w14:paraId="69ABDECA">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r>
      <w:tr w14:paraId="305A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14:paraId="79180011">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569" w:type="dxa"/>
          </w:tcPr>
          <w:p w14:paraId="47DE8720">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955" w:type="dxa"/>
          </w:tcPr>
          <w:p w14:paraId="647D705B">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022" w:type="dxa"/>
          </w:tcPr>
          <w:p w14:paraId="1327D1B7">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r>
      <w:tr w14:paraId="1BB9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14:paraId="7F2BA1AD">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569" w:type="dxa"/>
          </w:tcPr>
          <w:p w14:paraId="6EF5000D">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955" w:type="dxa"/>
          </w:tcPr>
          <w:p w14:paraId="312FF21B">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022" w:type="dxa"/>
          </w:tcPr>
          <w:p w14:paraId="51A32E97">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r>
      <w:tr w14:paraId="60582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14:paraId="55BFAC1D">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569" w:type="dxa"/>
          </w:tcPr>
          <w:p w14:paraId="3E4566F0">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955" w:type="dxa"/>
          </w:tcPr>
          <w:p w14:paraId="5C6C58C3">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022" w:type="dxa"/>
          </w:tcPr>
          <w:p w14:paraId="096252AC">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r>
      <w:tr w14:paraId="371B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0" w:type="dxa"/>
          </w:tcPr>
          <w:p w14:paraId="2A295482">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569" w:type="dxa"/>
          </w:tcPr>
          <w:p w14:paraId="16ADBA2D">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955" w:type="dxa"/>
          </w:tcPr>
          <w:p w14:paraId="6E9498A7">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c>
          <w:tcPr>
            <w:tcW w:w="2022" w:type="dxa"/>
          </w:tcPr>
          <w:p w14:paraId="3FFFB11B">
            <w:pPr>
              <w:widowControl/>
              <w:kinsoku/>
              <w:overflowPunct/>
              <w:bidi w:val="0"/>
              <w:spacing w:line="240" w:lineRule="auto"/>
              <w:ind w:firstLine="480" w:firstLineChars="200"/>
              <w:jc w:val="center"/>
              <w:rPr>
                <w:rFonts w:hint="eastAsia" w:asciiTheme="minorEastAsia" w:hAnsiTheme="minorEastAsia" w:eastAsiaTheme="minorEastAsia" w:cstheme="minorEastAsia"/>
                <w:color w:val="auto"/>
                <w:sz w:val="24"/>
                <w:highlight w:val="none"/>
              </w:rPr>
            </w:pPr>
          </w:p>
        </w:tc>
      </w:tr>
    </w:tbl>
    <w:p w14:paraId="1B0929D4">
      <w:pPr>
        <w:kinsoku/>
        <w:overflowPunct/>
        <w:bidi w:val="0"/>
        <w:ind w:firstLine="562" w:firstLineChars="200"/>
        <w:rPr>
          <w:rFonts w:hint="eastAsia" w:asciiTheme="minorEastAsia" w:hAnsiTheme="minorEastAsia" w:eastAsiaTheme="minorEastAsia" w:cstheme="minorEastAsia"/>
          <w:b/>
          <w:color w:val="auto"/>
          <w:sz w:val="28"/>
          <w:szCs w:val="28"/>
          <w:highlight w:val="none"/>
        </w:rPr>
      </w:pPr>
    </w:p>
    <w:p w14:paraId="19B66BB4">
      <w:pPr>
        <w:kinsoku/>
        <w:overflowPunct/>
        <w:bidi w:val="0"/>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highlight w:val="none"/>
        </w:rPr>
        <w:t>供应商应据实填写，不得虚假响应，虚假响应的，其响应文件无效并按规定追究其相关责任（与磋商文件要求完全一致的条款可不填写）。</w:t>
      </w:r>
    </w:p>
    <w:p w14:paraId="294DF711">
      <w:pPr>
        <w:kinsoku/>
        <w:overflowPunct/>
        <w:bidi w:val="0"/>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未在本表中填写的条款，表明供应商完全理解并响应磋商文件的要求。</w:t>
      </w:r>
    </w:p>
    <w:p w14:paraId="12795E38">
      <w:pPr>
        <w:kinsoku/>
        <w:overflowPunct/>
        <w:bidi w:val="0"/>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6BA93684">
      <w:pPr>
        <w:kinsoku/>
        <w:overflowPunct/>
        <w:bidi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供应商名称：XXX（盖单位公章）</w:t>
      </w:r>
    </w:p>
    <w:p w14:paraId="1C533C07">
      <w:pPr>
        <w:kinsoku/>
        <w:overflowPunct/>
        <w:bidi w:val="0"/>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法定代表人/单位负责人或授权代表（签字或盖章）：XXX</w:t>
      </w:r>
    </w:p>
    <w:p w14:paraId="5D1290A8">
      <w:pPr>
        <w:kinsoku/>
        <w:overflowPunct/>
        <w:bidi w:val="0"/>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  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XXX年XXX月XXX日</w:t>
      </w:r>
    </w:p>
    <w:p w14:paraId="28D816D3">
      <w:pPr>
        <w:kinsoku/>
        <w:overflowPunct/>
        <w:bidi w:val="0"/>
        <w:spacing w:line="400" w:lineRule="exact"/>
        <w:ind w:firstLine="560" w:firstLineChars="200"/>
        <w:rPr>
          <w:rFonts w:hint="eastAsia" w:asciiTheme="minorEastAsia" w:hAnsiTheme="minorEastAsia" w:eastAsiaTheme="minorEastAsia" w:cstheme="minorEastAsia"/>
          <w:color w:val="auto"/>
          <w:sz w:val="28"/>
          <w:szCs w:val="28"/>
          <w:highlight w:val="none"/>
        </w:rPr>
      </w:pPr>
    </w:p>
    <w:p w14:paraId="23049B9E">
      <w:pPr>
        <w:kinsoku/>
        <w:overflowPunct/>
        <w:bidi w:val="0"/>
        <w:spacing w:line="400" w:lineRule="exact"/>
        <w:ind w:firstLine="560" w:firstLineChars="200"/>
        <w:rPr>
          <w:rFonts w:hint="eastAsia" w:asciiTheme="minorEastAsia" w:hAnsiTheme="minorEastAsia" w:eastAsiaTheme="minorEastAsia" w:cstheme="minorEastAsia"/>
          <w:color w:val="auto"/>
          <w:sz w:val="28"/>
          <w:szCs w:val="28"/>
          <w:highlight w:val="none"/>
        </w:rPr>
      </w:pPr>
    </w:p>
    <w:p w14:paraId="274BEB90">
      <w:pPr>
        <w:kinsoku/>
        <w:overflowPunct/>
        <w:bidi w:val="0"/>
        <w:spacing w:line="400" w:lineRule="exact"/>
        <w:ind w:firstLine="680" w:firstLineChars="200"/>
        <w:rPr>
          <w:rFonts w:hint="eastAsia" w:asciiTheme="minorEastAsia" w:hAnsiTheme="minorEastAsia" w:eastAsiaTheme="minorEastAsia" w:cstheme="minorEastAsia"/>
          <w:color w:val="auto"/>
          <w:highlight w:val="none"/>
        </w:rPr>
      </w:pPr>
    </w:p>
    <w:p w14:paraId="785D0842">
      <w:pPr>
        <w:pStyle w:val="15"/>
        <w:tabs>
          <w:tab w:val="left" w:pos="0"/>
        </w:tabs>
        <w:kinsoku/>
        <w:overflowPunct/>
        <w:bidi w:val="0"/>
        <w:spacing w:after="0" w:line="400" w:lineRule="exact"/>
        <w:ind w:firstLine="680" w:firstLineChars="200"/>
        <w:rPr>
          <w:rFonts w:hint="eastAsia" w:asciiTheme="minorEastAsia" w:hAnsiTheme="minorEastAsia" w:eastAsiaTheme="minorEastAsia" w:cstheme="minorEastAsia"/>
          <w:color w:val="auto"/>
          <w:highlight w:val="none"/>
        </w:rPr>
      </w:pPr>
    </w:p>
    <w:p w14:paraId="0C9B2978">
      <w:pPr>
        <w:pStyle w:val="15"/>
        <w:tabs>
          <w:tab w:val="left" w:pos="0"/>
        </w:tabs>
        <w:kinsoku/>
        <w:overflowPunct/>
        <w:bidi w:val="0"/>
        <w:ind w:firstLine="680" w:firstLineChars="200"/>
        <w:rPr>
          <w:rFonts w:hint="eastAsia" w:asciiTheme="minorEastAsia" w:hAnsiTheme="minorEastAsia" w:eastAsiaTheme="minorEastAsia" w:cstheme="minorEastAsia"/>
          <w:color w:val="auto"/>
          <w:highlight w:val="none"/>
        </w:rPr>
      </w:pPr>
    </w:p>
    <w:p w14:paraId="57CE5ABA">
      <w:pPr>
        <w:pStyle w:val="15"/>
        <w:tabs>
          <w:tab w:val="left" w:pos="0"/>
        </w:tabs>
        <w:kinsoku/>
        <w:overflowPunct/>
        <w:bidi w:val="0"/>
        <w:ind w:firstLine="680" w:firstLineChars="200"/>
        <w:rPr>
          <w:rFonts w:hint="eastAsia" w:asciiTheme="minorEastAsia" w:hAnsiTheme="minorEastAsia" w:eastAsiaTheme="minorEastAsia" w:cstheme="minorEastAsia"/>
          <w:color w:val="auto"/>
          <w:highlight w:val="none"/>
        </w:rPr>
      </w:pPr>
    </w:p>
    <w:p w14:paraId="24011B1D">
      <w:pPr>
        <w:kinsoku/>
        <w:overflowPunct/>
        <w:bidi w:val="0"/>
        <w:ind w:firstLine="6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60EBBCF1">
      <w:pPr>
        <w:pStyle w:val="15"/>
        <w:keepNext w:val="0"/>
        <w:keepLines w:val="0"/>
        <w:pageBreakBefore w:val="0"/>
        <w:widowControl w:val="0"/>
        <w:tabs>
          <w:tab w:val="left" w:pos="0"/>
        </w:tabs>
        <w:kinsoku/>
        <w:wordWrap/>
        <w:overflowPunct/>
        <w:topLinePunct w:val="0"/>
        <w:autoSpaceDE/>
        <w:autoSpaceDN/>
        <w:bidi w:val="0"/>
        <w:adjustRightInd/>
        <w:snapToGrid/>
        <w:ind w:left="0" w:leftChars="0" w:firstLine="562" w:firstLineChars="200"/>
        <w:jc w:val="center"/>
        <w:textAlignment w:val="auto"/>
        <w:outlineLvl w:val="1"/>
        <w:rPr>
          <w:rFonts w:hint="eastAsia" w:asciiTheme="minorEastAsia" w:hAnsiTheme="minorEastAsia" w:eastAsiaTheme="minorEastAsia" w:cstheme="minorEastAsia"/>
          <w:b/>
          <w:color w:val="auto"/>
          <w:sz w:val="28"/>
          <w:szCs w:val="28"/>
          <w:highlight w:val="none"/>
        </w:rPr>
      </w:pPr>
      <w:bookmarkStart w:id="114" w:name="_Toc22894_WPSOffice_Level1"/>
      <w:r>
        <w:rPr>
          <w:rFonts w:hint="eastAsia" w:asciiTheme="minorEastAsia" w:hAnsiTheme="minorEastAsia" w:eastAsiaTheme="minorEastAsia" w:cstheme="minorEastAsia"/>
          <w:b/>
          <w:color w:val="auto"/>
          <w:sz w:val="28"/>
          <w:szCs w:val="28"/>
          <w:highlight w:val="none"/>
          <w:lang w:val="en-US" w:eastAsia="zh-CN"/>
        </w:rPr>
        <w:t>四</w:t>
      </w:r>
      <w:r>
        <w:rPr>
          <w:rFonts w:hint="eastAsia" w:asciiTheme="minorEastAsia" w:hAnsiTheme="minorEastAsia" w:eastAsiaTheme="minorEastAsia" w:cstheme="minorEastAsia"/>
          <w:b/>
          <w:color w:val="auto"/>
          <w:sz w:val="28"/>
          <w:szCs w:val="28"/>
          <w:highlight w:val="none"/>
        </w:rPr>
        <w:t>、商务应答表</w:t>
      </w:r>
      <w:bookmarkEnd w:id="114"/>
    </w:p>
    <w:tbl>
      <w:tblPr>
        <w:tblStyle w:val="24"/>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2731"/>
        <w:gridCol w:w="2731"/>
        <w:gridCol w:w="2731"/>
      </w:tblGrid>
      <w:tr w14:paraId="38F8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34" w:type="dxa"/>
            <w:vAlign w:val="center"/>
          </w:tcPr>
          <w:p w14:paraId="4A8AE76E">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731" w:type="dxa"/>
            <w:vAlign w:val="center"/>
          </w:tcPr>
          <w:p w14:paraId="05435703">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采购文件要求</w:t>
            </w:r>
          </w:p>
        </w:tc>
        <w:tc>
          <w:tcPr>
            <w:tcW w:w="2731" w:type="dxa"/>
            <w:vAlign w:val="center"/>
          </w:tcPr>
          <w:p w14:paraId="73C35470">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响应文件响应</w:t>
            </w:r>
          </w:p>
        </w:tc>
        <w:tc>
          <w:tcPr>
            <w:tcW w:w="2731" w:type="dxa"/>
            <w:vAlign w:val="center"/>
          </w:tcPr>
          <w:p w14:paraId="63BF802A">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偏离情况</w:t>
            </w:r>
          </w:p>
        </w:tc>
      </w:tr>
      <w:tr w14:paraId="71261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0F165694">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22BC9085">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0A8D7F7D">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34211D67">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正/负/无偏离</w:t>
            </w:r>
          </w:p>
        </w:tc>
      </w:tr>
      <w:tr w14:paraId="273F2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62A97E6A">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26FA2188">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1ECBCFD0">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16C0120E">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r>
      <w:tr w14:paraId="046FA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1ECCDAED">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5E621C86">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3D2A7722">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19643108">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r>
      <w:tr w14:paraId="680A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34" w:type="dxa"/>
          </w:tcPr>
          <w:p w14:paraId="72C11E02">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5BE395C5">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6B8F5708">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c>
          <w:tcPr>
            <w:tcW w:w="2731" w:type="dxa"/>
          </w:tcPr>
          <w:p w14:paraId="3CD51A37">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p>
        </w:tc>
      </w:tr>
    </w:tbl>
    <w:p w14:paraId="253D79FF">
      <w:pPr>
        <w:kinsoku/>
        <w:overflowPunct/>
        <w:bidi w:val="0"/>
        <w:ind w:firstLine="482" w:firstLineChars="200"/>
        <w:rPr>
          <w:rFonts w:hint="eastAsia" w:asciiTheme="minorEastAsia" w:hAnsiTheme="minorEastAsia" w:eastAsiaTheme="minorEastAsia" w:cstheme="minorEastAsia"/>
          <w:b/>
          <w:color w:val="auto"/>
          <w:sz w:val="24"/>
          <w:szCs w:val="24"/>
          <w:highlight w:val="none"/>
        </w:rPr>
      </w:pPr>
    </w:p>
    <w:p w14:paraId="28885DAF">
      <w:pPr>
        <w:kinsoku/>
        <w:overflowPunct/>
        <w:bidi w:val="0"/>
        <w:spacing w:line="360" w:lineRule="auto"/>
        <w:ind w:firstLine="480" w:firstLineChars="200"/>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注意：</w:t>
      </w:r>
      <w:r>
        <w:rPr>
          <w:rFonts w:hint="eastAsia" w:asciiTheme="minorEastAsia" w:hAnsiTheme="minorEastAsia" w:eastAsiaTheme="minorEastAsia" w:cstheme="minorEastAsia"/>
          <w:color w:val="auto"/>
          <w:sz w:val="24"/>
          <w:highlight w:val="none"/>
        </w:rPr>
        <w:t>供应商应据实填写，不得虚假响应，虚假响应的，其响应文件无效并按规定追究其相关责任（与磋商文件要求完全一致的条款可不填写）。</w:t>
      </w:r>
    </w:p>
    <w:p w14:paraId="11525AB4">
      <w:pPr>
        <w:kinsoku/>
        <w:overflowPunct/>
        <w:bidi w:val="0"/>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highlight w:val="none"/>
        </w:rPr>
        <w:t>未在本表中填写的条款，表明供应商完全理解并响应磋商文件的要求。</w:t>
      </w:r>
    </w:p>
    <w:p w14:paraId="52CA47B9">
      <w:pPr>
        <w:kinsoku/>
        <w:overflowPunct/>
        <w:bidi w:val="0"/>
        <w:adjustRightInd w:val="0"/>
        <w:spacing w:line="400" w:lineRule="exact"/>
        <w:ind w:firstLine="480" w:firstLineChars="200"/>
        <w:jc w:val="left"/>
        <w:rPr>
          <w:rFonts w:hint="eastAsia" w:asciiTheme="minorEastAsia" w:hAnsiTheme="minorEastAsia" w:eastAsiaTheme="minorEastAsia" w:cstheme="minorEastAsia"/>
          <w:color w:val="auto"/>
          <w:sz w:val="24"/>
          <w:szCs w:val="24"/>
          <w:highlight w:val="none"/>
        </w:rPr>
      </w:pPr>
    </w:p>
    <w:p w14:paraId="0ADF6BDE">
      <w:pPr>
        <w:kinsoku/>
        <w:overflowPunct/>
        <w:bidi w:val="0"/>
        <w:adjustRightInd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供应商人名称：XXX（盖单位公章）</w:t>
      </w:r>
    </w:p>
    <w:p w14:paraId="7CB0ED3D">
      <w:pPr>
        <w:kinsoku/>
        <w:overflowPunct/>
        <w:bidi w:val="0"/>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法定代表人/单位负责人或授权代表（签字或盖章）：XXX</w:t>
      </w:r>
    </w:p>
    <w:p w14:paraId="1E4132B1">
      <w:pPr>
        <w:kinsoku/>
        <w:overflowPunct/>
        <w:bidi w:val="0"/>
        <w:adjustRightInd w:val="0"/>
        <w:spacing w:line="360" w:lineRule="auto"/>
        <w:ind w:firstLine="480" w:firstLineChars="200"/>
        <w:jc w:val="lef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日  期：XXX年XXX月XXX日</w:t>
      </w:r>
    </w:p>
    <w:p w14:paraId="76F58E84">
      <w:pPr>
        <w:pStyle w:val="15"/>
        <w:tabs>
          <w:tab w:val="left" w:pos="0"/>
        </w:tabs>
        <w:kinsoku/>
        <w:overflowPunct/>
        <w:bidi w:val="0"/>
        <w:ind w:firstLine="560" w:firstLineChars="200"/>
        <w:jc w:val="center"/>
        <w:rPr>
          <w:rFonts w:hint="eastAsia" w:asciiTheme="minorEastAsia" w:hAnsiTheme="minorEastAsia" w:eastAsiaTheme="minorEastAsia" w:cstheme="minorEastAsia"/>
          <w:color w:val="auto"/>
          <w:sz w:val="28"/>
          <w:szCs w:val="28"/>
          <w:highlight w:val="none"/>
        </w:rPr>
      </w:pPr>
    </w:p>
    <w:p w14:paraId="32971145">
      <w:pPr>
        <w:pStyle w:val="15"/>
        <w:tabs>
          <w:tab w:val="left" w:pos="0"/>
        </w:tabs>
        <w:kinsoku/>
        <w:overflowPunct/>
        <w:bidi w:val="0"/>
        <w:ind w:firstLine="560" w:firstLineChars="200"/>
        <w:jc w:val="center"/>
        <w:rPr>
          <w:rFonts w:hint="eastAsia" w:asciiTheme="minorEastAsia" w:hAnsiTheme="minorEastAsia" w:eastAsiaTheme="minorEastAsia" w:cstheme="minorEastAsia"/>
          <w:color w:val="auto"/>
          <w:sz w:val="28"/>
          <w:szCs w:val="28"/>
          <w:highlight w:val="none"/>
        </w:rPr>
      </w:pPr>
    </w:p>
    <w:p w14:paraId="0FF5950C">
      <w:pPr>
        <w:pStyle w:val="15"/>
        <w:tabs>
          <w:tab w:val="left" w:pos="0"/>
        </w:tabs>
        <w:kinsoku/>
        <w:overflowPunct/>
        <w:bidi w:val="0"/>
        <w:ind w:firstLine="680" w:firstLineChars="200"/>
        <w:jc w:val="center"/>
        <w:rPr>
          <w:rFonts w:hint="eastAsia" w:asciiTheme="minorEastAsia" w:hAnsiTheme="minorEastAsia" w:eastAsiaTheme="minorEastAsia" w:cstheme="minorEastAsia"/>
          <w:color w:val="auto"/>
          <w:highlight w:val="none"/>
        </w:rPr>
      </w:pPr>
    </w:p>
    <w:p w14:paraId="70B2A2F4">
      <w:pPr>
        <w:kinsoku/>
        <w:overflowPunct/>
        <w:bidi w:val="0"/>
        <w:adjustRightInd w:val="0"/>
        <w:spacing w:line="400" w:lineRule="exact"/>
        <w:ind w:firstLine="560" w:firstLineChars="200"/>
        <w:jc w:val="left"/>
        <w:rPr>
          <w:rFonts w:hint="eastAsia" w:asciiTheme="minorEastAsia" w:hAnsiTheme="minorEastAsia" w:eastAsiaTheme="minorEastAsia" w:cstheme="minorEastAsia"/>
          <w:color w:val="auto"/>
          <w:sz w:val="28"/>
          <w:highlight w:val="none"/>
        </w:rPr>
        <w:sectPr>
          <w:headerReference r:id="rId5" w:type="default"/>
          <w:footerReference r:id="rId6" w:type="default"/>
          <w:pgSz w:w="11905" w:h="16838"/>
          <w:pgMar w:top="1417" w:right="1531" w:bottom="1417" w:left="1531" w:header="851" w:footer="992" w:gutter="0"/>
          <w:pgNumType w:fmt="decimal"/>
          <w:cols w:space="0" w:num="1"/>
          <w:rtlGutter w:val="0"/>
          <w:docGrid w:linePitch="312" w:charSpace="0"/>
        </w:sectPr>
      </w:pPr>
    </w:p>
    <w:p w14:paraId="77C452AD">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Theme="minorEastAsia" w:hAnsiTheme="minorEastAsia" w:eastAsiaTheme="minorEastAsia" w:cstheme="minorEastAsia"/>
          <w:b/>
          <w:bCs/>
          <w:color w:val="auto"/>
          <w:sz w:val="32"/>
          <w:szCs w:val="32"/>
          <w:highlight w:val="none"/>
        </w:rPr>
      </w:pPr>
      <w:bookmarkStart w:id="115" w:name="_Toc31100_WPSOffice_Level1"/>
      <w:r>
        <w:rPr>
          <w:rFonts w:hint="eastAsia" w:asciiTheme="minorEastAsia" w:hAnsiTheme="minorEastAsia" w:eastAsiaTheme="minorEastAsia" w:cstheme="minorEastAsia"/>
          <w:b/>
          <w:bCs/>
          <w:color w:val="auto"/>
          <w:sz w:val="32"/>
          <w:szCs w:val="32"/>
          <w:highlight w:val="none"/>
          <w:lang w:val="en-US" w:eastAsia="zh-CN"/>
        </w:rPr>
        <w:t>五</w:t>
      </w:r>
      <w:r>
        <w:rPr>
          <w:rFonts w:hint="eastAsia" w:asciiTheme="minorEastAsia" w:hAnsiTheme="minorEastAsia" w:eastAsiaTheme="minorEastAsia" w:cstheme="minorEastAsia"/>
          <w:b/>
          <w:bCs/>
          <w:color w:val="auto"/>
          <w:sz w:val="32"/>
          <w:szCs w:val="32"/>
          <w:highlight w:val="none"/>
        </w:rPr>
        <w:t>、供应商类似项目业绩一览表</w:t>
      </w:r>
      <w:bookmarkEnd w:id="115"/>
    </w:p>
    <w:p w14:paraId="636E326F">
      <w:pPr>
        <w:kinsoku/>
        <w:overflowPunct/>
        <w:bidi w:val="0"/>
        <w:spacing w:line="400" w:lineRule="exact"/>
        <w:ind w:firstLine="480" w:firstLineChars="200"/>
        <w:rPr>
          <w:rFonts w:hint="eastAsia" w:asciiTheme="minorEastAsia" w:hAnsiTheme="minorEastAsia" w:eastAsiaTheme="minorEastAsia" w:cstheme="minorEastAsia"/>
          <w:color w:val="auto"/>
          <w:sz w:val="24"/>
          <w:highlight w:val="none"/>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4" w:type="dxa"/>
          <w:bottom w:w="0" w:type="dxa"/>
          <w:right w:w="54" w:type="dxa"/>
        </w:tblCellMar>
      </w:tblPr>
      <w:tblGrid>
        <w:gridCol w:w="857"/>
        <w:gridCol w:w="1718"/>
        <w:gridCol w:w="1575"/>
        <w:gridCol w:w="1385"/>
        <w:gridCol w:w="1690"/>
        <w:gridCol w:w="7"/>
        <w:gridCol w:w="1166"/>
        <w:gridCol w:w="16"/>
      </w:tblGrid>
      <w:tr w14:paraId="3460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30A99479">
            <w:pPr>
              <w:kinsoku/>
              <w:overflowPunct/>
              <w:bidi w:val="0"/>
              <w:spacing w:line="400" w:lineRule="exact"/>
              <w:ind w:firstLine="482" w:firstLineChars="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年份</w:t>
            </w:r>
          </w:p>
        </w:tc>
        <w:tc>
          <w:tcPr>
            <w:tcW w:w="1718" w:type="dxa"/>
            <w:vAlign w:val="center"/>
          </w:tcPr>
          <w:p w14:paraId="0EE898DF">
            <w:pPr>
              <w:kinsoku/>
              <w:overflowPunct/>
              <w:bidi w:val="0"/>
              <w:spacing w:line="400" w:lineRule="exact"/>
              <w:ind w:firstLine="482" w:firstLineChars="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用户名称</w:t>
            </w:r>
          </w:p>
        </w:tc>
        <w:tc>
          <w:tcPr>
            <w:tcW w:w="1575" w:type="dxa"/>
            <w:vAlign w:val="center"/>
          </w:tcPr>
          <w:p w14:paraId="571C1FAD">
            <w:pPr>
              <w:kinsoku/>
              <w:overflowPunct/>
              <w:bidi w:val="0"/>
              <w:spacing w:line="400" w:lineRule="exact"/>
              <w:ind w:firstLine="482" w:firstLineChars="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项目名称</w:t>
            </w:r>
          </w:p>
        </w:tc>
        <w:tc>
          <w:tcPr>
            <w:tcW w:w="1385" w:type="dxa"/>
            <w:vAlign w:val="center"/>
          </w:tcPr>
          <w:p w14:paraId="2E3ADCA1">
            <w:pPr>
              <w:kinsoku/>
              <w:overflowPunct/>
              <w:bidi w:val="0"/>
              <w:spacing w:line="400" w:lineRule="exact"/>
              <w:ind w:firstLine="482" w:firstLineChars="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完成时间</w:t>
            </w:r>
          </w:p>
        </w:tc>
        <w:tc>
          <w:tcPr>
            <w:tcW w:w="1697" w:type="dxa"/>
            <w:gridSpan w:val="2"/>
            <w:vAlign w:val="center"/>
          </w:tcPr>
          <w:p w14:paraId="794503C9">
            <w:pPr>
              <w:kinsoku/>
              <w:overflowPunct/>
              <w:bidi w:val="0"/>
              <w:spacing w:line="400" w:lineRule="exact"/>
              <w:ind w:firstLine="482" w:firstLineChars="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合同金额</w:t>
            </w:r>
          </w:p>
        </w:tc>
        <w:tc>
          <w:tcPr>
            <w:tcW w:w="1182" w:type="dxa"/>
            <w:gridSpan w:val="2"/>
            <w:vAlign w:val="center"/>
          </w:tcPr>
          <w:p w14:paraId="1298570A">
            <w:pPr>
              <w:kinsoku/>
              <w:overflowPunct/>
              <w:bidi w:val="0"/>
              <w:spacing w:line="400" w:lineRule="exact"/>
              <w:ind w:firstLine="482" w:firstLineChars="200"/>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r>
      <w:tr w14:paraId="53BC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5E9EEA1A">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7CDAAF5C">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54D5131A">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6A0E283C">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67563A5F">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4EBEB2AF">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2CC46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4FD1EA18">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66FB340C">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7971F09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6ADF81A5">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3B975B74">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1D31B06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44C4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23315690">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0A9E606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77AC1F89">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4E360C2B">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55CE7C52">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21F9A287">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7CC1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4CCC2BF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74B74C15">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4D6207EB">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35BE1192">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7B45EFA7">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12C344F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38EF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gridAfter w:val="1"/>
          <w:wAfter w:w="16" w:type="dxa"/>
          <w:cantSplit/>
          <w:trHeight w:val="600" w:hRule="atLeast"/>
          <w:jc w:val="center"/>
        </w:trPr>
        <w:tc>
          <w:tcPr>
            <w:tcW w:w="857" w:type="dxa"/>
            <w:vAlign w:val="center"/>
          </w:tcPr>
          <w:p w14:paraId="6B72E128">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718" w:type="dxa"/>
            <w:vAlign w:val="center"/>
          </w:tcPr>
          <w:p w14:paraId="58D3F7F1">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575" w:type="dxa"/>
            <w:vAlign w:val="center"/>
          </w:tcPr>
          <w:p w14:paraId="2C583DB1">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385" w:type="dxa"/>
            <w:vAlign w:val="center"/>
          </w:tcPr>
          <w:p w14:paraId="5313479F">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690" w:type="dxa"/>
            <w:vAlign w:val="center"/>
          </w:tcPr>
          <w:p w14:paraId="36056D22">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173" w:type="dxa"/>
            <w:gridSpan w:val="2"/>
            <w:vAlign w:val="center"/>
          </w:tcPr>
          <w:p w14:paraId="54B50B1A">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r>
      <w:tr w14:paraId="6A59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053FDA69">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718" w:type="dxa"/>
            <w:vAlign w:val="center"/>
          </w:tcPr>
          <w:p w14:paraId="35A70002">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575" w:type="dxa"/>
            <w:vAlign w:val="center"/>
          </w:tcPr>
          <w:p w14:paraId="1DA1EAE4">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385" w:type="dxa"/>
            <w:vAlign w:val="center"/>
          </w:tcPr>
          <w:p w14:paraId="4DEFAB85">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70BF58E1">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4B3479A3">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tc>
      </w:tr>
      <w:tr w14:paraId="0AB7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3F62135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7B93A51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5C58D9E8">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7F568377">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1B04E49E">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1EF86FF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030E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857" w:type="dxa"/>
            <w:vAlign w:val="center"/>
          </w:tcPr>
          <w:p w14:paraId="42666F90">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0FB05001">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5CAC8B9B">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2857EE94">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09439599">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0F36AA6F">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6A3F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857" w:type="dxa"/>
            <w:vAlign w:val="center"/>
          </w:tcPr>
          <w:p w14:paraId="30566CA8">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3AF84267">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76FF15E6">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3C18CD3C">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0128A21F">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31A364DA">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63908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857" w:type="dxa"/>
            <w:vAlign w:val="center"/>
          </w:tcPr>
          <w:p w14:paraId="44D46F00">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66C89780">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6A2C4247">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7FD967E2">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4944239E">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21E2D5A0">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42D4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857" w:type="dxa"/>
            <w:vAlign w:val="center"/>
          </w:tcPr>
          <w:p w14:paraId="170E1352">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38CABC71">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7360AAD8">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0BCB219C">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4213680D">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6DEFE2EF">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5E3C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857" w:type="dxa"/>
            <w:vAlign w:val="center"/>
          </w:tcPr>
          <w:p w14:paraId="7EDADF0C">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6E78B146">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49053542">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1ABFF673">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2F6D1571">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567559BC">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r w14:paraId="7743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857" w:type="dxa"/>
            <w:vAlign w:val="center"/>
          </w:tcPr>
          <w:p w14:paraId="123BC839">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718" w:type="dxa"/>
            <w:vAlign w:val="center"/>
          </w:tcPr>
          <w:p w14:paraId="7363C701">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575" w:type="dxa"/>
            <w:vAlign w:val="center"/>
          </w:tcPr>
          <w:p w14:paraId="5ED65AE7">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385" w:type="dxa"/>
            <w:vAlign w:val="center"/>
          </w:tcPr>
          <w:p w14:paraId="01E4EFA0">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697" w:type="dxa"/>
            <w:gridSpan w:val="2"/>
            <w:vAlign w:val="center"/>
          </w:tcPr>
          <w:p w14:paraId="1F9E50D4">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c>
          <w:tcPr>
            <w:tcW w:w="1182" w:type="dxa"/>
            <w:gridSpan w:val="2"/>
            <w:vAlign w:val="center"/>
          </w:tcPr>
          <w:p w14:paraId="7D653E16">
            <w:pPr>
              <w:kinsoku/>
              <w:overflowPunct/>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p>
        </w:tc>
      </w:tr>
    </w:tbl>
    <w:p w14:paraId="505A0799">
      <w:pPr>
        <w:kinsoku/>
        <w:overflowPunct/>
        <w:bidi w:val="0"/>
        <w:spacing w:line="400" w:lineRule="exact"/>
        <w:ind w:left="360" w:firstLine="480" w:firstLineChars="200"/>
        <w:jc w:val="center"/>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注：需提供相关证明材料（详见评分明细表）</w:t>
      </w:r>
    </w:p>
    <w:p w14:paraId="7CBA6B20">
      <w:pPr>
        <w:kinsoku/>
        <w:overflowPunct/>
        <w:bidi w:val="0"/>
        <w:ind w:firstLine="680" w:firstLineChars="200"/>
        <w:jc w:val="left"/>
        <w:rPr>
          <w:rFonts w:hint="eastAsia" w:asciiTheme="minorEastAsia" w:hAnsiTheme="minorEastAsia" w:eastAsiaTheme="minorEastAsia" w:cstheme="minorEastAsia"/>
          <w:color w:val="auto"/>
          <w:highlight w:val="none"/>
        </w:rPr>
      </w:pPr>
    </w:p>
    <w:p w14:paraId="7620F40B">
      <w:pPr>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供应商名称：XXXX（盖单位公章）</w:t>
      </w:r>
    </w:p>
    <w:p w14:paraId="6C01D12A">
      <w:pPr>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法定代表人/单位负责人或授权代表（签字）：XXXX</w:t>
      </w:r>
    </w:p>
    <w:p w14:paraId="2A1325F0">
      <w:pPr>
        <w:kinsoku/>
        <w:overflowPunct/>
        <w:bidi w:val="0"/>
        <w:spacing w:line="360" w:lineRule="auto"/>
        <w:ind w:firstLine="480" w:firstLineChars="20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日期: XXXX</w:t>
      </w:r>
    </w:p>
    <w:p w14:paraId="5DDE238C">
      <w:pPr>
        <w:kinsoku/>
        <w:overflowPunct/>
        <w:bidi w:val="0"/>
        <w:ind w:firstLine="560" w:firstLineChars="200"/>
        <w:jc w:val="left"/>
        <w:rPr>
          <w:rFonts w:hint="eastAsia" w:asciiTheme="minorEastAsia" w:hAnsiTheme="minorEastAsia" w:eastAsiaTheme="minorEastAsia" w:cstheme="minorEastAsia"/>
          <w:color w:val="auto"/>
          <w:sz w:val="28"/>
          <w:szCs w:val="28"/>
          <w:highlight w:val="none"/>
        </w:rPr>
      </w:pPr>
    </w:p>
    <w:p w14:paraId="3E3A4F8F">
      <w:pPr>
        <w:pStyle w:val="10"/>
        <w:kinsoku/>
        <w:overflowPunct/>
        <w:bidi w:val="0"/>
        <w:ind w:firstLine="680" w:firstLineChars="200"/>
        <w:rPr>
          <w:rFonts w:hint="eastAsia" w:asciiTheme="minorEastAsia" w:hAnsiTheme="minorEastAsia" w:eastAsiaTheme="minorEastAsia" w:cstheme="minorEastAsia"/>
          <w:color w:val="auto"/>
          <w:highlight w:val="none"/>
        </w:rPr>
      </w:pPr>
    </w:p>
    <w:p w14:paraId="2D00BCE0">
      <w:pPr>
        <w:pStyle w:val="10"/>
        <w:kinsoku/>
        <w:overflowPunct/>
        <w:bidi w:val="0"/>
        <w:ind w:firstLine="680" w:firstLineChars="200"/>
        <w:rPr>
          <w:rFonts w:hint="eastAsia" w:asciiTheme="minorEastAsia" w:hAnsiTheme="minorEastAsia" w:eastAsiaTheme="minorEastAsia" w:cstheme="minorEastAsia"/>
          <w:color w:val="auto"/>
          <w:highlight w:val="none"/>
        </w:rPr>
      </w:pPr>
    </w:p>
    <w:p w14:paraId="393F1E6D">
      <w:pPr>
        <w:kinsoku/>
        <w:overflowPunct/>
        <w:bidi w:val="0"/>
        <w:ind w:firstLine="643" w:firstLineChars="200"/>
        <w:rPr>
          <w:rFonts w:hint="eastAsia" w:asciiTheme="minorEastAsia" w:hAnsiTheme="minorEastAsia" w:eastAsiaTheme="minorEastAsia" w:cstheme="minorEastAsia"/>
          <w:b/>
          <w:color w:val="auto"/>
          <w:sz w:val="32"/>
          <w:szCs w:val="32"/>
          <w:highlight w:val="none"/>
        </w:rPr>
      </w:pPr>
      <w:bookmarkStart w:id="116" w:name="_Toc1871_WPSOffice_Level1"/>
      <w:r>
        <w:rPr>
          <w:rFonts w:hint="eastAsia" w:asciiTheme="minorEastAsia" w:hAnsiTheme="minorEastAsia" w:eastAsiaTheme="minorEastAsia" w:cstheme="minorEastAsia"/>
          <w:b/>
          <w:color w:val="auto"/>
          <w:sz w:val="32"/>
          <w:szCs w:val="32"/>
          <w:highlight w:val="none"/>
        </w:rPr>
        <w:br w:type="page"/>
      </w:r>
    </w:p>
    <w:p w14:paraId="42C87D7D">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val="en-US" w:eastAsia="zh-CN"/>
        </w:rPr>
        <w:t>六</w:t>
      </w:r>
      <w:r>
        <w:rPr>
          <w:rFonts w:hint="eastAsia" w:asciiTheme="minorEastAsia" w:hAnsiTheme="minorEastAsia" w:eastAsiaTheme="minorEastAsia" w:cstheme="minorEastAsia"/>
          <w:b/>
          <w:color w:val="auto"/>
          <w:sz w:val="32"/>
          <w:szCs w:val="32"/>
          <w:highlight w:val="none"/>
        </w:rPr>
        <w:t>、供应商本项目管理、技术、服务人员情况表</w:t>
      </w:r>
      <w:bookmarkEnd w:id="116"/>
    </w:p>
    <w:p w14:paraId="5A5A6C98">
      <w:pPr>
        <w:kinsoku/>
        <w:overflowPunct/>
        <w:bidi w:val="0"/>
        <w:ind w:firstLine="640" w:firstLineChars="200"/>
        <w:rPr>
          <w:rFonts w:hint="eastAsia" w:asciiTheme="minorEastAsia" w:hAnsiTheme="minorEastAsia" w:eastAsiaTheme="minorEastAsia" w:cstheme="minorEastAsia"/>
          <w:color w:val="auto"/>
          <w:sz w:val="32"/>
          <w:szCs w:val="32"/>
          <w:highlight w:val="none"/>
        </w:rPr>
      </w:pPr>
    </w:p>
    <w:tbl>
      <w:tblPr>
        <w:tblStyle w:val="24"/>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977"/>
        <w:gridCol w:w="977"/>
        <w:gridCol w:w="977"/>
        <w:gridCol w:w="977"/>
        <w:gridCol w:w="977"/>
        <w:gridCol w:w="977"/>
        <w:gridCol w:w="977"/>
        <w:gridCol w:w="980"/>
      </w:tblGrid>
      <w:tr w14:paraId="614DD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restart"/>
            <w:vAlign w:val="center"/>
          </w:tcPr>
          <w:p w14:paraId="75870BA1">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类别</w:t>
            </w:r>
          </w:p>
        </w:tc>
        <w:tc>
          <w:tcPr>
            <w:tcW w:w="977" w:type="dxa"/>
            <w:vMerge w:val="restart"/>
            <w:vAlign w:val="center"/>
          </w:tcPr>
          <w:p w14:paraId="0A31E077">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职务</w:t>
            </w:r>
          </w:p>
        </w:tc>
        <w:tc>
          <w:tcPr>
            <w:tcW w:w="977" w:type="dxa"/>
            <w:vMerge w:val="restart"/>
            <w:vAlign w:val="center"/>
          </w:tcPr>
          <w:p w14:paraId="3A72F951">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姓名</w:t>
            </w:r>
          </w:p>
        </w:tc>
        <w:tc>
          <w:tcPr>
            <w:tcW w:w="977" w:type="dxa"/>
            <w:vMerge w:val="restart"/>
            <w:vAlign w:val="center"/>
          </w:tcPr>
          <w:p w14:paraId="5B43858D">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职称</w:t>
            </w:r>
          </w:p>
        </w:tc>
        <w:tc>
          <w:tcPr>
            <w:tcW w:w="977" w:type="dxa"/>
            <w:vMerge w:val="restart"/>
            <w:vAlign w:val="center"/>
          </w:tcPr>
          <w:p w14:paraId="3A3900C6">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常住地</w:t>
            </w:r>
          </w:p>
        </w:tc>
        <w:tc>
          <w:tcPr>
            <w:tcW w:w="3911" w:type="dxa"/>
            <w:gridSpan w:val="4"/>
            <w:vAlign w:val="center"/>
          </w:tcPr>
          <w:p w14:paraId="43256C64">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资格证明（附复印件）</w:t>
            </w:r>
          </w:p>
        </w:tc>
      </w:tr>
      <w:tr w14:paraId="5AB8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trPr>
        <w:tc>
          <w:tcPr>
            <w:tcW w:w="976" w:type="dxa"/>
            <w:vMerge w:val="continue"/>
            <w:vAlign w:val="center"/>
          </w:tcPr>
          <w:p w14:paraId="433C52F9">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vMerge w:val="continue"/>
            <w:vAlign w:val="center"/>
          </w:tcPr>
          <w:p w14:paraId="60C22811">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vMerge w:val="continue"/>
            <w:vAlign w:val="center"/>
          </w:tcPr>
          <w:p w14:paraId="17E04B20">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vMerge w:val="continue"/>
            <w:vAlign w:val="center"/>
          </w:tcPr>
          <w:p w14:paraId="3D263767">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vMerge w:val="continue"/>
            <w:vAlign w:val="center"/>
          </w:tcPr>
          <w:p w14:paraId="74875539">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vAlign w:val="center"/>
          </w:tcPr>
          <w:p w14:paraId="31677CF3">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证书</w:t>
            </w:r>
          </w:p>
          <w:p w14:paraId="58DE2425">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977" w:type="dxa"/>
            <w:vAlign w:val="center"/>
          </w:tcPr>
          <w:p w14:paraId="0B51001A">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级别</w:t>
            </w:r>
          </w:p>
        </w:tc>
        <w:tc>
          <w:tcPr>
            <w:tcW w:w="977" w:type="dxa"/>
            <w:vAlign w:val="center"/>
          </w:tcPr>
          <w:p w14:paraId="16822594">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证号</w:t>
            </w:r>
          </w:p>
        </w:tc>
        <w:tc>
          <w:tcPr>
            <w:tcW w:w="980" w:type="dxa"/>
            <w:vAlign w:val="center"/>
          </w:tcPr>
          <w:p w14:paraId="0270BC6F">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专业</w:t>
            </w:r>
          </w:p>
        </w:tc>
      </w:tr>
      <w:tr w14:paraId="4E11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restart"/>
            <w:vAlign w:val="center"/>
          </w:tcPr>
          <w:p w14:paraId="3D68F0D2">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管理</w:t>
            </w:r>
          </w:p>
          <w:p w14:paraId="08CB58BC">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人员</w:t>
            </w:r>
          </w:p>
        </w:tc>
        <w:tc>
          <w:tcPr>
            <w:tcW w:w="977" w:type="dxa"/>
          </w:tcPr>
          <w:p w14:paraId="79B5234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5FE6475">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55803B6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E8A3840">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737C89F6">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817E75B">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7BD4DD4C">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0081E1CE">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0EEE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continue"/>
            <w:vAlign w:val="center"/>
          </w:tcPr>
          <w:p w14:paraId="67E8E2D6">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tcPr>
          <w:p w14:paraId="6FE21EE4">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BBE4B29">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A59634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392C6830">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0A00BBB">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080067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AD4539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00B5E23F">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04C4A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continue"/>
            <w:vAlign w:val="center"/>
          </w:tcPr>
          <w:p w14:paraId="7142AB30">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tcPr>
          <w:p w14:paraId="10B3BFAD">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4B29BD0">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AF73129">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3908F0C3">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0A18CFC5">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5BE2B25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963D5A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379A226A">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7597B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restart"/>
            <w:vAlign w:val="center"/>
          </w:tcPr>
          <w:p w14:paraId="1344A845">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技术人员</w:t>
            </w:r>
          </w:p>
        </w:tc>
        <w:tc>
          <w:tcPr>
            <w:tcW w:w="977" w:type="dxa"/>
          </w:tcPr>
          <w:p w14:paraId="2F5B6CB5">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67E2BB33">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6CC7FD7">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1DC73B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901F2EB">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3AF7094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04300590">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12F11AF0">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53DC8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continue"/>
            <w:vAlign w:val="center"/>
          </w:tcPr>
          <w:p w14:paraId="611BA7E9">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tcPr>
          <w:p w14:paraId="4056DC0D">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6B072A0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8573AD4">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0BE48A0">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66519E4D">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FFE8067">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256C507">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6FDBBBD7">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5F0F5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continue"/>
            <w:vAlign w:val="center"/>
          </w:tcPr>
          <w:p w14:paraId="32CD8BE4">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tcPr>
          <w:p w14:paraId="10F6974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40BBB7D">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658BA45">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46E11E6">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085FB3C5">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20D6BC5C">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B3A9F45">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14640CE6">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21BB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restart"/>
            <w:vAlign w:val="center"/>
          </w:tcPr>
          <w:p w14:paraId="22F39D39">
            <w:pPr>
              <w:kinsoku/>
              <w:overflowPunct/>
              <w:bidi w:val="0"/>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售后人员</w:t>
            </w:r>
          </w:p>
        </w:tc>
        <w:tc>
          <w:tcPr>
            <w:tcW w:w="977" w:type="dxa"/>
          </w:tcPr>
          <w:p w14:paraId="5F8442E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7475551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4D76814">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6CFD6023">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708B376E">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CADB378">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6F2B8B1D">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68F65DF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28FE9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976" w:type="dxa"/>
            <w:vMerge w:val="continue"/>
          </w:tcPr>
          <w:p w14:paraId="181BC88C">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tcPr>
          <w:p w14:paraId="1B106497">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FD653A5">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5D08F75C">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7A185DB2">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3AA7992F">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4BB377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0FC56766">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3B38E3A0">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r w14:paraId="6D4B7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976" w:type="dxa"/>
            <w:vMerge w:val="continue"/>
          </w:tcPr>
          <w:p w14:paraId="407DD733">
            <w:pPr>
              <w:kinsoku/>
              <w:overflowPunct/>
              <w:bidi w:val="0"/>
              <w:ind w:firstLine="680" w:firstLineChars="200"/>
              <w:rPr>
                <w:rFonts w:hint="eastAsia" w:asciiTheme="minorEastAsia" w:hAnsiTheme="minorEastAsia" w:eastAsiaTheme="minorEastAsia" w:cstheme="minorEastAsia"/>
                <w:color w:val="auto"/>
                <w:highlight w:val="none"/>
              </w:rPr>
            </w:pPr>
          </w:p>
        </w:tc>
        <w:tc>
          <w:tcPr>
            <w:tcW w:w="977" w:type="dxa"/>
          </w:tcPr>
          <w:p w14:paraId="41DAE2E7">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6D7E6CB8">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440CAAE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7380EA99">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0C48F069">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1F880D77">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77" w:type="dxa"/>
          </w:tcPr>
          <w:p w14:paraId="3AAE5C2F">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c>
          <w:tcPr>
            <w:tcW w:w="980" w:type="dxa"/>
          </w:tcPr>
          <w:p w14:paraId="67318121">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tc>
      </w:tr>
    </w:tbl>
    <w:p w14:paraId="4DA7FA8D">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p w14:paraId="05B1959B">
      <w:pPr>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供应商名称：XXX（盖单位公章）</w:t>
      </w:r>
    </w:p>
    <w:p w14:paraId="367FB0F2">
      <w:pPr>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法定代表人/单位负责人或授权代表（签字）：XXX</w:t>
      </w:r>
    </w:p>
    <w:p w14:paraId="17C83D9F">
      <w:pPr>
        <w:kinsoku/>
        <w:overflowPunct/>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日      期：XXX</w:t>
      </w:r>
    </w:p>
    <w:p w14:paraId="086386DE">
      <w:pPr>
        <w:pStyle w:val="10"/>
        <w:kinsoku/>
        <w:overflowPunct/>
        <w:bidi w:val="0"/>
        <w:ind w:firstLine="480" w:firstLineChars="200"/>
        <w:rPr>
          <w:rFonts w:hint="eastAsia" w:asciiTheme="minorEastAsia" w:hAnsiTheme="minorEastAsia" w:eastAsiaTheme="minorEastAsia" w:cstheme="minorEastAsia"/>
          <w:color w:val="auto"/>
          <w:sz w:val="24"/>
          <w:szCs w:val="24"/>
          <w:highlight w:val="none"/>
        </w:rPr>
      </w:pPr>
    </w:p>
    <w:p w14:paraId="0F5EBF01">
      <w:pPr>
        <w:pStyle w:val="10"/>
        <w:kinsoku/>
        <w:overflowPunct/>
        <w:bidi w:val="0"/>
        <w:ind w:firstLine="480" w:firstLineChars="200"/>
        <w:rPr>
          <w:rFonts w:hint="eastAsia" w:asciiTheme="minorEastAsia" w:hAnsiTheme="minorEastAsia" w:eastAsiaTheme="minorEastAsia" w:cstheme="minorEastAsia"/>
          <w:color w:val="auto"/>
          <w:sz w:val="24"/>
          <w:szCs w:val="24"/>
          <w:highlight w:val="none"/>
        </w:rPr>
      </w:pPr>
    </w:p>
    <w:p w14:paraId="1C253FB2">
      <w:pPr>
        <w:pStyle w:val="10"/>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p>
    <w:p w14:paraId="5AAFB3DF">
      <w:pPr>
        <w:pStyle w:val="10"/>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p>
    <w:p w14:paraId="46BDA3E3">
      <w:pPr>
        <w:pStyle w:val="10"/>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p>
    <w:p w14:paraId="1C6D93D3">
      <w:pPr>
        <w:pStyle w:val="10"/>
        <w:kinsoku/>
        <w:overflowPunct/>
        <w:bidi w:val="0"/>
        <w:ind w:firstLine="643" w:firstLineChars="200"/>
        <w:jc w:val="center"/>
        <w:rPr>
          <w:rFonts w:hint="eastAsia" w:asciiTheme="minorEastAsia" w:hAnsiTheme="minorEastAsia" w:eastAsiaTheme="minorEastAsia" w:cstheme="minorEastAsia"/>
          <w:b/>
          <w:bCs/>
          <w:color w:val="auto"/>
          <w:sz w:val="32"/>
          <w:szCs w:val="32"/>
          <w:highlight w:val="none"/>
        </w:rPr>
      </w:pPr>
    </w:p>
    <w:p w14:paraId="4C56C43D">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outlineLvl w:val="1"/>
        <w:rPr>
          <w:rFonts w:ascii="微软雅黑" w:hAnsi="微软雅黑" w:eastAsia="微软雅黑" w:cs="微软雅黑"/>
          <w:color w:val="auto"/>
          <w:sz w:val="34"/>
          <w:szCs w:val="34"/>
          <w:highlight w:val="none"/>
        </w:rPr>
      </w:pPr>
      <w:r>
        <w:rPr>
          <w:rFonts w:hint="eastAsia" w:asciiTheme="minorEastAsia" w:hAnsiTheme="minorEastAsia" w:eastAsiaTheme="minorEastAsia" w:cstheme="minorEastAsia"/>
          <w:b/>
          <w:color w:val="auto"/>
          <w:sz w:val="32"/>
          <w:szCs w:val="32"/>
          <w:highlight w:val="none"/>
          <w:lang w:val="en-US" w:eastAsia="zh-CN"/>
        </w:rPr>
        <w:t>七、中小企业声明函</w:t>
      </w:r>
    </w:p>
    <w:p w14:paraId="0D34E173">
      <w:pPr>
        <w:pStyle w:val="10"/>
        <w:keepNext w:val="0"/>
        <w:keepLines w:val="0"/>
        <w:pageBreakBefore w:val="0"/>
        <w:widowControl w:val="0"/>
        <w:kinsoku/>
        <w:wordWrap/>
        <w:overflowPunct/>
        <w:topLinePunct w:val="0"/>
        <w:bidi w:val="0"/>
        <w:snapToGrid/>
        <w:spacing w:before="287" w:line="365" w:lineRule="auto"/>
        <w:ind w:left="6" w:firstLine="488" w:firstLineChars="200"/>
        <w:jc w:val="both"/>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本公司（联合体）郑重声明，根据《政府采购促进中小企业发展管理办法》（财库﹝2020﹞46 号）</w:t>
      </w:r>
      <w:r>
        <w:rPr>
          <w:rFonts w:hint="eastAsia" w:asciiTheme="minorEastAsia" w:hAnsiTheme="minorEastAsia" w:eastAsiaTheme="minorEastAsia" w:cstheme="minorEastAsia"/>
          <w:color w:val="auto"/>
          <w:spacing w:val="2"/>
          <w:sz w:val="24"/>
          <w:szCs w:val="24"/>
          <w:highlight w:val="none"/>
          <w:lang w:val="en-US" w:eastAsia="zh-CN"/>
        </w:rPr>
        <w:t>和《财政部关于进一步加大政府采购支持中小企业力度的通知》（财库[2022]19号）</w:t>
      </w:r>
      <w:r>
        <w:rPr>
          <w:rFonts w:hint="eastAsia" w:asciiTheme="minorEastAsia" w:hAnsiTheme="minorEastAsia" w:eastAsiaTheme="minorEastAsia" w:cstheme="minorEastAsia"/>
          <w:color w:val="auto"/>
          <w:spacing w:val="2"/>
          <w:sz w:val="24"/>
          <w:szCs w:val="24"/>
          <w:highlight w:val="none"/>
        </w:rPr>
        <w:t>的规定</w:t>
      </w:r>
      <w:r>
        <w:rPr>
          <w:rFonts w:hint="eastAsia" w:asciiTheme="minorEastAsia" w:hAnsiTheme="minorEastAsia" w:eastAsiaTheme="minorEastAsia" w:cstheme="minorEastAsia"/>
          <w:color w:val="auto"/>
          <w:spacing w:val="1"/>
          <w:sz w:val="24"/>
          <w:szCs w:val="24"/>
          <w:highlight w:val="none"/>
        </w:rPr>
        <w:t>，本公司（联合体）参加</w:t>
      </w:r>
      <w:r>
        <w:rPr>
          <w:rFonts w:hint="eastAsia" w:asciiTheme="minorEastAsia" w:hAnsiTheme="minorEastAsia" w:eastAsiaTheme="minorEastAsia" w:cstheme="minorEastAsia"/>
          <w:color w:val="auto"/>
          <w:spacing w:val="57"/>
          <w:w w:val="101"/>
          <w:sz w:val="24"/>
          <w:szCs w:val="24"/>
          <w:highlight w:val="none"/>
          <w:u w:val="single" w:color="222222"/>
        </w:rPr>
        <w:t xml:space="preserve"> </w:t>
      </w:r>
      <w:r>
        <w:rPr>
          <w:rFonts w:hint="eastAsia" w:asciiTheme="minorEastAsia" w:hAnsiTheme="minorEastAsia" w:eastAsiaTheme="minorEastAsia" w:cstheme="minorEastAsia"/>
          <w:color w:val="auto"/>
          <w:spacing w:val="64"/>
          <w:w w:val="101"/>
          <w:sz w:val="24"/>
          <w:szCs w:val="24"/>
          <w:highlight w:val="none"/>
          <w:u w:val="single" w:color="222222"/>
        </w:rPr>
        <w:t xml:space="preserve"> </w:t>
      </w:r>
      <w:r>
        <w:rPr>
          <w:rFonts w:hint="eastAsia" w:asciiTheme="minorEastAsia" w:hAnsiTheme="minorEastAsia" w:eastAsiaTheme="minorEastAsia" w:cstheme="minorEastAsia"/>
          <w:color w:val="auto"/>
          <w:spacing w:val="64"/>
          <w:w w:val="101"/>
          <w:sz w:val="24"/>
          <w:szCs w:val="24"/>
          <w:highlight w:val="none"/>
          <w:u w:val="single" w:color="222222"/>
          <w:lang w:val="en-US" w:eastAsia="zh-CN"/>
        </w:rPr>
        <w:t xml:space="preserve">   </w:t>
      </w:r>
      <w:r>
        <w:rPr>
          <w:rFonts w:hint="eastAsia" w:asciiTheme="minorEastAsia" w:hAnsiTheme="minorEastAsia" w:eastAsiaTheme="minorEastAsia" w:cstheme="minorEastAsia"/>
          <w:color w:val="auto"/>
          <w:spacing w:val="1"/>
          <w:sz w:val="24"/>
          <w:szCs w:val="24"/>
          <w:highlight w:val="none"/>
        </w:rPr>
        <w:t>的</w:t>
      </w:r>
      <w:r>
        <w:rPr>
          <w:rFonts w:hint="eastAsia" w:asciiTheme="minorEastAsia" w:hAnsiTheme="minorEastAsia" w:eastAsiaTheme="minorEastAsia" w:cstheme="minorEastAsia"/>
          <w:color w:val="auto"/>
          <w:spacing w:val="53"/>
          <w:sz w:val="24"/>
          <w:szCs w:val="24"/>
          <w:highlight w:val="none"/>
          <w:u w:val="single" w:color="222222"/>
        </w:rPr>
        <w:t xml:space="preserve"> </w:t>
      </w:r>
      <w:r>
        <w:rPr>
          <w:rFonts w:hint="eastAsia" w:asciiTheme="minorEastAsia" w:hAnsiTheme="minorEastAsia" w:eastAsiaTheme="minorEastAsia" w:cstheme="minorEastAsia"/>
          <w:color w:val="auto"/>
          <w:spacing w:val="53"/>
          <w:sz w:val="24"/>
          <w:szCs w:val="24"/>
          <w:highlight w:val="none"/>
          <w:u w:val="single" w:color="222222"/>
          <w:lang w:val="en-US" w:eastAsia="zh-CN"/>
        </w:rPr>
        <w:t xml:space="preserve">     </w:t>
      </w:r>
      <w:r>
        <w:rPr>
          <w:rFonts w:hint="eastAsia" w:asciiTheme="minorEastAsia" w:hAnsiTheme="minorEastAsia" w:eastAsiaTheme="minorEastAsia" w:cstheme="minorEastAsia"/>
          <w:color w:val="auto"/>
          <w:spacing w:val="50"/>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采购活动，服务全部由符合政策要求的中小企业承接。相关企业（含联合体中的中小企业、签订分包意向协议的中小企业）的具体情况如下：</w:t>
      </w:r>
    </w:p>
    <w:p w14:paraId="7D98D740">
      <w:pPr>
        <w:pStyle w:val="10"/>
        <w:keepNext w:val="0"/>
        <w:keepLines w:val="0"/>
        <w:pageBreakBefore w:val="0"/>
        <w:widowControl w:val="0"/>
        <w:kinsoku/>
        <w:wordWrap/>
        <w:overflowPunct/>
        <w:topLinePunct w:val="0"/>
        <w:autoSpaceDE/>
        <w:autoSpaceDN/>
        <w:bidi w:val="0"/>
        <w:adjustRightInd/>
        <w:snapToGrid/>
        <w:spacing w:before="240" w:line="360" w:lineRule="auto"/>
        <w:ind w:left="363" w:firstLine="476"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50"/>
          <w:w w:val="101"/>
          <w:sz w:val="24"/>
          <w:szCs w:val="24"/>
          <w:highlight w:val="none"/>
          <w:u w:val="single" w:color="222222"/>
        </w:rPr>
        <w:t xml:space="preserve"> </w:t>
      </w:r>
      <w:r>
        <w:rPr>
          <w:rFonts w:hint="eastAsia" w:asciiTheme="minorEastAsia" w:hAnsiTheme="minorEastAsia" w:eastAsiaTheme="minorEastAsia" w:cstheme="minorEastAsia"/>
          <w:color w:val="auto"/>
          <w:spacing w:val="44"/>
          <w:sz w:val="24"/>
          <w:szCs w:val="24"/>
          <w:highlight w:val="none"/>
          <w:u w:val="single" w:color="222222"/>
        </w:rPr>
        <w:t xml:space="preserve"> </w:t>
      </w:r>
      <w:r>
        <w:rPr>
          <w:rFonts w:hint="eastAsia" w:asciiTheme="minorEastAsia" w:hAnsiTheme="minorEastAsia" w:eastAsiaTheme="minorEastAsia" w:cstheme="minorEastAsia"/>
          <w:color w:val="auto"/>
          <w:spacing w:val="44"/>
          <w:sz w:val="24"/>
          <w:szCs w:val="24"/>
          <w:highlight w:val="none"/>
          <w:u w:val="single" w:color="222222"/>
          <w:lang w:eastAsia="zh-CN"/>
        </w:rPr>
        <w:t>（</w:t>
      </w:r>
      <w:r>
        <w:rPr>
          <w:rFonts w:hint="eastAsia" w:asciiTheme="minorEastAsia" w:hAnsiTheme="minorEastAsia" w:eastAsiaTheme="minorEastAsia" w:cstheme="minorEastAsia"/>
          <w:color w:val="auto"/>
          <w:spacing w:val="44"/>
          <w:sz w:val="24"/>
          <w:szCs w:val="24"/>
          <w:highlight w:val="none"/>
          <w:u w:val="single" w:color="222222"/>
          <w:lang w:val="en-US" w:eastAsia="zh-CN"/>
        </w:rPr>
        <w:t>标的名称</w:t>
      </w:r>
      <w:r>
        <w:rPr>
          <w:rFonts w:hint="eastAsia" w:asciiTheme="minorEastAsia" w:hAnsiTheme="minorEastAsia" w:eastAsiaTheme="minorEastAsia" w:cstheme="minorEastAsia"/>
          <w:color w:val="auto"/>
          <w:spacing w:val="44"/>
          <w:sz w:val="24"/>
          <w:szCs w:val="24"/>
          <w:highlight w:val="none"/>
          <w:u w:val="single" w:color="222222"/>
          <w:lang w:eastAsia="zh-CN"/>
        </w:rPr>
        <w:t>）</w:t>
      </w:r>
      <w:r>
        <w:rPr>
          <w:rFonts w:hint="eastAsia" w:asciiTheme="minorEastAsia" w:hAnsiTheme="minorEastAsia" w:eastAsiaTheme="minorEastAsia" w:cstheme="minorEastAsia"/>
          <w:color w:val="auto"/>
          <w:spacing w:val="22"/>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 xml:space="preserve">， 属 于 </w:t>
      </w:r>
      <w:r>
        <w:rPr>
          <w:rFonts w:hint="eastAsia" w:asciiTheme="minorEastAsia" w:hAnsiTheme="minorEastAsia" w:eastAsiaTheme="minorEastAsia" w:cstheme="minorEastAsia"/>
          <w:color w:val="auto"/>
          <w:spacing w:val="52"/>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u w:val="single" w:color="222222"/>
          <w:lang w:eastAsia="zh-CN"/>
        </w:rPr>
        <w:t>（</w:t>
      </w:r>
      <w:r>
        <w:rPr>
          <w:rFonts w:hint="eastAsia" w:asciiTheme="minorEastAsia" w:hAnsiTheme="minorEastAsia" w:eastAsiaTheme="minorEastAsia" w:cstheme="minorEastAsia"/>
          <w:color w:val="auto"/>
          <w:spacing w:val="-1"/>
          <w:sz w:val="24"/>
          <w:szCs w:val="24"/>
          <w:highlight w:val="none"/>
          <w:u w:val="single" w:color="222222"/>
          <w:lang w:val="en-US" w:eastAsia="zh-CN"/>
        </w:rPr>
        <w:t>所属行业</w:t>
      </w:r>
      <w:r>
        <w:rPr>
          <w:rFonts w:hint="eastAsia" w:asciiTheme="minorEastAsia" w:hAnsiTheme="minorEastAsia" w:eastAsiaTheme="minorEastAsia" w:cstheme="minorEastAsia"/>
          <w:color w:val="auto"/>
          <w:spacing w:val="-1"/>
          <w:sz w:val="24"/>
          <w:szCs w:val="24"/>
          <w:highlight w:val="none"/>
          <w:u w:val="single" w:color="222222"/>
          <w:lang w:eastAsia="zh-CN"/>
        </w:rPr>
        <w:t>）</w:t>
      </w:r>
      <w:r>
        <w:rPr>
          <w:rFonts w:hint="eastAsia" w:asciiTheme="minorEastAsia" w:hAnsiTheme="minorEastAsia" w:eastAsiaTheme="minorEastAsia" w:cstheme="minorEastAsia"/>
          <w:color w:val="auto"/>
          <w:spacing w:val="-1"/>
          <w:sz w:val="24"/>
          <w:szCs w:val="24"/>
          <w:highlight w:val="none"/>
        </w:rPr>
        <w:t>；承接企业为</w:t>
      </w:r>
      <w:r>
        <w:rPr>
          <w:rFonts w:hint="eastAsia" w:asciiTheme="minorEastAsia" w:hAnsiTheme="minorEastAsia" w:eastAsiaTheme="minorEastAsia" w:cstheme="minorEastAsia"/>
          <w:color w:val="auto"/>
          <w:spacing w:val="61"/>
          <w:sz w:val="24"/>
          <w:szCs w:val="24"/>
          <w:highlight w:val="none"/>
          <w:u w:val="single" w:color="222222"/>
        </w:rPr>
        <w:t xml:space="preserve"> </w:t>
      </w:r>
      <w:r>
        <w:rPr>
          <w:rFonts w:hint="eastAsia" w:asciiTheme="minorEastAsia" w:hAnsiTheme="minorEastAsia" w:eastAsiaTheme="minorEastAsia" w:cstheme="minorEastAsia"/>
          <w:color w:val="auto"/>
          <w:spacing w:val="44"/>
          <w:sz w:val="24"/>
          <w:szCs w:val="24"/>
          <w:highlight w:val="none"/>
          <w:u w:val="single" w:color="222222"/>
        </w:rPr>
        <w:t xml:space="preserve"> </w:t>
      </w:r>
      <w:r>
        <w:rPr>
          <w:rFonts w:hint="eastAsia" w:asciiTheme="minorEastAsia" w:hAnsiTheme="minorEastAsia" w:eastAsiaTheme="minorEastAsia" w:cstheme="minorEastAsia"/>
          <w:color w:val="auto"/>
          <w:spacing w:val="-2"/>
          <w:sz w:val="24"/>
          <w:szCs w:val="24"/>
          <w:highlight w:val="none"/>
        </w:rPr>
        <w:t>，从业人员</w:t>
      </w:r>
      <w:r>
        <w:rPr>
          <w:rFonts w:hint="eastAsia" w:asciiTheme="minorEastAsia" w:hAnsiTheme="minorEastAsia" w:eastAsiaTheme="minorEastAsia" w:cstheme="minorEastAsia"/>
          <w:color w:val="auto"/>
          <w:spacing w:val="25"/>
          <w:sz w:val="24"/>
          <w:szCs w:val="24"/>
          <w:highlight w:val="none"/>
        </w:rPr>
        <w:t xml:space="preserve"> </w:t>
      </w:r>
      <w:r>
        <w:rPr>
          <w:rFonts w:hint="eastAsia" w:asciiTheme="minorEastAsia" w:hAnsiTheme="minorEastAsia" w:eastAsiaTheme="minorEastAsia" w:cstheme="minorEastAsia"/>
          <w:color w:val="auto"/>
          <w:spacing w:val="63"/>
          <w:w w:val="101"/>
          <w:sz w:val="24"/>
          <w:szCs w:val="24"/>
          <w:highlight w:val="none"/>
          <w:u w:val="single" w:color="222222"/>
        </w:rPr>
        <w:t xml:space="preserve"> </w:t>
      </w:r>
      <w:r>
        <w:rPr>
          <w:rFonts w:hint="eastAsia" w:asciiTheme="minorEastAsia" w:hAnsiTheme="minorEastAsia" w:eastAsiaTheme="minorEastAsia" w:cstheme="minorEastAsia"/>
          <w:color w:val="auto"/>
          <w:spacing w:val="52"/>
          <w:sz w:val="24"/>
          <w:szCs w:val="24"/>
          <w:highlight w:val="none"/>
          <w:u w:val="single" w:color="222222"/>
        </w:rPr>
        <w:t xml:space="preserve"> </w:t>
      </w:r>
      <w:r>
        <w:rPr>
          <w:rFonts w:hint="eastAsia" w:asciiTheme="minorEastAsia" w:hAnsiTheme="minorEastAsia" w:eastAsiaTheme="minorEastAsia" w:cstheme="minorEastAsia"/>
          <w:color w:val="auto"/>
          <w:spacing w:val="-2"/>
          <w:sz w:val="24"/>
          <w:szCs w:val="24"/>
          <w:highlight w:val="none"/>
        </w:rPr>
        <w:t>人，营业收入</w:t>
      </w:r>
      <w:r>
        <w:rPr>
          <w:rFonts w:hint="eastAsia" w:asciiTheme="minorEastAsia" w:hAnsiTheme="minorEastAsia" w:eastAsiaTheme="minorEastAsia" w:cstheme="minorEastAsia"/>
          <w:color w:val="auto"/>
          <w:spacing w:val="1"/>
          <w:sz w:val="24"/>
          <w:szCs w:val="24"/>
          <w:highlight w:val="none"/>
        </w:rPr>
        <w:t>为</w:t>
      </w:r>
      <w:r>
        <w:rPr>
          <w:rFonts w:hint="eastAsia" w:asciiTheme="minorEastAsia" w:hAnsiTheme="minorEastAsia" w:eastAsiaTheme="minorEastAsia" w:cstheme="minorEastAsia"/>
          <w:color w:val="auto"/>
          <w:spacing w:val="51"/>
          <w:sz w:val="24"/>
          <w:szCs w:val="24"/>
          <w:highlight w:val="none"/>
          <w:u w:val="single" w:color="222222"/>
        </w:rPr>
        <w:t xml:space="preserve"> </w:t>
      </w:r>
      <w:r>
        <w:rPr>
          <w:rFonts w:hint="eastAsia" w:asciiTheme="minorEastAsia" w:hAnsiTheme="minorEastAsia" w:eastAsiaTheme="minorEastAsia" w:cstheme="minorEastAsia"/>
          <w:color w:val="auto"/>
          <w:spacing w:val="55"/>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万元，资产总额为</w:t>
      </w:r>
      <w:r>
        <w:rPr>
          <w:rFonts w:hint="eastAsia" w:asciiTheme="minorEastAsia" w:hAnsiTheme="minorEastAsia" w:eastAsiaTheme="minorEastAsia" w:cstheme="minorEastAsia"/>
          <w:color w:val="auto"/>
          <w:spacing w:val="63"/>
          <w:sz w:val="24"/>
          <w:szCs w:val="24"/>
          <w:highlight w:val="none"/>
          <w:u w:val="single" w:color="222222"/>
        </w:rPr>
        <w:t xml:space="preserve"> </w:t>
      </w:r>
      <w:r>
        <w:rPr>
          <w:rFonts w:hint="eastAsia" w:asciiTheme="minorEastAsia" w:hAnsiTheme="minorEastAsia" w:eastAsiaTheme="minorEastAsia" w:cstheme="minorEastAsia"/>
          <w:color w:val="auto"/>
          <w:spacing w:val="55"/>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万元</w:t>
      </w:r>
      <w:r>
        <w:rPr>
          <w:rFonts w:hint="eastAsia" w:asciiTheme="minorEastAsia" w:hAnsiTheme="minorEastAsia" w:eastAsiaTheme="minorEastAsia" w:cstheme="minorEastAsia"/>
          <w:color w:val="auto"/>
          <w:spacing w:val="-1"/>
          <w:sz w:val="24"/>
          <w:szCs w:val="24"/>
          <w:highlight w:val="none"/>
        </w:rPr>
        <w:t>，属于</w:t>
      </w:r>
      <w:r>
        <w:rPr>
          <w:rFonts w:hint="eastAsia" w:asciiTheme="minorEastAsia" w:hAnsiTheme="minorEastAsia" w:eastAsiaTheme="minorEastAsia" w:cstheme="minorEastAsia"/>
          <w:color w:val="auto"/>
          <w:spacing w:val="76"/>
          <w:sz w:val="24"/>
          <w:szCs w:val="24"/>
          <w:highlight w:val="none"/>
          <w:u w:val="single" w:color="222222"/>
        </w:rPr>
        <w:t xml:space="preserve"> </w:t>
      </w:r>
      <w:r>
        <w:rPr>
          <w:rFonts w:hint="eastAsia" w:asciiTheme="minorEastAsia" w:hAnsiTheme="minorEastAsia" w:eastAsiaTheme="minorEastAsia" w:cstheme="minorEastAsia"/>
          <w:color w:val="auto"/>
          <w:spacing w:val="45"/>
          <w:sz w:val="24"/>
          <w:szCs w:val="24"/>
          <w:highlight w:val="none"/>
          <w:u w:val="single" w:color="222222"/>
        </w:rPr>
        <w:t xml:space="preserve"> </w:t>
      </w:r>
      <w:r>
        <w:rPr>
          <w:rFonts w:hint="eastAsia" w:asciiTheme="minorEastAsia" w:hAnsiTheme="minorEastAsia" w:eastAsiaTheme="minorEastAsia" w:cstheme="minorEastAsia"/>
          <w:color w:val="auto"/>
          <w:spacing w:val="-1"/>
          <w:sz w:val="24"/>
          <w:szCs w:val="24"/>
          <w:highlight w:val="none"/>
        </w:rPr>
        <w:t>；</w:t>
      </w:r>
    </w:p>
    <w:p w14:paraId="30BFBE66">
      <w:pPr>
        <w:pStyle w:val="10"/>
        <w:keepNext w:val="0"/>
        <w:keepLines w:val="0"/>
        <w:pageBreakBefore w:val="0"/>
        <w:widowControl w:val="0"/>
        <w:kinsoku/>
        <w:wordWrap/>
        <w:overflowPunct/>
        <w:topLinePunct w:val="0"/>
        <w:autoSpaceDE/>
        <w:autoSpaceDN/>
        <w:bidi w:val="0"/>
        <w:adjustRightInd/>
        <w:snapToGrid/>
        <w:spacing w:before="78" w:line="360" w:lineRule="auto"/>
        <w:ind w:right="284" w:firstLine="484" w:firstLineChars="200"/>
        <w:textAlignment w:val="auto"/>
        <w:outlineLvl w:val="9"/>
        <w:rPr>
          <w:rFonts w:hint="eastAsia" w:asciiTheme="minorEastAsia" w:hAnsiTheme="minorEastAsia" w:eastAsiaTheme="minorEastAsia" w:cstheme="minorEastAsia"/>
          <w:color w:val="auto"/>
          <w:spacing w:val="1"/>
          <w:sz w:val="24"/>
          <w:szCs w:val="24"/>
          <w:highlight w:val="none"/>
        </w:rPr>
      </w:pPr>
    </w:p>
    <w:p w14:paraId="5D155259">
      <w:pPr>
        <w:pStyle w:val="10"/>
        <w:keepNext w:val="0"/>
        <w:keepLines w:val="0"/>
        <w:pageBreakBefore w:val="0"/>
        <w:widowControl w:val="0"/>
        <w:kinsoku/>
        <w:wordWrap/>
        <w:overflowPunct/>
        <w:topLinePunct w:val="0"/>
        <w:autoSpaceDE/>
        <w:autoSpaceDN/>
        <w:bidi w:val="0"/>
        <w:adjustRightInd/>
        <w:snapToGrid/>
        <w:spacing w:before="78" w:line="360" w:lineRule="auto"/>
        <w:ind w:right="284" w:firstLine="484" w:firstLineChars="200"/>
        <w:textAlignment w:val="auto"/>
        <w:outlineLvl w:val="9"/>
        <w:rPr>
          <w:rFonts w:hint="eastAsia" w:asciiTheme="minorEastAsia" w:hAnsiTheme="minorEastAsia" w:eastAsiaTheme="minorEastAsia" w:cstheme="minorEastAsia"/>
          <w:color w:val="auto"/>
          <w:spacing w:val="1"/>
          <w:sz w:val="24"/>
          <w:szCs w:val="24"/>
          <w:highlight w:val="none"/>
        </w:rPr>
      </w:pPr>
    </w:p>
    <w:p w14:paraId="0D5688E3">
      <w:pPr>
        <w:pStyle w:val="10"/>
        <w:keepNext w:val="0"/>
        <w:keepLines w:val="0"/>
        <w:pageBreakBefore w:val="0"/>
        <w:widowControl w:val="0"/>
        <w:kinsoku/>
        <w:wordWrap/>
        <w:overflowPunct/>
        <w:topLinePunct w:val="0"/>
        <w:autoSpaceDE/>
        <w:autoSpaceDN/>
        <w:bidi w:val="0"/>
        <w:adjustRightInd/>
        <w:snapToGrid/>
        <w:spacing w:before="78" w:line="360" w:lineRule="auto"/>
        <w:ind w:right="284"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pict>
          <v:shape id="_x0000_s1027" o:spid="_x0000_s1027" o:spt="136" type="#_x0000_t136" style="position:absolute;left:0pt;margin-left:61.85pt;margin-top:102.25pt;height:10.05pt;width:343.9pt;rotation:20643840f;z-index:251660288;mso-width-relative:page;mso-height-relative:page;" fillcolor="#FFCCCC" filled="t" stroked="f" coordsize="21600,21600">
            <v:path/>
            <v:fill on="t" opacity="52429f" focussize="0,0"/>
            <v:stroke on="f"/>
            <v:imagedata o:title=""/>
            <o:lock v:ext="edit"/>
            <v:textpath on="t" fitshape="t" fitpath="t" trim="t" xscale="f" string="四川政府采购一体化平台 N5101072024000036 第 (1) 包 2024-03-18 11:20:12" style="font-family:SimHei;font-size:8pt;v-text-align:center;"/>
          </v:shape>
        </w:pict>
      </w:r>
      <w:r>
        <w:rPr>
          <w:rFonts w:hint="eastAsia" w:asciiTheme="minorEastAsia" w:hAnsiTheme="minorEastAsia" w:eastAsiaTheme="minorEastAsia" w:cstheme="minorEastAsia"/>
          <w:color w:val="auto"/>
          <w:spacing w:val="1"/>
          <w:sz w:val="24"/>
          <w:szCs w:val="24"/>
          <w:highlight w:val="none"/>
        </w:rPr>
        <w:t>以上企业，不属于大企业的分支机构，不存在控股股东为大企业的情形，也不存在与大企业的负责人为同一人的情形。</w:t>
      </w:r>
      <w:r>
        <w:rPr>
          <w:rFonts w:hint="eastAsia" w:asciiTheme="minorEastAsia" w:hAnsiTheme="minorEastAsia" w:eastAsiaTheme="minorEastAsia" w:cstheme="minorEastAsia"/>
          <w:color w:val="auto"/>
          <w:spacing w:val="7"/>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本企业对上述声明内容的真实性负责。如有虚假，将依法承担相应责任。</w:t>
      </w:r>
    </w:p>
    <w:p w14:paraId="37A7A660">
      <w:pPr>
        <w:keepNext w:val="0"/>
        <w:keepLines w:val="0"/>
        <w:pageBreakBefore w:val="0"/>
        <w:widowControl w:val="0"/>
        <w:kinsoku/>
        <w:wordWrap/>
        <w:overflowPunct/>
        <w:topLinePunct w:val="0"/>
        <w:bidi w:val="0"/>
        <w:snapToGrid/>
        <w:spacing w:line="2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429097BB">
      <w:pPr>
        <w:keepNext w:val="0"/>
        <w:keepLines w:val="0"/>
        <w:pageBreakBefore w:val="0"/>
        <w:widowControl w:val="0"/>
        <w:kinsoku/>
        <w:wordWrap/>
        <w:overflowPunct/>
        <w:topLinePunct w:val="0"/>
        <w:bidi w:val="0"/>
        <w:snapToGrid/>
        <w:spacing w:line="26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4EAA2378">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法定代表人/单位负责人签字或者加盖个人私章：XXXX</w:t>
      </w:r>
    </w:p>
    <w:p w14:paraId="4DADFA9F">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授权代表签字：XXXX</w:t>
      </w:r>
    </w:p>
    <w:p w14:paraId="41904D71">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供应商名称：XXXX（盖章）</w:t>
      </w:r>
    </w:p>
    <w:p w14:paraId="273E2757">
      <w:pPr>
        <w:keepNext w:val="0"/>
        <w:keepLines w:val="0"/>
        <w:pageBreakBefore w:val="0"/>
        <w:widowControl w:val="0"/>
        <w:kinsoku/>
        <w:wordWrap/>
        <w:overflowPunct/>
        <w:topLinePunct w:val="0"/>
        <w:bidi w:val="0"/>
        <w:snapToGrid/>
        <w:spacing w:line="500" w:lineRule="exact"/>
        <w:ind w:firstLine="480" w:firstLineChars="200"/>
        <w:textAlignment w:val="auto"/>
        <w:outlineLvl w:val="9"/>
        <w:rPr>
          <w:rFonts w:hint="eastAsia" w:asciiTheme="minorEastAsia" w:hAnsiTheme="minorEastAsia" w:eastAsiaTheme="minorEastAsia" w:cstheme="minorEastAsia"/>
          <w:bCs/>
          <w:color w:val="auto"/>
          <w:sz w:val="24"/>
          <w:szCs w:val="28"/>
          <w:highlight w:val="none"/>
        </w:rPr>
      </w:pPr>
      <w:r>
        <w:rPr>
          <w:rFonts w:hint="eastAsia" w:asciiTheme="minorEastAsia" w:hAnsiTheme="minorEastAsia" w:eastAsiaTheme="minorEastAsia" w:cstheme="minorEastAsia"/>
          <w:color w:val="auto"/>
          <w:sz w:val="24"/>
          <w:szCs w:val="24"/>
          <w:highlight w:val="none"/>
        </w:rPr>
        <w:t>日    期：XXX年XXX月XXX日</w:t>
      </w:r>
    </w:p>
    <w:p w14:paraId="0002B153">
      <w:pPr>
        <w:keepNext w:val="0"/>
        <w:keepLines w:val="0"/>
        <w:pageBreakBefore w:val="0"/>
        <w:widowControl w:val="0"/>
        <w:kinsoku/>
        <w:wordWrap/>
        <w:overflowPunct/>
        <w:topLinePunct w:val="0"/>
        <w:bidi w:val="0"/>
        <w:snapToGrid/>
        <w:spacing w:line="300" w:lineRule="auto"/>
        <w:ind w:firstLine="480" w:firstLineChars="200"/>
        <w:textAlignment w:val="auto"/>
        <w:outlineLvl w:val="9"/>
        <w:rPr>
          <w:rFonts w:hint="eastAsia" w:asciiTheme="minorEastAsia" w:hAnsiTheme="minorEastAsia" w:eastAsiaTheme="minorEastAsia" w:cstheme="minorEastAsia"/>
          <w:color w:val="auto"/>
          <w:sz w:val="24"/>
          <w:szCs w:val="24"/>
          <w:highlight w:val="none"/>
        </w:rPr>
      </w:pPr>
    </w:p>
    <w:p w14:paraId="2C518836">
      <w:pPr>
        <w:pStyle w:val="10"/>
        <w:keepNext w:val="0"/>
        <w:keepLines w:val="0"/>
        <w:pageBreakBefore w:val="0"/>
        <w:widowControl w:val="0"/>
        <w:kinsoku/>
        <w:wordWrap/>
        <w:overflowPunct/>
        <w:topLinePunct w:val="0"/>
        <w:bidi w:val="0"/>
        <w:snapToGrid/>
        <w:spacing w:before="56" w:line="226" w:lineRule="auto"/>
        <w:ind w:left="351" w:firstLine="436"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注：</w:t>
      </w:r>
    </w:p>
    <w:p w14:paraId="2A2C6647">
      <w:pPr>
        <w:pStyle w:val="10"/>
        <w:keepNext w:val="0"/>
        <w:keepLines w:val="0"/>
        <w:pageBreakBefore w:val="0"/>
        <w:widowControl w:val="0"/>
        <w:kinsoku/>
        <w:wordWrap/>
        <w:overflowPunct/>
        <w:topLinePunct w:val="0"/>
        <w:bidi w:val="0"/>
        <w:snapToGrid/>
        <w:spacing w:before="136" w:line="298" w:lineRule="auto"/>
        <w:ind w:left="12" w:right="7" w:firstLine="488"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1、供应商根据《工业和信息化部、国家统计局、国家发展和改革委员会、</w:t>
      </w:r>
      <w:r>
        <w:rPr>
          <w:rFonts w:hint="eastAsia" w:asciiTheme="minorEastAsia" w:hAnsiTheme="minorEastAsia" w:eastAsiaTheme="minorEastAsia" w:cstheme="minorEastAsia"/>
          <w:color w:val="auto"/>
          <w:spacing w:val="1"/>
          <w:sz w:val="24"/>
          <w:szCs w:val="24"/>
          <w:highlight w:val="none"/>
        </w:rPr>
        <w:t>财政部关于印发中小企业划型标准规定的通知》</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（工信部联企业〔2011〕300号）规定，结合自身实际，确定对应的中小企业划型。</w:t>
      </w:r>
    </w:p>
    <w:p w14:paraId="308498B5">
      <w:pPr>
        <w:pStyle w:val="10"/>
        <w:keepNext w:val="0"/>
        <w:keepLines w:val="0"/>
        <w:pageBreakBefore w:val="0"/>
        <w:widowControl w:val="0"/>
        <w:kinsoku/>
        <w:wordWrap/>
        <w:overflowPunct/>
        <w:topLinePunct w:val="0"/>
        <w:bidi w:val="0"/>
        <w:snapToGrid/>
        <w:spacing w:before="140" w:line="298" w:lineRule="auto"/>
        <w:ind w:left="8" w:firstLine="488"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2、从业人员、营业收入、资产总额填报上一年度数据，无上一年度数据的新成立企业从业人员、营业收入、资产总</w:t>
      </w:r>
      <w:r>
        <w:rPr>
          <w:rFonts w:hint="eastAsia" w:asciiTheme="minorEastAsia" w:hAnsiTheme="minorEastAsia" w:eastAsiaTheme="minorEastAsia" w:cstheme="minorEastAsia"/>
          <w:color w:val="auto"/>
          <w:spacing w:val="1"/>
          <w:sz w:val="24"/>
          <w:szCs w:val="24"/>
          <w:highlight w:val="none"/>
        </w:rPr>
        <w:t>额均填</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0，根据提交投标（响应）文件时的实际情况填写</w:t>
      </w:r>
      <w:r>
        <w:rPr>
          <w:rFonts w:hint="eastAsia" w:asciiTheme="minorEastAsia" w:hAnsiTheme="minorEastAsia" w:eastAsiaTheme="minorEastAsia" w:cstheme="minorEastAsia"/>
          <w:color w:val="auto"/>
          <w:sz w:val="24"/>
          <w:szCs w:val="24"/>
          <w:highlight w:val="none"/>
        </w:rPr>
        <w:t>企业类型。</w:t>
      </w:r>
    </w:p>
    <w:p w14:paraId="6E7C920A">
      <w:pPr>
        <w:pStyle w:val="10"/>
        <w:keepNext w:val="0"/>
        <w:keepLines w:val="0"/>
        <w:pageBreakBefore w:val="0"/>
        <w:widowControl w:val="0"/>
        <w:kinsoku/>
        <w:wordWrap/>
        <w:overflowPunct/>
        <w:topLinePunct w:val="0"/>
        <w:bidi w:val="0"/>
        <w:snapToGrid/>
        <w:spacing w:before="140" w:line="222" w:lineRule="auto"/>
        <w:ind w:left="354" w:firstLine="484"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3、联合体中的中小企业、签订分包意向协议的中小企业应逐一列明具体情况。</w:t>
      </w:r>
    </w:p>
    <w:p w14:paraId="74CB506E">
      <w:pPr>
        <w:pStyle w:val="10"/>
        <w:keepNext w:val="0"/>
        <w:keepLines w:val="0"/>
        <w:pageBreakBefore w:val="0"/>
        <w:widowControl w:val="0"/>
        <w:kinsoku/>
        <w:wordWrap/>
        <w:overflowPunct/>
        <w:topLinePunct w:val="0"/>
        <w:bidi w:val="0"/>
        <w:snapToGrid/>
        <w:spacing w:before="140" w:line="221" w:lineRule="auto"/>
        <w:ind w:left="350" w:firstLine="480" w:firstLineChars="200"/>
        <w:textAlignment w:val="auto"/>
        <w:outlineLvl w:val="9"/>
        <w:rPr>
          <w:color w:val="auto"/>
          <w:highlight w:val="none"/>
        </w:rPr>
      </w:pPr>
      <w:r>
        <w:rPr>
          <w:rFonts w:hint="eastAsia" w:asciiTheme="minorEastAsia" w:hAnsiTheme="minorEastAsia" w:eastAsiaTheme="minorEastAsia" w:cstheme="minorEastAsia"/>
          <w:color w:val="auto"/>
          <w:sz w:val="24"/>
          <w:szCs w:val="24"/>
          <w:highlight w:val="none"/>
        </w:rPr>
        <w:t>4、供应商不属于中小企业的，无需提供此声明。</w:t>
      </w:r>
    </w:p>
    <w:p w14:paraId="4D9BA487">
      <w:pPr>
        <w:kinsoku/>
        <w:overflowPunct/>
        <w:bidi w:val="0"/>
        <w:ind w:firstLine="643" w:firstLineChars="200"/>
        <w:rPr>
          <w:rFonts w:hint="eastAsia" w:asciiTheme="minorEastAsia" w:hAnsiTheme="minorEastAsia" w:eastAsiaTheme="minorEastAsia" w:cstheme="minorEastAsia"/>
          <w:b/>
          <w:color w:val="auto"/>
          <w:sz w:val="32"/>
          <w:szCs w:val="32"/>
          <w:highlight w:val="none"/>
          <w:lang w:val="en-US" w:eastAsia="zh-CN"/>
        </w:rPr>
      </w:pPr>
    </w:p>
    <w:p w14:paraId="4B7AF5BD">
      <w:pPr>
        <w:pStyle w:val="3"/>
        <w:kinsoku/>
        <w:overflowPunct/>
        <w:bidi w:val="0"/>
        <w:ind w:firstLine="643" w:firstLineChars="200"/>
        <w:rPr>
          <w:rFonts w:hint="eastAsia" w:asciiTheme="minorEastAsia" w:hAnsiTheme="minorEastAsia" w:eastAsiaTheme="minorEastAsia" w:cstheme="minorEastAsia"/>
          <w:b/>
          <w:bCs w:val="0"/>
          <w:color w:val="auto"/>
          <w:sz w:val="32"/>
          <w:szCs w:val="32"/>
          <w:highlight w:val="none"/>
          <w:lang w:val="en-US" w:eastAsia="zh-CN" w:bidi="ar-SA"/>
        </w:rPr>
      </w:pPr>
      <w:r>
        <w:rPr>
          <w:rFonts w:hint="eastAsia" w:asciiTheme="minorEastAsia" w:hAnsiTheme="minorEastAsia" w:eastAsiaTheme="minorEastAsia" w:cstheme="minorEastAsia"/>
          <w:b/>
          <w:bCs w:val="0"/>
          <w:color w:val="auto"/>
          <w:sz w:val="32"/>
          <w:szCs w:val="32"/>
          <w:highlight w:val="none"/>
          <w:lang w:val="en-US" w:eastAsia="zh-CN" w:bidi="ar-SA"/>
        </w:rPr>
        <w:t>八、残疾人福利性单位声明函</w:t>
      </w:r>
    </w:p>
    <w:p w14:paraId="7D9E0740">
      <w:pPr>
        <w:widowControl/>
        <w:kinsoku/>
        <w:overflowPunct/>
        <w:bidi w:val="0"/>
        <w:spacing w:before="100" w:beforeAutospacing="1" w:after="100" w:afterAutospacing="1" w:line="432" w:lineRule="auto"/>
        <w:ind w:firstLine="480" w:firstLineChars="200"/>
        <w:jc w:val="left"/>
        <w:rPr>
          <w:rFonts w:hint="eastAsia" w:hAnsi="宋体" w:cs="宋体"/>
          <w:color w:val="auto"/>
          <w:sz w:val="24"/>
          <w:highlight w:val="none"/>
        </w:rPr>
      </w:pPr>
      <w:r>
        <w:rPr>
          <w:rFonts w:hint="eastAsia" w:hAnsi="宋体" w:cs="宋体"/>
          <w:color w:val="auto"/>
          <w:sz w:val="24"/>
          <w:highlight w:val="none"/>
        </w:rPr>
        <w:t> </w:t>
      </w:r>
    </w:p>
    <w:p w14:paraId="6AA64A4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highlight w:val="none"/>
        </w:rPr>
      </w:pPr>
      <w:r>
        <w:rPr>
          <w:rFonts w:hint="eastAsia"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hAnsi="宋体" w:cs="宋体"/>
          <w:color w:val="auto"/>
          <w:sz w:val="24"/>
          <w:highlight w:val="none"/>
          <w:u w:val="single"/>
        </w:rPr>
        <w:t xml:space="preserve">          </w:t>
      </w:r>
      <w:r>
        <w:rPr>
          <w:rFonts w:hint="eastAsia" w:hAnsi="宋体" w:cs="宋体"/>
          <w:color w:val="auto"/>
          <w:sz w:val="24"/>
          <w:highlight w:val="none"/>
        </w:rPr>
        <w:t>的</w:t>
      </w:r>
      <w:r>
        <w:rPr>
          <w:rFonts w:hint="eastAsia" w:hAnsi="宋体" w:cs="宋体"/>
          <w:color w:val="auto"/>
          <w:sz w:val="24"/>
          <w:highlight w:val="none"/>
          <w:u w:val="single"/>
        </w:rPr>
        <w:t xml:space="preserve">                           </w:t>
      </w:r>
      <w:r>
        <w:rPr>
          <w:rFonts w:hint="eastAsia"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3597F7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r>
        <w:rPr>
          <w:rFonts w:hint="eastAsia" w:hAnsi="宋体" w:cs="宋体"/>
          <w:color w:val="auto"/>
          <w:sz w:val="24"/>
          <w:highlight w:val="none"/>
        </w:rPr>
        <w:t>本单位对上述声明的真实性负责。如有虚假，将依法承担相应责任。</w:t>
      </w:r>
    </w:p>
    <w:p w14:paraId="1A1BED8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p>
    <w:p w14:paraId="52531D8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p>
    <w:p w14:paraId="33CD90D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p>
    <w:p w14:paraId="4F99834F">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p>
    <w:p w14:paraId="4F59EE93">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r>
        <w:rPr>
          <w:rFonts w:hint="eastAsia" w:hAnsi="宋体" w:cs="宋体"/>
          <w:color w:val="auto"/>
          <w:sz w:val="24"/>
          <w:highlight w:val="none"/>
        </w:rPr>
        <w:t>　　</w:t>
      </w:r>
    </w:p>
    <w:p w14:paraId="53E5DE9F">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hAnsi="宋体" w:cs="宋体"/>
          <w:color w:val="auto"/>
          <w:sz w:val="24"/>
          <w:highlight w:val="none"/>
        </w:rPr>
      </w:pPr>
      <w:r>
        <w:rPr>
          <w:rFonts w:hint="eastAsia" w:hAnsi="宋体" w:cs="宋体"/>
          <w:color w:val="auto"/>
          <w:sz w:val="24"/>
          <w:highlight w:val="none"/>
        </w:rPr>
        <w:t>单位名称：           （盖单位公章）</w:t>
      </w:r>
    </w:p>
    <w:p w14:paraId="1F5BEBC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2"/>
          <w:highlight w:val="none"/>
          <w:lang w:val="en-US" w:eastAsia="zh-CN" w:bidi="ar-SA"/>
        </w:rPr>
      </w:pPr>
      <w:r>
        <w:rPr>
          <w:rFonts w:hint="eastAsia" w:ascii="宋体" w:hAnsi="宋体" w:eastAsia="宋体" w:cs="宋体"/>
          <w:b w:val="0"/>
          <w:bCs w:val="0"/>
          <w:color w:val="auto"/>
          <w:sz w:val="24"/>
          <w:szCs w:val="22"/>
          <w:highlight w:val="none"/>
          <w:lang w:val="en-US" w:eastAsia="zh-CN" w:bidi="ar-SA"/>
        </w:rPr>
        <w:t>法定代表人/单位负责人或授权代表（签字或加盖个人名章）：XXXX</w:t>
      </w:r>
    </w:p>
    <w:p w14:paraId="6EB2D493">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hAnsi="宋体" w:cs="宋体"/>
          <w:color w:val="auto"/>
          <w:sz w:val="24"/>
          <w:highlight w:val="none"/>
        </w:rPr>
      </w:pPr>
      <w:r>
        <w:rPr>
          <w:rFonts w:hint="eastAsia" w:hAnsi="宋体" w:cs="宋体"/>
          <w:color w:val="auto"/>
          <w:sz w:val="24"/>
          <w:highlight w:val="none"/>
        </w:rPr>
        <w:t>日      期：</w:t>
      </w:r>
    </w:p>
    <w:p w14:paraId="0DA78749">
      <w:pPr>
        <w:kinsoku/>
        <w:overflowPunct/>
        <w:bidi w:val="0"/>
        <w:ind w:firstLine="480" w:firstLineChars="200"/>
        <w:jc w:val="left"/>
        <w:rPr>
          <w:rFonts w:hint="eastAsia" w:hAnsi="宋体" w:cs="宋体"/>
          <w:color w:val="auto"/>
          <w:sz w:val="24"/>
          <w:highlight w:val="none"/>
        </w:rPr>
      </w:pPr>
    </w:p>
    <w:p w14:paraId="55F87689">
      <w:pPr>
        <w:kinsoku/>
        <w:overflowPunct/>
        <w:bidi w:val="0"/>
        <w:ind w:firstLine="480" w:firstLineChars="200"/>
        <w:jc w:val="left"/>
        <w:rPr>
          <w:rFonts w:hint="eastAsia" w:hAnsi="宋体" w:cs="宋体"/>
          <w:color w:val="auto"/>
          <w:sz w:val="24"/>
          <w:highlight w:val="none"/>
        </w:rPr>
      </w:pPr>
    </w:p>
    <w:p w14:paraId="22D9EA95">
      <w:pPr>
        <w:pStyle w:val="74"/>
        <w:numPr>
          <w:ilvl w:val="0"/>
          <w:numId w:val="0"/>
        </w:numPr>
        <w:kinsoku/>
        <w:overflowPunct/>
        <w:bidi w:val="0"/>
        <w:spacing w:before="156" w:after="156"/>
        <w:ind w:firstLine="643" w:firstLineChars="200"/>
        <w:outlineLvl w:val="1"/>
        <w:rPr>
          <w:rFonts w:hint="eastAsia" w:hAnsi="宋体" w:cs="宋体"/>
          <w:bCs/>
          <w:color w:val="auto"/>
          <w:sz w:val="32"/>
          <w:szCs w:val="32"/>
          <w:highlight w:val="none"/>
        </w:rPr>
      </w:pPr>
      <w:bookmarkStart w:id="117" w:name="_Toc6783"/>
      <w:bookmarkStart w:id="118" w:name="_Toc25706"/>
      <w:bookmarkStart w:id="119" w:name="_Toc29719"/>
      <w:bookmarkStart w:id="120" w:name="_Toc28946"/>
      <w:r>
        <w:rPr>
          <w:rFonts w:hint="eastAsia" w:hAnsi="宋体" w:cs="宋体"/>
          <w:bCs/>
          <w:color w:val="auto"/>
          <w:sz w:val="32"/>
          <w:szCs w:val="32"/>
          <w:highlight w:val="none"/>
          <w:lang w:val="en-US" w:eastAsia="zh-CN"/>
        </w:rPr>
        <w:t>九</w:t>
      </w:r>
      <w:r>
        <w:rPr>
          <w:rFonts w:hint="eastAsia" w:hAnsi="宋体" w:cs="宋体"/>
          <w:bCs/>
          <w:color w:val="auto"/>
          <w:sz w:val="32"/>
          <w:szCs w:val="32"/>
          <w:highlight w:val="none"/>
        </w:rPr>
        <w:t>、监狱企业相关证明材料(如涉及)</w:t>
      </w:r>
      <w:bookmarkEnd w:id="117"/>
      <w:bookmarkEnd w:id="118"/>
      <w:bookmarkEnd w:id="119"/>
      <w:bookmarkEnd w:id="120"/>
    </w:p>
    <w:p w14:paraId="447A669E">
      <w:pPr>
        <w:pStyle w:val="75"/>
        <w:keepNext w:val="0"/>
        <w:keepLines w:val="0"/>
        <w:pageBreakBefore w:val="0"/>
        <w:widowControl w:val="0"/>
        <w:kinsoku/>
        <w:overflowPunct/>
        <w:autoSpaceDE/>
        <w:autoSpaceDN/>
        <w:bidi w:val="0"/>
        <w:adjustRightInd/>
        <w:snapToGrid/>
        <w:spacing w:line="360" w:lineRule="auto"/>
        <w:ind w:firstLine="480" w:firstLineChars="200"/>
        <w:textAlignment w:val="auto"/>
        <w:rPr>
          <w:rFonts w:hint="eastAsia" w:hAnsi="宋体" w:cs="宋体"/>
          <w:b w:val="0"/>
          <w:bCs/>
          <w:color w:val="auto"/>
          <w:sz w:val="24"/>
          <w:szCs w:val="24"/>
          <w:highlight w:val="none"/>
        </w:rPr>
      </w:pPr>
      <w:r>
        <w:rPr>
          <w:rFonts w:hint="eastAsia" w:hAnsi="宋体" w:cs="宋体"/>
          <w:b w:val="0"/>
          <w:bCs/>
          <w:color w:val="auto"/>
          <w:sz w:val="24"/>
          <w:szCs w:val="24"/>
          <w:highlight w:val="none"/>
        </w:rPr>
        <w:t>说明：</w:t>
      </w:r>
    </w:p>
    <w:p w14:paraId="76E87C0F">
      <w:pPr>
        <w:pStyle w:val="75"/>
        <w:keepNext w:val="0"/>
        <w:keepLines w:val="0"/>
        <w:pageBreakBefore w:val="0"/>
        <w:widowControl w:val="0"/>
        <w:kinsoku/>
        <w:overflowPunct/>
        <w:autoSpaceDE/>
        <w:autoSpaceDN/>
        <w:bidi w:val="0"/>
        <w:adjustRightInd/>
        <w:snapToGrid/>
        <w:spacing w:line="360" w:lineRule="auto"/>
        <w:ind w:firstLine="480" w:firstLineChars="200"/>
        <w:textAlignment w:val="auto"/>
        <w:rPr>
          <w:rFonts w:hint="eastAsia" w:hAnsi="宋体" w:cs="宋体"/>
          <w:b w:val="0"/>
          <w:bCs/>
          <w:color w:val="auto"/>
          <w:sz w:val="24"/>
          <w:szCs w:val="24"/>
          <w:highlight w:val="none"/>
        </w:rPr>
      </w:pPr>
      <w:r>
        <w:rPr>
          <w:rFonts w:hint="eastAsia" w:hAnsi="宋体" w:cs="宋体"/>
          <w:b w:val="0"/>
          <w:bCs/>
          <w:color w:val="auto"/>
          <w:sz w:val="24"/>
          <w:szCs w:val="24"/>
          <w:highlight w:val="none"/>
        </w:rPr>
        <w:t>①监狱企业参加采购活动时，应当提供由省级以上监狱管理局、戒毒管理局(含新疆生产建设兵团)出具的属于监狱企业的证明文件。</w:t>
      </w:r>
    </w:p>
    <w:p w14:paraId="38AA66A3">
      <w:pPr>
        <w:pStyle w:val="10"/>
        <w:keepNext w:val="0"/>
        <w:keepLines w:val="0"/>
        <w:pageBreakBefore w:val="0"/>
        <w:widowControl w:val="0"/>
        <w:kinsoku/>
        <w:overflowPunct/>
        <w:autoSpaceDE/>
        <w:autoSpaceDN/>
        <w:bidi w:val="0"/>
        <w:adjustRightInd/>
        <w:snapToGrid/>
        <w:spacing w:line="360" w:lineRule="auto"/>
        <w:ind w:firstLine="480" w:firstLineChars="200"/>
        <w:textAlignment w:val="auto"/>
        <w:rPr>
          <w:rFonts w:hint="eastAsia"/>
          <w:color w:val="auto"/>
          <w:highlight w:val="none"/>
        </w:rPr>
      </w:pPr>
      <w:r>
        <w:rPr>
          <w:rFonts w:hint="eastAsia" w:hAnsi="宋体" w:cs="宋体"/>
          <w:bCs/>
          <w:color w:val="auto"/>
          <w:sz w:val="24"/>
          <w:szCs w:val="24"/>
          <w:highlight w:val="none"/>
        </w:rPr>
        <w:t>②监狱企业参加本次采购活动未提供监狱企业相关证明材料的，其投标文件无效。</w:t>
      </w:r>
    </w:p>
    <w:p w14:paraId="0F8B196E">
      <w:pPr>
        <w:keepNext w:val="0"/>
        <w:keepLines w:val="0"/>
        <w:pageBreakBefore w:val="0"/>
        <w:widowControl w:val="0"/>
        <w:kinsoku/>
        <w:overflowPunct/>
        <w:autoSpaceDE/>
        <w:autoSpaceDN/>
        <w:bidi w:val="0"/>
        <w:adjustRightInd/>
        <w:snapToGrid/>
        <w:spacing w:line="360" w:lineRule="auto"/>
        <w:ind w:firstLine="643" w:firstLineChars="200"/>
        <w:textAlignment w:val="auto"/>
        <w:rPr>
          <w:rFonts w:hint="eastAsia" w:asciiTheme="minorEastAsia" w:hAnsiTheme="minorEastAsia" w:eastAsiaTheme="minorEastAsia" w:cstheme="minorEastAsia"/>
          <w:b/>
          <w:color w:val="auto"/>
          <w:sz w:val="32"/>
          <w:szCs w:val="32"/>
          <w:highlight w:val="none"/>
          <w:lang w:val="en-US" w:eastAsia="zh-CN"/>
        </w:rPr>
      </w:pPr>
      <w:r>
        <w:rPr>
          <w:rFonts w:hint="eastAsia" w:asciiTheme="minorEastAsia" w:hAnsiTheme="minorEastAsia" w:eastAsiaTheme="minorEastAsia" w:cstheme="minorEastAsia"/>
          <w:b/>
          <w:color w:val="auto"/>
          <w:sz w:val="32"/>
          <w:szCs w:val="32"/>
          <w:highlight w:val="none"/>
          <w:lang w:val="en-US" w:eastAsia="zh-CN"/>
        </w:rPr>
        <w:br w:type="page"/>
      </w:r>
    </w:p>
    <w:p w14:paraId="5EA5336A">
      <w:pPr>
        <w:kinsoku/>
        <w:overflowPunct/>
        <w:bidi w:val="0"/>
        <w:ind w:firstLine="562" w:firstLineChars="200"/>
        <w:rPr>
          <w:rFonts w:hint="eastAsia" w:asciiTheme="minorEastAsia" w:hAnsiTheme="minorEastAsia" w:eastAsiaTheme="minorEastAsia" w:cstheme="minorEastAsia"/>
          <w:b/>
          <w:bCs/>
          <w:color w:val="auto"/>
          <w:sz w:val="28"/>
          <w:szCs w:val="28"/>
          <w:highlight w:val="none"/>
          <w:lang w:val="en-US" w:eastAsia="zh-CN"/>
        </w:rPr>
      </w:pPr>
      <w:bookmarkStart w:id="121" w:name="_Toc9682_WPSOffice_Level1"/>
    </w:p>
    <w:p w14:paraId="7191AC1A">
      <w:pPr>
        <w:pStyle w:val="10"/>
        <w:keepNext w:val="0"/>
        <w:keepLines w:val="0"/>
        <w:pageBreakBefore w:val="0"/>
        <w:widowControl w:val="0"/>
        <w:kinsoku/>
        <w:wordWrap/>
        <w:overflowPunct/>
        <w:topLinePunct w:val="0"/>
        <w:autoSpaceDE/>
        <w:autoSpaceDN/>
        <w:bidi w:val="0"/>
        <w:adjustRightInd/>
        <w:snapToGrid/>
        <w:ind w:firstLine="562" w:firstLineChars="200"/>
        <w:jc w:val="center"/>
        <w:textAlignment w:val="auto"/>
        <w:outlineLvl w:val="1"/>
        <w:rPr>
          <w:rFonts w:hint="eastAsia"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十</w:t>
      </w:r>
      <w:r>
        <w:rPr>
          <w:rFonts w:hint="eastAsia" w:asciiTheme="minorEastAsia" w:hAnsiTheme="minorEastAsia" w:eastAsiaTheme="minorEastAsia" w:cstheme="minorEastAsia"/>
          <w:b/>
          <w:bCs/>
          <w:color w:val="auto"/>
          <w:sz w:val="28"/>
          <w:szCs w:val="28"/>
          <w:highlight w:val="none"/>
        </w:rPr>
        <w:t>、供应商认为需要提供的其他材料</w:t>
      </w:r>
      <w:bookmarkEnd w:id="121"/>
    </w:p>
    <w:p w14:paraId="0B55C80F">
      <w:pPr>
        <w:kinsoku/>
        <w:overflowPunct/>
        <w:bidi w:val="0"/>
        <w:ind w:firstLine="480" w:firstLineChars="200"/>
        <w:rPr>
          <w:rFonts w:hint="eastAsia" w:asciiTheme="minorEastAsia" w:hAnsiTheme="minorEastAsia" w:eastAsiaTheme="minorEastAsia" w:cstheme="minorEastAsia"/>
          <w:color w:val="auto"/>
          <w:sz w:val="24"/>
          <w:szCs w:val="24"/>
          <w:highlight w:val="none"/>
        </w:rPr>
      </w:pPr>
    </w:p>
    <w:p w14:paraId="25028C28">
      <w:pPr>
        <w:kinsoku/>
        <w:overflowPunct/>
        <w:bidi w:val="0"/>
        <w:ind w:firstLine="440" w:firstLineChars="200"/>
        <w:rPr>
          <w:rFonts w:hint="eastAsia" w:asciiTheme="minorEastAsia" w:hAnsiTheme="minorEastAsia" w:eastAsiaTheme="minorEastAsia" w:cstheme="minorEastAsia"/>
          <w:color w:val="auto"/>
          <w:sz w:val="22"/>
          <w:szCs w:val="18"/>
          <w:highlight w:val="none"/>
        </w:rPr>
      </w:pPr>
    </w:p>
    <w:p w14:paraId="5696B48E">
      <w:pPr>
        <w:pStyle w:val="10"/>
        <w:kinsoku/>
        <w:overflowPunct/>
        <w:bidi w:val="0"/>
        <w:ind w:firstLine="440" w:firstLineChars="200"/>
        <w:rPr>
          <w:rFonts w:hint="eastAsia" w:asciiTheme="minorEastAsia" w:hAnsiTheme="minorEastAsia" w:eastAsiaTheme="minorEastAsia" w:cstheme="minorEastAsia"/>
          <w:color w:val="auto"/>
          <w:sz w:val="22"/>
          <w:szCs w:val="18"/>
          <w:highlight w:val="none"/>
        </w:rPr>
      </w:pPr>
    </w:p>
    <w:p w14:paraId="68888983">
      <w:pPr>
        <w:pStyle w:val="10"/>
        <w:kinsoku/>
        <w:overflowPunct/>
        <w:bidi w:val="0"/>
        <w:ind w:firstLine="440" w:firstLineChars="200"/>
        <w:rPr>
          <w:rFonts w:hint="eastAsia" w:asciiTheme="minorEastAsia" w:hAnsiTheme="minorEastAsia" w:eastAsiaTheme="minorEastAsia" w:cstheme="minorEastAsia"/>
          <w:color w:val="auto"/>
          <w:sz w:val="22"/>
          <w:szCs w:val="18"/>
          <w:highlight w:val="none"/>
        </w:rPr>
      </w:pPr>
    </w:p>
    <w:p w14:paraId="21C1971F">
      <w:pPr>
        <w:pStyle w:val="10"/>
        <w:kinsoku/>
        <w:overflowPunct/>
        <w:bidi w:val="0"/>
        <w:ind w:firstLine="440" w:firstLineChars="200"/>
        <w:rPr>
          <w:rFonts w:hint="eastAsia" w:asciiTheme="minorEastAsia" w:hAnsiTheme="minorEastAsia" w:eastAsiaTheme="minorEastAsia" w:cstheme="minorEastAsia"/>
          <w:color w:val="auto"/>
          <w:sz w:val="22"/>
          <w:szCs w:val="18"/>
          <w:highlight w:val="none"/>
        </w:rPr>
      </w:pPr>
    </w:p>
    <w:p w14:paraId="686640E3">
      <w:pPr>
        <w:pStyle w:val="10"/>
        <w:kinsoku/>
        <w:overflowPunct/>
        <w:bidi w:val="0"/>
        <w:ind w:firstLine="440" w:firstLineChars="200"/>
        <w:rPr>
          <w:rFonts w:hint="eastAsia" w:asciiTheme="minorEastAsia" w:hAnsiTheme="minorEastAsia" w:eastAsiaTheme="minorEastAsia" w:cstheme="minorEastAsia"/>
          <w:color w:val="auto"/>
          <w:sz w:val="22"/>
          <w:szCs w:val="18"/>
          <w:highlight w:val="none"/>
        </w:rPr>
      </w:pPr>
    </w:p>
    <w:p w14:paraId="12587BFC">
      <w:pPr>
        <w:pStyle w:val="10"/>
        <w:kinsoku/>
        <w:overflowPunct/>
        <w:bidi w:val="0"/>
        <w:ind w:firstLine="562" w:firstLineChars="200"/>
        <w:jc w:val="center"/>
        <w:rPr>
          <w:rFonts w:hint="eastAsia" w:asciiTheme="minorEastAsia" w:hAnsiTheme="minorEastAsia" w:eastAsiaTheme="minorEastAsia" w:cstheme="minorEastAsia"/>
          <w:b/>
          <w:bCs/>
          <w:color w:val="auto"/>
          <w:sz w:val="28"/>
          <w:szCs w:val="28"/>
          <w:highlight w:val="none"/>
        </w:rPr>
      </w:pPr>
    </w:p>
    <w:p w14:paraId="6EDF16FF">
      <w:pPr>
        <w:pStyle w:val="10"/>
        <w:kinsoku/>
        <w:overflowPunct/>
        <w:bidi w:val="0"/>
        <w:ind w:firstLine="562" w:firstLineChars="200"/>
        <w:jc w:val="center"/>
        <w:rPr>
          <w:rFonts w:hint="eastAsia" w:asciiTheme="minorEastAsia" w:hAnsiTheme="minorEastAsia" w:eastAsiaTheme="minorEastAsia" w:cstheme="minorEastAsia"/>
          <w:b/>
          <w:bCs/>
          <w:color w:val="auto"/>
          <w:sz w:val="28"/>
          <w:szCs w:val="28"/>
          <w:highlight w:val="none"/>
        </w:rPr>
        <w:sectPr>
          <w:footerReference r:id="rId7" w:type="default"/>
          <w:footerReference r:id="rId8" w:type="even"/>
          <w:pgSz w:w="11905" w:h="16838"/>
          <w:pgMar w:top="1417" w:right="1531" w:bottom="1417" w:left="1531" w:header="851" w:footer="992" w:gutter="0"/>
          <w:pgNumType w:fmt="decimal"/>
          <w:cols w:space="0" w:num="1"/>
          <w:rtlGutter w:val="0"/>
          <w:docGrid w:linePitch="312" w:charSpace="0"/>
        </w:sectPr>
      </w:pPr>
      <w:bookmarkStart w:id="122" w:name="_Toc31875_WPSOffice_Level1"/>
      <w:r>
        <w:rPr>
          <w:rFonts w:hint="eastAsia" w:asciiTheme="minorEastAsia" w:hAnsiTheme="minorEastAsia" w:eastAsiaTheme="minorEastAsia" w:cstheme="minorEastAsia"/>
          <w:b/>
          <w:bCs/>
          <w:color w:val="auto"/>
          <w:sz w:val="28"/>
          <w:szCs w:val="28"/>
          <w:highlight w:val="none"/>
        </w:rPr>
        <w:t>（格式自拟）</w:t>
      </w:r>
      <w:bookmarkEnd w:id="122"/>
    </w:p>
    <w:p w14:paraId="36975F36">
      <w:pPr>
        <w:keepNext w:val="0"/>
        <w:keepLines w:val="0"/>
        <w:pageBreakBefore/>
        <w:widowControl w:val="0"/>
        <w:numPr>
          <w:ilvl w:val="0"/>
          <w:numId w:val="0"/>
        </w:numPr>
        <w:tabs>
          <w:tab w:val="left" w:pos="0"/>
        </w:tabs>
        <w:kinsoku/>
        <w:wordWrap/>
        <w:overflowPunct/>
        <w:topLinePunct w:val="0"/>
        <w:autoSpaceDE/>
        <w:autoSpaceDN/>
        <w:bidi w:val="0"/>
        <w:adjustRightInd/>
        <w:snapToGrid/>
        <w:ind w:left="0" w:leftChars="0" w:right="0" w:rightChars="0" w:firstLine="643" w:firstLineChars="200"/>
        <w:jc w:val="center"/>
        <w:textAlignment w:val="auto"/>
        <w:rPr>
          <w:rFonts w:hint="eastAsia" w:asciiTheme="minorEastAsia" w:hAnsiTheme="minorEastAsia" w:eastAsiaTheme="minorEastAsia" w:cstheme="minorEastAsia"/>
          <w:b/>
          <w:color w:val="auto"/>
          <w:sz w:val="32"/>
          <w:szCs w:val="32"/>
          <w:highlight w:val="none"/>
        </w:rPr>
      </w:pPr>
      <w:bookmarkStart w:id="123" w:name="_Toc32072_WPSOffice_Level1"/>
      <w:r>
        <w:rPr>
          <w:rFonts w:hint="eastAsia" w:asciiTheme="minorEastAsia" w:hAnsiTheme="minorEastAsia" w:eastAsiaTheme="minorEastAsia" w:cstheme="minorEastAsia"/>
          <w:b/>
          <w:color w:val="auto"/>
          <w:sz w:val="32"/>
          <w:szCs w:val="32"/>
          <w:highlight w:val="none"/>
          <w:lang w:val="en-US" w:eastAsia="zh-CN"/>
        </w:rPr>
        <w:t>十一、</w:t>
      </w:r>
      <w:r>
        <w:rPr>
          <w:rFonts w:hint="eastAsia" w:asciiTheme="minorEastAsia" w:hAnsiTheme="minorEastAsia" w:eastAsiaTheme="minorEastAsia" w:cstheme="minorEastAsia"/>
          <w:b/>
          <w:color w:val="auto"/>
          <w:sz w:val="32"/>
          <w:szCs w:val="32"/>
          <w:highlight w:val="none"/>
        </w:rPr>
        <w:t>第</w:t>
      </w:r>
      <w:r>
        <w:rPr>
          <w:rFonts w:hint="eastAsia" w:asciiTheme="minorEastAsia" w:hAnsiTheme="minorEastAsia" w:eastAsiaTheme="minorEastAsia" w:cstheme="minorEastAsia"/>
          <w:b/>
          <w:color w:val="auto"/>
          <w:sz w:val="32"/>
          <w:szCs w:val="32"/>
          <w:highlight w:val="none"/>
          <w:u w:val="single"/>
        </w:rPr>
        <w:t xml:space="preserve">    </w:t>
      </w:r>
      <w:r>
        <w:rPr>
          <w:rFonts w:hint="eastAsia" w:asciiTheme="minorEastAsia" w:hAnsiTheme="minorEastAsia" w:eastAsiaTheme="minorEastAsia" w:cstheme="minorEastAsia"/>
          <w:b/>
          <w:color w:val="auto"/>
          <w:sz w:val="32"/>
          <w:szCs w:val="32"/>
          <w:highlight w:val="none"/>
        </w:rPr>
        <w:t>轮/最终报价表</w:t>
      </w:r>
    </w:p>
    <w:p w14:paraId="30762CC3">
      <w:pPr>
        <w:pStyle w:val="10"/>
        <w:kinsoku/>
        <w:overflowPunct/>
        <w:bidi w:val="0"/>
        <w:ind w:firstLine="680" w:firstLineChars="200"/>
        <w:rPr>
          <w:rFonts w:hint="eastAsia" w:asciiTheme="minorEastAsia" w:hAnsiTheme="minorEastAsia" w:eastAsiaTheme="minorEastAsia" w:cstheme="minorEastAsia"/>
          <w:color w:val="auto"/>
          <w:highlight w:val="none"/>
        </w:rPr>
      </w:pPr>
    </w:p>
    <w:tbl>
      <w:tblPr>
        <w:tblStyle w:val="24"/>
        <w:tblW w:w="84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6991"/>
      </w:tblGrid>
      <w:tr w14:paraId="0D97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tcBorders>
              <w:top w:val="single" w:color="auto" w:sz="4" w:space="0"/>
              <w:left w:val="single" w:color="auto" w:sz="4" w:space="0"/>
              <w:bottom w:val="single" w:color="auto" w:sz="4" w:space="0"/>
              <w:right w:val="single" w:color="auto" w:sz="4" w:space="0"/>
            </w:tcBorders>
            <w:vAlign w:val="center"/>
          </w:tcPr>
          <w:p w14:paraId="732D74B9">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项目名称</w:t>
            </w:r>
          </w:p>
        </w:tc>
        <w:tc>
          <w:tcPr>
            <w:tcW w:w="6991" w:type="dxa"/>
            <w:tcBorders>
              <w:top w:val="single" w:color="auto" w:sz="4" w:space="0"/>
              <w:left w:val="single" w:color="auto" w:sz="4" w:space="0"/>
              <w:bottom w:val="single" w:color="auto" w:sz="4" w:space="0"/>
              <w:right w:val="single" w:color="auto" w:sz="4" w:space="0"/>
            </w:tcBorders>
            <w:vAlign w:val="center"/>
          </w:tcPr>
          <w:p w14:paraId="7EF217FA">
            <w:pPr>
              <w:keepNext w:val="0"/>
              <w:keepLines w:val="0"/>
              <w:pageBreakBefore w:val="0"/>
              <w:widowControl/>
              <w:kinsoku/>
              <w:wordWrap/>
              <w:overflowPunct/>
              <w:topLinePunct w:val="0"/>
              <w:autoSpaceDE/>
              <w:autoSpaceDN/>
              <w:bidi w:val="0"/>
              <w:adjustRightInd/>
              <w:snapToGrid/>
              <w:spacing w:line="360" w:lineRule="auto"/>
              <w:ind w:firstLine="482" w:firstLineChars="200"/>
              <w:jc w:val="center"/>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 xml:space="preserve">  </w:t>
            </w:r>
          </w:p>
        </w:tc>
      </w:tr>
      <w:tr w14:paraId="645C9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tcBorders>
              <w:top w:val="single" w:color="auto" w:sz="4" w:space="0"/>
              <w:left w:val="single" w:color="auto" w:sz="4" w:space="0"/>
              <w:bottom w:val="single" w:color="auto" w:sz="4" w:space="0"/>
              <w:right w:val="single" w:color="auto" w:sz="4" w:space="0"/>
            </w:tcBorders>
            <w:vAlign w:val="center"/>
          </w:tcPr>
          <w:p w14:paraId="2E42DE1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项目编号</w:t>
            </w:r>
          </w:p>
        </w:tc>
        <w:tc>
          <w:tcPr>
            <w:tcW w:w="6991" w:type="dxa"/>
            <w:tcBorders>
              <w:top w:val="single" w:color="auto" w:sz="4" w:space="0"/>
              <w:left w:val="single" w:color="auto" w:sz="4" w:space="0"/>
              <w:bottom w:val="single" w:color="auto" w:sz="4" w:space="0"/>
              <w:right w:val="single" w:color="auto" w:sz="4" w:space="0"/>
            </w:tcBorders>
            <w:vAlign w:val="center"/>
          </w:tcPr>
          <w:p w14:paraId="10BA98B0">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szCs w:val="24"/>
                <w:highlight w:val="none"/>
                <w:lang w:val="en-US" w:eastAsia="zh-CN"/>
              </w:rPr>
              <w:t xml:space="preserve"> </w:t>
            </w:r>
          </w:p>
        </w:tc>
      </w:tr>
      <w:tr w14:paraId="45429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tcBorders>
              <w:top w:val="single" w:color="auto" w:sz="4" w:space="0"/>
              <w:left w:val="single" w:color="auto" w:sz="4" w:space="0"/>
              <w:bottom w:val="single" w:color="auto" w:sz="4" w:space="0"/>
              <w:right w:val="single" w:color="auto" w:sz="4" w:space="0"/>
            </w:tcBorders>
            <w:vAlign w:val="center"/>
          </w:tcPr>
          <w:p w14:paraId="5BBB7F66">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服务期限</w:t>
            </w:r>
          </w:p>
        </w:tc>
        <w:tc>
          <w:tcPr>
            <w:tcW w:w="6991" w:type="dxa"/>
            <w:tcBorders>
              <w:top w:val="single" w:color="auto" w:sz="4" w:space="0"/>
              <w:left w:val="single" w:color="auto" w:sz="4" w:space="0"/>
              <w:bottom w:val="single" w:color="auto" w:sz="4" w:space="0"/>
              <w:right w:val="single" w:color="auto" w:sz="4" w:space="0"/>
            </w:tcBorders>
            <w:vAlign w:val="center"/>
          </w:tcPr>
          <w:p w14:paraId="291AB577">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color w:val="auto"/>
                <w:sz w:val="24"/>
                <w:highlight w:val="none"/>
              </w:rPr>
            </w:pPr>
          </w:p>
        </w:tc>
      </w:tr>
      <w:tr w14:paraId="16C0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475" w:type="dxa"/>
            <w:tcBorders>
              <w:top w:val="single" w:color="auto" w:sz="4" w:space="0"/>
              <w:left w:val="single" w:color="auto" w:sz="4" w:space="0"/>
              <w:right w:val="single" w:color="auto" w:sz="4" w:space="0"/>
            </w:tcBorders>
            <w:vAlign w:val="center"/>
          </w:tcPr>
          <w:p w14:paraId="35F00FE3">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磋商</w:t>
            </w:r>
            <w:r>
              <w:rPr>
                <w:rFonts w:hint="eastAsia" w:asciiTheme="minorEastAsia" w:hAnsiTheme="minorEastAsia" w:eastAsiaTheme="minorEastAsia" w:cstheme="minorEastAsia"/>
                <w:color w:val="auto"/>
                <w:sz w:val="24"/>
                <w:highlight w:val="none"/>
                <w:lang w:val="en-US" w:eastAsia="zh-CN"/>
              </w:rPr>
              <w:t>报</w:t>
            </w:r>
            <w:r>
              <w:rPr>
                <w:rFonts w:hint="eastAsia" w:asciiTheme="minorEastAsia" w:hAnsiTheme="minorEastAsia" w:eastAsiaTheme="minorEastAsia" w:cstheme="minorEastAsia"/>
                <w:color w:val="auto"/>
                <w:sz w:val="24"/>
                <w:highlight w:val="none"/>
              </w:rPr>
              <w:t>价</w:t>
            </w:r>
          </w:p>
        </w:tc>
        <w:tc>
          <w:tcPr>
            <w:tcW w:w="6991" w:type="dxa"/>
            <w:tcBorders>
              <w:top w:val="single" w:color="auto" w:sz="4" w:space="0"/>
              <w:left w:val="single" w:color="auto" w:sz="4" w:space="0"/>
              <w:bottom w:val="single" w:color="auto" w:sz="4" w:space="0"/>
              <w:right w:val="single" w:color="auto" w:sz="4" w:space="0"/>
            </w:tcBorders>
            <w:vAlign w:val="center"/>
          </w:tcPr>
          <w:p w14:paraId="15D2D634">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小写：    元（大写：                  ）</w:t>
            </w:r>
          </w:p>
        </w:tc>
      </w:tr>
    </w:tbl>
    <w:p w14:paraId="4720CD5B">
      <w:pPr>
        <w:pStyle w:val="10"/>
        <w:kinsoku/>
        <w:overflowPunct/>
        <w:bidi w:val="0"/>
        <w:ind w:firstLine="680" w:firstLineChars="200"/>
        <w:rPr>
          <w:rFonts w:hint="eastAsia" w:asciiTheme="minorEastAsia" w:hAnsiTheme="minorEastAsia" w:eastAsiaTheme="minorEastAsia" w:cstheme="minorEastAsia"/>
          <w:color w:val="auto"/>
          <w:highlight w:val="none"/>
        </w:rPr>
      </w:pPr>
    </w:p>
    <w:p w14:paraId="18919843">
      <w:pPr>
        <w:pStyle w:val="10"/>
        <w:kinsoku/>
        <w:overflowPunct/>
        <w:bidi w:val="0"/>
        <w:ind w:firstLine="680" w:firstLineChars="200"/>
        <w:rPr>
          <w:rFonts w:hint="eastAsia" w:asciiTheme="minorEastAsia" w:hAnsiTheme="minorEastAsia" w:eastAsiaTheme="minorEastAsia" w:cstheme="minorEastAsia"/>
          <w:color w:val="auto"/>
          <w:highlight w:val="none"/>
        </w:rPr>
      </w:pPr>
    </w:p>
    <w:p w14:paraId="26F0668A">
      <w:pPr>
        <w:kinsoku/>
        <w:overflowPunct/>
        <w:bidi w:val="0"/>
        <w:spacing w:line="500" w:lineRule="exact"/>
        <w:ind w:firstLine="56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color w:val="auto"/>
          <w:sz w:val="24"/>
          <w:szCs w:val="24"/>
          <w:highlight w:val="none"/>
        </w:rPr>
        <w:t>注：</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报价应是最终用户验收合格后的总价，包括货物运输、保险、代理、人工、材料、税费和磋商文件规定的其它费用</w:t>
      </w:r>
      <w:r>
        <w:rPr>
          <w:rFonts w:hint="eastAsia" w:asciiTheme="minorEastAsia" w:hAnsiTheme="minorEastAsia" w:eastAsiaTheme="minorEastAsia" w:cstheme="minorEastAsia"/>
          <w:color w:val="auto"/>
          <w:sz w:val="24"/>
          <w:szCs w:val="24"/>
          <w:highlight w:val="none"/>
          <w:lang w:eastAsia="zh-CN"/>
        </w:rPr>
        <w:t>。</w:t>
      </w:r>
    </w:p>
    <w:p w14:paraId="77D4F631">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2、该项目允许二轮及以上报价，最终报价表在磋商环节，磋商小组要求供应商进行最后报价时密封递交，无需装订在响应文件中。</w:t>
      </w:r>
    </w:p>
    <w:p w14:paraId="6C4EB7E2">
      <w:pPr>
        <w:kinsoku/>
        <w:overflowPunct/>
        <w:bidi w:val="0"/>
        <w:spacing w:line="500" w:lineRule="exact"/>
        <w:ind w:firstLine="480" w:firstLineChars="200"/>
        <w:rPr>
          <w:rFonts w:hint="eastAsia" w:asciiTheme="minorEastAsia" w:hAnsiTheme="minorEastAsia" w:eastAsiaTheme="minorEastAsia" w:cstheme="minorEastAsia"/>
          <w:color w:val="auto"/>
          <w:sz w:val="24"/>
          <w:szCs w:val="24"/>
          <w:highlight w:val="none"/>
        </w:rPr>
      </w:pPr>
    </w:p>
    <w:p w14:paraId="5E9F44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p w14:paraId="51FE5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供应商名称：XXX（盖单位公章）</w:t>
      </w:r>
    </w:p>
    <w:p w14:paraId="1307B4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法定代表人/单位负责人或授权代表（签字）：XXX</w:t>
      </w:r>
    </w:p>
    <w:p w14:paraId="23A0E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期：XXX</w:t>
      </w:r>
    </w:p>
    <w:p w14:paraId="4B9BD1FB">
      <w:pPr>
        <w:kinsoku/>
        <w:overflowPunct/>
        <w:bidi w:val="0"/>
        <w:ind w:firstLine="440" w:firstLineChars="200"/>
        <w:rPr>
          <w:rFonts w:hint="eastAsia" w:asciiTheme="minorEastAsia" w:hAnsiTheme="minorEastAsia" w:eastAsiaTheme="minorEastAsia" w:cstheme="minorEastAsia"/>
          <w:color w:val="auto"/>
          <w:sz w:val="22"/>
          <w:szCs w:val="28"/>
          <w:highlight w:val="none"/>
        </w:rPr>
      </w:pPr>
    </w:p>
    <w:p w14:paraId="5686971B">
      <w:pPr>
        <w:pStyle w:val="59"/>
        <w:kinsoku/>
        <w:overflowPunct/>
        <w:bidi w:val="0"/>
        <w:ind w:firstLine="420" w:firstLineChars="200"/>
        <w:rPr>
          <w:rFonts w:hint="eastAsia" w:asciiTheme="minorEastAsia" w:hAnsiTheme="minorEastAsia" w:eastAsiaTheme="minorEastAsia" w:cstheme="minorEastAsia"/>
          <w:color w:val="auto"/>
          <w:sz w:val="21"/>
          <w:szCs w:val="21"/>
          <w:highlight w:val="none"/>
        </w:rPr>
      </w:pPr>
    </w:p>
    <w:p w14:paraId="0C0D0A7F">
      <w:pPr>
        <w:pStyle w:val="59"/>
        <w:kinsoku/>
        <w:overflowPunct/>
        <w:bidi w:val="0"/>
        <w:ind w:firstLine="420" w:firstLineChars="200"/>
        <w:rPr>
          <w:rFonts w:hint="eastAsia" w:asciiTheme="minorEastAsia" w:hAnsiTheme="minorEastAsia" w:eastAsiaTheme="minorEastAsia" w:cstheme="minorEastAsia"/>
          <w:color w:val="auto"/>
          <w:sz w:val="21"/>
          <w:szCs w:val="21"/>
          <w:highlight w:val="none"/>
        </w:rPr>
      </w:pPr>
    </w:p>
    <w:p w14:paraId="4E1B8F33">
      <w:pPr>
        <w:kinsoku/>
        <w:overflowPunct/>
        <w:bidi w:val="0"/>
        <w:ind w:firstLine="680" w:firstLineChars="200"/>
        <w:rPr>
          <w:rFonts w:hint="eastAsia" w:asciiTheme="minorEastAsia" w:hAnsiTheme="minorEastAsia" w:eastAsiaTheme="minorEastAsia" w:cstheme="minorEastAsia"/>
          <w:color w:val="auto"/>
          <w:highlight w:val="none"/>
        </w:rPr>
      </w:pPr>
    </w:p>
    <w:p w14:paraId="61EDFF38">
      <w:pPr>
        <w:kinsoku/>
        <w:overflowPunct/>
        <w:bidi w:val="0"/>
        <w:ind w:firstLine="6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05B44C27">
      <w:pPr>
        <w:pStyle w:val="2"/>
        <w:keepNext/>
        <w:keepLines/>
        <w:pageBreakBefore w:val="0"/>
        <w:widowControl w:val="0"/>
        <w:kinsoku/>
        <w:wordWrap/>
        <w:overflowPunct/>
        <w:topLinePunct w:val="0"/>
        <w:autoSpaceDE/>
        <w:autoSpaceDN/>
        <w:bidi w:val="0"/>
        <w:adjustRightInd/>
        <w:snapToGrid/>
        <w:spacing w:before="0" w:after="0" w:line="360" w:lineRule="auto"/>
        <w:ind w:firstLine="883" w:firstLineChars="200"/>
        <w:jc w:val="center"/>
        <w:textAlignment w:val="auto"/>
        <w:rPr>
          <w:rFonts w:hint="eastAsia" w:asciiTheme="minorEastAsia" w:hAnsiTheme="minorEastAsia" w:eastAsiaTheme="minorEastAsia" w:cstheme="minorEastAsia"/>
          <w:color w:val="auto"/>
          <w:highlight w:val="none"/>
        </w:rPr>
      </w:pPr>
      <w:bookmarkStart w:id="124" w:name="_Toc26701"/>
      <w:r>
        <w:rPr>
          <w:rFonts w:hint="eastAsia" w:asciiTheme="minorEastAsia" w:hAnsiTheme="minorEastAsia" w:eastAsiaTheme="minorEastAsia" w:cstheme="minorEastAsia"/>
          <w:color w:val="auto"/>
          <w:highlight w:val="none"/>
        </w:rPr>
        <w:t>第九章  评审方法</w:t>
      </w:r>
      <w:bookmarkEnd w:id="123"/>
      <w:bookmarkEnd w:id="124"/>
      <w:bookmarkStart w:id="125" w:name="_Toc209847065"/>
      <w:bookmarkStart w:id="126" w:name="_Toc101338358"/>
      <w:bookmarkStart w:id="127" w:name="_Toc101174146"/>
      <w:bookmarkStart w:id="128" w:name="_Toc101250640"/>
      <w:bookmarkStart w:id="129" w:name="_Toc430773924"/>
    </w:p>
    <w:p w14:paraId="3D178A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宋体" w:hAnsi="宋体" w:cs="宋体"/>
          <w:b/>
          <w:bCs/>
          <w:color w:val="auto"/>
          <w:sz w:val="24"/>
          <w:szCs w:val="18"/>
          <w:highlight w:val="none"/>
        </w:rPr>
      </w:pPr>
      <w:r>
        <w:rPr>
          <w:rFonts w:hint="eastAsia" w:ascii="宋体" w:hAnsi="宋体" w:cs="宋体"/>
          <w:b/>
          <w:bCs/>
          <w:color w:val="auto"/>
          <w:sz w:val="24"/>
          <w:szCs w:val="18"/>
          <w:highlight w:val="none"/>
        </w:rPr>
        <w:t>1.总则</w:t>
      </w:r>
    </w:p>
    <w:p w14:paraId="30006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1.1 根据《中华人民共和国政府采购法》、《中华人民共和国政府采购法实施条例》、《政府采购竞争性磋商采购方式管理暂行办法》等法律制度，结合本采购项目特点制定本次磋商采购评审方法。</w:t>
      </w:r>
    </w:p>
    <w:p w14:paraId="6963E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1.2 磋商工作由采购代理机构负责组织，具体磋商由采购代理机构依法组建的磋商小组负责。</w:t>
      </w:r>
    </w:p>
    <w:p w14:paraId="06CC6D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1.3 磋商工作应遵循公平、公正、科学及择优的原则，并以相同的磋商程序和标准对待所有的供应商。</w:t>
      </w:r>
    </w:p>
    <w:p w14:paraId="58C0AF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1.4 磋商小组按照磋商文件规定的磋商程序、评分方法和标准进行评审，并独立履行下列职责：</w:t>
      </w:r>
    </w:p>
    <w:p w14:paraId="11B0B8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（一）熟悉和理解磋商文件，确定磋商文件内容是否违反国家有关强制性规定或者磋商文件存在歧义、重大缺陷，根据需要书面要求采购人、采购代理机构对磋商文件作出解释；</w:t>
      </w:r>
    </w:p>
    <w:p w14:paraId="17E79A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（二）审查供应商响应文件是否满足磋商文件要求，并作出公正评价；</w:t>
      </w:r>
    </w:p>
    <w:p w14:paraId="46BFB5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（三）根据需要要求供应商对响应文件中含义不明确、同类问题表述不一致或者有明显文字和计算错误的内容等作出必要的澄清、说明或者更正；</w:t>
      </w:r>
    </w:p>
    <w:p w14:paraId="0D0DD0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（四）推荐成交供应商，或者受采购人委托确定成交供应商；</w:t>
      </w:r>
    </w:p>
    <w:p w14:paraId="6F1F4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（五）起草评审报告并进行签署；</w:t>
      </w:r>
    </w:p>
    <w:p w14:paraId="0336FF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（六）向采购人、采购代理机构、财政部门或者其他监督部门报告非法干预评审工作的行为；</w:t>
      </w:r>
    </w:p>
    <w:p w14:paraId="17A997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（七）法律、法规和规章规定的其他职责。</w:t>
      </w:r>
    </w:p>
    <w:p w14:paraId="01C50D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highlight w:val="none"/>
        </w:rPr>
      </w:pPr>
      <w:r>
        <w:rPr>
          <w:rFonts w:hint="eastAsia" w:ascii="宋体" w:hAnsi="宋体" w:cs="宋体"/>
          <w:color w:val="auto"/>
          <w:sz w:val="24"/>
          <w:szCs w:val="18"/>
          <w:highlight w:val="none"/>
        </w:rPr>
        <w:t>1.5磋商过程独立、保密。供应商非法干预磋商过程的，其响应文件作无效处理。</w:t>
      </w:r>
    </w:p>
    <w:p w14:paraId="0678D88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宋体" w:hAnsi="宋体" w:cs="宋体"/>
          <w:b/>
          <w:bCs/>
          <w:color w:val="auto"/>
          <w:sz w:val="24"/>
          <w:szCs w:val="18"/>
          <w:highlight w:val="none"/>
        </w:rPr>
      </w:pPr>
      <w:r>
        <w:rPr>
          <w:rFonts w:hint="eastAsia" w:ascii="宋体" w:hAnsi="宋体" w:cs="宋体"/>
          <w:b/>
          <w:bCs/>
          <w:color w:val="auto"/>
          <w:sz w:val="24"/>
          <w:szCs w:val="18"/>
          <w:highlight w:val="none"/>
        </w:rPr>
        <w:t>2.磋商程序</w:t>
      </w:r>
    </w:p>
    <w:p w14:paraId="7D45EE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2.1审查磋商文件和停止评审。</w:t>
      </w:r>
    </w:p>
    <w:p w14:paraId="59BE5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2.1.1 磋商小组正式评审前，应当对磋商文件进行熟悉和理解，内容主要包括磋商文件中供应商资格条件要求、采购项目技术、服务和商务要求、磋商办法和标准、政府采购政策要求以及政府采购合同主要条款等。</w:t>
      </w:r>
    </w:p>
    <w:p w14:paraId="55C551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 本磋商文件有下列情形之一的，磋商小组应当停止评审：</w:t>
      </w:r>
    </w:p>
    <w:p w14:paraId="291AF9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（1）磋商文件的规定存在歧义、重大缺陷，导致评审无法进行的；</w:t>
      </w:r>
    </w:p>
    <w:p w14:paraId="540C68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（2）磋商文件明显以不合理条件对供应商实行差别待遇或者歧视待遇的；</w:t>
      </w:r>
    </w:p>
    <w:p w14:paraId="1E8DBC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（3）采购项目属于国家规定的优先、强制采购范围，但是磋商文件未依法体现优先、强制采购相关规定的；</w:t>
      </w:r>
    </w:p>
    <w:p w14:paraId="111C95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（4）采购项目属于政府采购促进中小企业发展的范围，但是磋商文件未依法体现促进中小企业发展相关规定的；</w:t>
      </w:r>
    </w:p>
    <w:p w14:paraId="2FC6AB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（5）磋商文件将供应商的资格条件列为评分因素的；</w:t>
      </w:r>
    </w:p>
    <w:p w14:paraId="69887E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（6）磋商文件载明的成交原则不合法的；</w:t>
      </w:r>
    </w:p>
    <w:p w14:paraId="624C3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（7）磋商文件有违反国家其他有关强制性规定的情形。</w:t>
      </w:r>
    </w:p>
    <w:p w14:paraId="2F0054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2.1.3 出现本条2.1.2规定应当停止评审情形的，磋商小组应当向采购组织单位书面书面说明情况。除2.1.2规定的情形外，磋商小组不得以任何方式和理由停止评审。</w:t>
      </w:r>
    </w:p>
    <w:p w14:paraId="05D9597F">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2.2资格性审查。</w:t>
      </w:r>
    </w:p>
    <w:p w14:paraId="64850387">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2.2.1本项目需要磋商小组进行资格性检查。</w:t>
      </w:r>
    </w:p>
    <w:p w14:paraId="191B8A1A">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磋商小组应依据法律法规和磋商文件的规定，对响应文件是否按照规定要求提供资格性证明材料、是否属于禁止参加磋商的供应商等进行审查，以确定供应商是否具备磋商资格。</w:t>
      </w:r>
    </w:p>
    <w:p w14:paraId="46E13B8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2.2.2资格性审查结束后，磋商小组应当出具资格性审查报告，没有通过资格审查的供应商，磋商小组应当在资格审查报告中说明原因。</w:t>
      </w:r>
    </w:p>
    <w:p w14:paraId="4CA69A4E">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2.2.3磋商小组应依据磋商文件规定的实质性要求，对符合资格的响应文件进行有效性、完整性和响应程度审查，以确定参加磋商的供应商名单。</w:t>
      </w:r>
    </w:p>
    <w:p w14:paraId="6E43C1F6">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2.2.4采购人或者采购代理机构宣布未通过资格性审查的供应商名单时，应当告知供应商未通过审查的原因。</w:t>
      </w:r>
    </w:p>
    <w:p w14:paraId="2BDDF0E9">
      <w:pPr>
        <w:keepNext w:val="0"/>
        <w:keepLines w:val="0"/>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ascii="宋体" w:hAnsi="宋体" w:eastAsia="宋体" w:cs="宋体"/>
          <w:color w:val="auto"/>
          <w:highlight w:val="none"/>
        </w:rPr>
      </w:pPr>
      <w:r>
        <w:rPr>
          <w:rFonts w:hint="eastAsia" w:ascii="宋体" w:hAnsi="宋体" w:eastAsia="宋体" w:cs="宋体"/>
          <w:b w:val="0"/>
          <w:color w:val="auto"/>
          <w:sz w:val="24"/>
          <w:szCs w:val="24"/>
          <w:highlight w:val="none"/>
        </w:rPr>
        <w:t>2.3 通过资格性审查的供应商不足3家的，终止本次采购活动，并发布终止采购活动公告。</w:t>
      </w:r>
    </w:p>
    <w:p w14:paraId="229CFF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2.4磋商。</w:t>
      </w:r>
    </w:p>
    <w:p w14:paraId="7D02AB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2.4.1磋商小组所有成员集中与单一供应商分别进行一轮或多轮磋商，并给予所有参加磋商的供应商平等的磋商机会。磋商顺序以现场抽签的方式确定。磋商过程中，磋商小组可以根据磋商情况调整磋商轮次。</w:t>
      </w:r>
    </w:p>
    <w:p w14:paraId="5D58D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2.4.2每轮磋商开始前，磋商小组应根据磋商文件的规定，并结合各供应商的响应文件拟定磋商内容。</w:t>
      </w:r>
    </w:p>
    <w:p w14:paraId="6C0424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2.4.3在磋商过程中，磋商小组可以根据磋商文件和磋商情况实质性变动磋商文件的技术、服务要求以及合同草案条款，但不得变动磋商文件中的其他内容。实质性变动的内容，须经采购人代表书面确认。</w:t>
      </w:r>
    </w:p>
    <w:p w14:paraId="57F1F0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2.4.4对磋商文件作出的实质性变动是磋商文件的有效组成部分，磋商小组应当及时以书面形式同时通知所有参加磋商的供应商。</w:t>
      </w:r>
    </w:p>
    <w:p w14:paraId="67293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40546F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2.4.6</w:t>
      </w:r>
      <w:r>
        <w:rPr>
          <w:rFonts w:hint="eastAsia" w:ascii="宋体" w:hAnsi="宋体" w:cs="宋体"/>
          <w:color w:val="auto"/>
          <w:sz w:val="24"/>
          <w:szCs w:val="18"/>
          <w:highlight w:val="none"/>
          <w:lang w:val="zh-CN"/>
        </w:rPr>
        <w:t>有效性、完整性和响应程度审查</w:t>
      </w:r>
    </w:p>
    <w:p w14:paraId="4D7223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2.4.6.1磋商过程中，</w:t>
      </w:r>
      <w:r>
        <w:rPr>
          <w:rFonts w:hint="eastAsia" w:ascii="宋体" w:hAnsi="宋体" w:cs="宋体"/>
          <w:color w:val="auto"/>
          <w:sz w:val="24"/>
          <w:szCs w:val="18"/>
          <w:highlight w:val="none"/>
          <w:lang w:val="zh-CN"/>
        </w:rPr>
        <w:t>磋商小组对供应商首次递交的响应文件进行审查，审查中发现供应商首次响应文件有下列情况之一的，应按照无效响应文件处理：</w:t>
      </w:r>
    </w:p>
    <w:p w14:paraId="57E280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1</w:t>
      </w:r>
      <w:r>
        <w:rPr>
          <w:rFonts w:hint="eastAsia" w:ascii="宋体" w:hAnsi="宋体" w:cs="宋体"/>
          <w:color w:val="auto"/>
          <w:sz w:val="24"/>
          <w:szCs w:val="18"/>
          <w:highlight w:val="none"/>
          <w:lang w:val="zh-CN"/>
        </w:rPr>
        <w:t>）响应文件的语言、报价货币、知识产权、响应文件有效期不符合采购文件的规定，影响磋商小组评判的；</w:t>
      </w:r>
    </w:p>
    <w:p w14:paraId="02208C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lang w:val="zh-CN"/>
        </w:rPr>
        <w:t>2.</w:t>
      </w:r>
      <w:r>
        <w:rPr>
          <w:rFonts w:hint="eastAsia" w:ascii="宋体" w:hAnsi="宋体" w:cs="宋体"/>
          <w:color w:val="auto"/>
          <w:sz w:val="24"/>
          <w:szCs w:val="18"/>
          <w:highlight w:val="none"/>
        </w:rPr>
        <w:t>4</w:t>
      </w:r>
      <w:r>
        <w:rPr>
          <w:rFonts w:hint="eastAsia" w:ascii="宋体" w:hAnsi="宋体" w:cs="宋体"/>
          <w:color w:val="auto"/>
          <w:sz w:val="24"/>
          <w:szCs w:val="18"/>
          <w:highlight w:val="none"/>
          <w:lang w:val="zh-CN"/>
        </w:rPr>
        <w:t>.6.2经最终磋商后，响应文件仍有下列情况之一的，应按照无效响应文件处理：</w:t>
      </w:r>
    </w:p>
    <w:p w14:paraId="7D3DD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w:t>
      </w:r>
      <w:r>
        <w:rPr>
          <w:rFonts w:hint="eastAsia" w:ascii="宋体" w:hAnsi="宋体" w:cs="宋体"/>
          <w:color w:val="auto"/>
          <w:sz w:val="24"/>
          <w:szCs w:val="18"/>
          <w:highlight w:val="none"/>
          <w:lang w:val="zh-CN"/>
        </w:rPr>
        <w:t>响应文件仍不能实质响应采购文件的实质性要求的；</w:t>
      </w:r>
    </w:p>
    <w:p w14:paraId="58EFBB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（2）响应文件仍中有磋商文件规定的其他无效响应情形的。</w:t>
      </w:r>
    </w:p>
    <w:p w14:paraId="508337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2.2.6.3磋商小组对响应文件签署、盖章等进行审查过程中，有下列情形的，磋商小组应当评定为不影响整个响应文件有效性和采购活动公平竞争，并通过响应文件的有效性审查：</w:t>
      </w:r>
    </w:p>
    <w:p w14:paraId="33F5E1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1</w:t>
      </w:r>
      <w:r>
        <w:rPr>
          <w:rFonts w:hint="eastAsia" w:ascii="宋体" w:hAnsi="宋体" w:cs="宋体"/>
          <w:color w:val="auto"/>
          <w:sz w:val="24"/>
          <w:szCs w:val="18"/>
          <w:highlight w:val="none"/>
          <w:lang w:val="zh-CN"/>
        </w:rPr>
        <w:t>）响应文件存在个别地方（总数不能超过2个）没有法定代表人/单位负责人签字，但有法定代表人/单位负责人的私人印章或者有效授权代理人签字的，但法定代表人/单位负责人授权书除外；</w:t>
      </w:r>
    </w:p>
    <w:p w14:paraId="1A3324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2</w:t>
      </w:r>
      <w:r>
        <w:rPr>
          <w:rFonts w:hint="eastAsia" w:ascii="宋体" w:hAnsi="宋体" w:cs="宋体"/>
          <w:color w:val="auto"/>
          <w:sz w:val="24"/>
          <w:szCs w:val="18"/>
          <w:highlight w:val="none"/>
          <w:lang w:val="zh-CN"/>
        </w:rPr>
        <w:t>）响应文件除采购文件明确要求加盖单位(法人)公章的以外，其他地方以相关专用章加盖的；</w:t>
      </w:r>
    </w:p>
    <w:p w14:paraId="621DEB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lang w:val="zh-CN"/>
        </w:rPr>
        <w:t>（</w:t>
      </w:r>
      <w:r>
        <w:rPr>
          <w:rFonts w:hint="eastAsia" w:ascii="宋体" w:hAnsi="宋体" w:cs="宋体"/>
          <w:color w:val="auto"/>
          <w:sz w:val="24"/>
          <w:szCs w:val="18"/>
          <w:highlight w:val="none"/>
        </w:rPr>
        <w:t>3</w:t>
      </w:r>
      <w:r>
        <w:rPr>
          <w:rFonts w:hint="eastAsia" w:ascii="宋体" w:hAnsi="宋体" w:cs="宋体"/>
          <w:color w:val="auto"/>
          <w:sz w:val="24"/>
          <w:szCs w:val="18"/>
          <w:highlight w:val="none"/>
          <w:lang w:val="zh-CN"/>
        </w:rPr>
        <w:t>）以骑缝章的形式代替响应文件内容逐页盖章的（但是骑缝章模糊不清，印章名称无法辨认的除外）。</w:t>
      </w:r>
    </w:p>
    <w:p w14:paraId="0275B5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2.4.6.4磋商小组</w:t>
      </w:r>
      <w:r>
        <w:rPr>
          <w:rFonts w:hint="eastAsia" w:ascii="宋体" w:hAnsi="宋体" w:cs="宋体"/>
          <w:color w:val="auto"/>
          <w:sz w:val="24"/>
          <w:szCs w:val="18"/>
          <w:highlight w:val="none"/>
          <w:lang w:val="zh-CN"/>
        </w:rPr>
        <w:t>对所有响应文件的有效性、完整性和响应程度进行审查</w:t>
      </w:r>
      <w:r>
        <w:rPr>
          <w:rFonts w:hint="eastAsia" w:ascii="宋体" w:hAnsi="宋体" w:cs="宋体"/>
          <w:color w:val="auto"/>
          <w:sz w:val="24"/>
          <w:szCs w:val="18"/>
          <w:highlight w:val="none"/>
        </w:rPr>
        <w:t>后，向采购</w:t>
      </w:r>
      <w:r>
        <w:rPr>
          <w:rFonts w:hint="eastAsia" w:ascii="宋体" w:hAnsi="宋体" w:cs="宋体"/>
          <w:color w:val="auto"/>
          <w:sz w:val="24"/>
          <w:szCs w:val="18"/>
          <w:highlight w:val="none"/>
          <w:lang w:val="zh-CN"/>
        </w:rPr>
        <w:t>代理机构</w:t>
      </w:r>
      <w:r>
        <w:rPr>
          <w:rFonts w:hint="eastAsia" w:ascii="宋体" w:hAnsi="宋体" w:cs="宋体"/>
          <w:color w:val="auto"/>
          <w:sz w:val="24"/>
          <w:szCs w:val="18"/>
          <w:highlight w:val="none"/>
        </w:rPr>
        <w:t>出具</w:t>
      </w:r>
      <w:r>
        <w:rPr>
          <w:rFonts w:hint="eastAsia" w:ascii="宋体" w:hAnsi="宋体" w:cs="宋体"/>
          <w:color w:val="auto"/>
          <w:sz w:val="24"/>
          <w:szCs w:val="18"/>
          <w:highlight w:val="none"/>
          <w:lang w:val="zh-CN"/>
        </w:rPr>
        <w:t>有效性、完整性和响应程度</w:t>
      </w:r>
      <w:r>
        <w:rPr>
          <w:rFonts w:hint="eastAsia" w:ascii="宋体" w:hAnsi="宋体" w:cs="宋体"/>
          <w:color w:val="auto"/>
          <w:sz w:val="24"/>
          <w:szCs w:val="18"/>
          <w:highlight w:val="none"/>
        </w:rPr>
        <w:t>审查报告，确定继续磋商的供应商名单。没有通过</w:t>
      </w:r>
      <w:r>
        <w:rPr>
          <w:rFonts w:hint="eastAsia" w:ascii="宋体" w:hAnsi="宋体" w:cs="宋体"/>
          <w:color w:val="auto"/>
          <w:sz w:val="24"/>
          <w:szCs w:val="18"/>
          <w:highlight w:val="none"/>
          <w:lang w:val="zh-CN"/>
        </w:rPr>
        <w:t>有效性、完整性和响应程度</w:t>
      </w:r>
      <w:r>
        <w:rPr>
          <w:rFonts w:hint="eastAsia" w:ascii="宋体" w:hAnsi="宋体" w:cs="宋体"/>
          <w:color w:val="auto"/>
          <w:sz w:val="24"/>
          <w:szCs w:val="18"/>
          <w:highlight w:val="none"/>
        </w:rPr>
        <w:t>审查的供应商，磋商小组应在</w:t>
      </w:r>
      <w:r>
        <w:rPr>
          <w:rFonts w:hint="eastAsia" w:ascii="宋体" w:hAnsi="宋体" w:cs="宋体"/>
          <w:color w:val="auto"/>
          <w:sz w:val="24"/>
          <w:szCs w:val="18"/>
          <w:highlight w:val="none"/>
          <w:lang w:val="zh-CN"/>
        </w:rPr>
        <w:t>有效性、完整性和响应程度</w:t>
      </w:r>
      <w:r>
        <w:rPr>
          <w:rFonts w:hint="eastAsia" w:ascii="宋体" w:hAnsi="宋体" w:cs="宋体"/>
          <w:color w:val="auto"/>
          <w:sz w:val="24"/>
          <w:szCs w:val="18"/>
          <w:highlight w:val="none"/>
        </w:rPr>
        <w:t>审查报告中说明原因。</w:t>
      </w:r>
    </w:p>
    <w:p w14:paraId="4C37E6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2.4.7磋商过程中，磋商的任何一方不得透露与磋商有关的其他供应商的技术资料、价格和其他信息。</w:t>
      </w:r>
    </w:p>
    <w:p w14:paraId="68C169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2.4.8磋商过程中，磋商小组发现或者知晓供应商存在违法、违纪行为的，磋商小组应当将该供应商响应文件作无效处理，不允许其提交最后报价。</w:t>
      </w:r>
    </w:p>
    <w:p w14:paraId="5F7891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2.4.9磋商完成后，磋商小组应出具磋商情况记录表，磋商情况记录表需包含磋商内容、磋商意见、实质性变动内容等。</w:t>
      </w:r>
    </w:p>
    <w:p w14:paraId="7920D35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宋体" w:hAnsi="宋体" w:cs="宋体"/>
          <w:b/>
          <w:bCs/>
          <w:color w:val="auto"/>
          <w:sz w:val="24"/>
          <w:szCs w:val="18"/>
          <w:highlight w:val="none"/>
        </w:rPr>
      </w:pPr>
      <w:r>
        <w:rPr>
          <w:rFonts w:hint="eastAsia" w:ascii="宋体" w:hAnsi="宋体" w:cs="宋体"/>
          <w:b/>
          <w:bCs/>
          <w:color w:val="auto"/>
          <w:sz w:val="24"/>
          <w:szCs w:val="18"/>
          <w:highlight w:val="none"/>
        </w:rPr>
        <w:t>2.5报价</w:t>
      </w:r>
    </w:p>
    <w:p w14:paraId="44633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lang w:val="zh-CN"/>
        </w:rPr>
      </w:pPr>
      <w:r>
        <w:rPr>
          <w:rFonts w:hint="eastAsia" w:ascii="宋体" w:hAnsi="宋体" w:cs="宋体"/>
          <w:color w:val="auto"/>
          <w:sz w:val="24"/>
          <w:szCs w:val="18"/>
          <w:highlight w:val="none"/>
        </w:rPr>
        <w:t>2.5.1除首次响应文件中的报价以外，供应商报价采用现场报价。</w:t>
      </w:r>
    </w:p>
    <w:p w14:paraId="5291F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18"/>
          <w:highlight w:val="none"/>
        </w:rPr>
      </w:pPr>
      <w:r>
        <w:rPr>
          <w:rFonts w:hint="eastAsia" w:ascii="宋体" w:hAnsi="宋体" w:cs="宋体"/>
          <w:color w:val="auto"/>
          <w:sz w:val="24"/>
          <w:szCs w:val="18"/>
          <w:highlight w:val="none"/>
        </w:rPr>
        <w:t>2.5.</w:t>
      </w:r>
      <w:r>
        <w:rPr>
          <w:rFonts w:hint="eastAsia" w:hAnsi="宋体" w:cs="宋体"/>
          <w:color w:val="auto"/>
          <w:sz w:val="24"/>
          <w:szCs w:val="18"/>
          <w:highlight w:val="none"/>
          <w:lang w:val="en-US" w:eastAsia="zh-CN"/>
        </w:rPr>
        <w:t>2</w:t>
      </w:r>
      <w:r>
        <w:rPr>
          <w:rFonts w:hint="eastAsia" w:ascii="宋体" w:hAnsi="宋体" w:cs="宋体"/>
          <w:color w:val="auto"/>
          <w:sz w:val="24"/>
          <w:szCs w:val="18"/>
          <w:highlight w:val="none"/>
        </w:rPr>
        <w:t>参与报价的供应商按磋商小组要求进行报价。最后报价超过竞争性磋商文件规定的政府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4DA6B36A">
      <w:pPr>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2.5.3</w:t>
      </w:r>
      <w:r>
        <w:rPr>
          <w:rFonts w:hint="eastAsia" w:asciiTheme="minorEastAsia" w:hAnsiTheme="minorEastAsia" w:eastAsiaTheme="minorEastAsia" w:cstheme="minorEastAsia"/>
          <w:color w:val="auto"/>
          <w:sz w:val="24"/>
          <w:szCs w:val="24"/>
          <w:highlight w:val="none"/>
        </w:rPr>
        <w:t>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34B4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18"/>
          <w:highlight w:val="none"/>
        </w:rPr>
      </w:pPr>
      <w:r>
        <w:rPr>
          <w:rFonts w:hint="eastAsia" w:asciiTheme="minorEastAsia" w:hAnsiTheme="minorEastAsia" w:eastAsiaTheme="minorEastAsia" w:cstheme="minorEastAsia"/>
          <w:color w:val="auto"/>
          <w:sz w:val="24"/>
          <w:szCs w:val="24"/>
          <w:highlight w:val="none"/>
          <w:lang w:val="en-US" w:eastAsia="zh-CN"/>
        </w:rPr>
        <w:t>2.5.4</w:t>
      </w:r>
      <w:r>
        <w:rPr>
          <w:rFonts w:hint="eastAsia" w:asciiTheme="minorEastAsia" w:hAnsiTheme="minorEastAsia" w:eastAsiaTheme="minorEastAsia" w:cstheme="minorEastAsia"/>
          <w:color w:val="auto"/>
          <w:sz w:val="24"/>
          <w:szCs w:val="24"/>
          <w:highlight w:val="none"/>
        </w:rPr>
        <w:t>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w:t>
      </w:r>
    </w:p>
    <w:p w14:paraId="698C93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2.5.</w:t>
      </w:r>
      <w:r>
        <w:rPr>
          <w:rFonts w:hint="eastAsia" w:hAnsi="宋体" w:cs="宋体"/>
          <w:color w:val="auto"/>
          <w:sz w:val="24"/>
          <w:szCs w:val="18"/>
          <w:highlight w:val="none"/>
          <w:lang w:val="en-US" w:eastAsia="zh-CN"/>
        </w:rPr>
        <w:t>5</w:t>
      </w:r>
      <w:r>
        <w:rPr>
          <w:rFonts w:hint="eastAsia" w:ascii="宋体" w:hAnsi="宋体" w:cs="宋体"/>
          <w:color w:val="auto"/>
          <w:sz w:val="24"/>
          <w:szCs w:val="18"/>
          <w:highlight w:val="none"/>
        </w:rPr>
        <w:t>供应商报价应当由法定代表人/主要负责人/本人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6CD68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2.5.</w:t>
      </w:r>
      <w:r>
        <w:rPr>
          <w:rFonts w:hint="eastAsia" w:hAnsi="宋体" w:cs="宋体"/>
          <w:color w:val="auto"/>
          <w:sz w:val="24"/>
          <w:szCs w:val="18"/>
          <w:highlight w:val="none"/>
          <w:lang w:val="en-US" w:eastAsia="zh-CN"/>
        </w:rPr>
        <w:t>6</w:t>
      </w:r>
      <w:r>
        <w:rPr>
          <w:rFonts w:hint="eastAsia" w:ascii="宋体" w:hAnsi="宋体" w:cs="宋体"/>
          <w:color w:val="auto"/>
          <w:sz w:val="24"/>
          <w:szCs w:val="18"/>
          <w:highlight w:val="none"/>
        </w:rPr>
        <w:t>采购人在磋商文件中直接确定了采购项目采购价格的，供应商的报价应当按照磋商文件中确定了的采购项目采购价格进行报价，不得增加或者减少，否则其报价无效，其响应文件将作为无效处理。</w:t>
      </w:r>
    </w:p>
    <w:p w14:paraId="29B9DE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2.6比较与评价。由磋商小组采用综合评分法对提交最后报价的供应商的响应文件和最后报价进行综合评分，具体要求详见本章综合评分部分。</w:t>
      </w:r>
    </w:p>
    <w:p w14:paraId="49D6A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得分高低）顺序推荐。评审得分且最后报价且技术指标得分均相同的，成交候选供应商并列，由采购人随机抽签确定成交供应商。</w:t>
      </w:r>
    </w:p>
    <w:p w14:paraId="4BF464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2.8磋商小组复核。磋商小组评分汇总结束后，磋商小组应当进行评审复核，对拟推荐为成交候选供应商的、报价最低的、供应商资格审查未通过的、供应商响应文件作无效处理的重点复核。</w:t>
      </w:r>
    </w:p>
    <w:p w14:paraId="2A1BF1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2.9采购组织单位现场复核评审结果。</w:t>
      </w:r>
    </w:p>
    <w:p w14:paraId="29C8BF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2.9.1评审结果汇总完成后，磋商小组拟出具磋商评审报告前，采购代理机构应当组织2名以上的本单位工作人员，在采购现场监督人员的监督之下，依据有关的法律制度和磋商文件对评审结果进行复核，出具复核报告，存在下列情形之一的，采购代理机构应当根据情况书面建议磋商小组现场修改评审结果：</w:t>
      </w:r>
    </w:p>
    <w:p w14:paraId="16E4E5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（1）分值汇总计算错误的；</w:t>
      </w:r>
    </w:p>
    <w:p w14:paraId="1199CC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（2）分项评分超出评分标准范围的；</w:t>
      </w:r>
    </w:p>
    <w:p w14:paraId="65BC69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（3）客观评分不一致的。</w:t>
      </w:r>
    </w:p>
    <w:p w14:paraId="34B80A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存在本条上述情形的，由磋商小组自主决定是否采纳采购代理机构的书面建议，并承担独立评审责任。磋商小组采纳采购代理机构书面建议的，应当按照规定现场修改评审结果或者重新评审，并在磋商报告中详细记载有关事宜；不采纳采购代理机构书面建议的，应当书面说明理由。采购代理机构书面建议未被磋商小组采纳的，应当接照规定程序要求继续组织实施采购活动，不得擅自中止采购活动。采购代理机构认为磋商小组评审结果不合法的，应当书面报告采购项目同级财政部门。</w:t>
      </w:r>
    </w:p>
    <w:p w14:paraId="7170B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采购代理机构复核过程中，磋商小组成员不得离开评审现场。</w:t>
      </w:r>
    </w:p>
    <w:p w14:paraId="3BDB5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2.9.2有下列情形之一的，不得现场修改评审结果：</w:t>
      </w:r>
    </w:p>
    <w:p w14:paraId="3F94B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（1）磋商小组已经出具磋商报告并且离开评审现场的；</w:t>
      </w:r>
    </w:p>
    <w:p w14:paraId="0B8F61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（2）采购代理机构现场复核时，复核工作人员数量不足的；</w:t>
      </w:r>
    </w:p>
    <w:p w14:paraId="671A3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（3）采购代理机构现场复核时，没有采购监督人员现场监督的；</w:t>
      </w:r>
    </w:p>
    <w:p w14:paraId="2EA78F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（4）采购代理机构现场复核内容超出规定范围的；</w:t>
      </w:r>
    </w:p>
    <w:p w14:paraId="49D23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（5）采购代理机构未提供书面建议的。</w:t>
      </w:r>
    </w:p>
    <w:p w14:paraId="21B811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2.10编写磋商报告。磋商小组推荐成交候选供应商后，应向采购代理机构出具磋商报告。磋商报告应当包括以下主要内容：</w:t>
      </w:r>
    </w:p>
    <w:p w14:paraId="0D374F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（1）邀请供应商参加采购活动的具体方式和相关情况；</w:t>
      </w:r>
    </w:p>
    <w:p w14:paraId="436F92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（2）响应文件开启日期和地点；</w:t>
      </w:r>
    </w:p>
    <w:p w14:paraId="2CBB4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（3）获取磋商文件的供应商名单和磋商小组成员名单；</w:t>
      </w:r>
    </w:p>
    <w:p w14:paraId="4F4D0D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（4）评审情况记录和说明，包括对供应商的资格审查情况、供应商响应文件审查情况、磋商情况、报价情况等；</w:t>
      </w:r>
    </w:p>
    <w:p w14:paraId="2565FF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（5）提出的成交候选供应商的排序名单及理由。</w:t>
      </w:r>
    </w:p>
    <w:p w14:paraId="45EC69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2248CE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4B68E2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2.12供应商澄清、说明</w:t>
      </w:r>
    </w:p>
    <w:p w14:paraId="696B79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D34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2.12.2磋商小组要求供应商澄清、说明或者更正响应文件应当以书面形式作出。供应商的澄清、说明或者更正应当由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w:t>
      </w:r>
    </w:p>
    <w:p w14:paraId="08A283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2.13终止磋商采购活动。</w:t>
      </w:r>
    </w:p>
    <w:p w14:paraId="4DB044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出现下列情形之一的，采购人或者采购代理机构应当终止竞争性磋商采购活动，发布项目终止公告并说明原因，重新开展采购活动：</w:t>
      </w:r>
    </w:p>
    <w:p w14:paraId="7F97D0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（1）因情况变化，不再符合规定的竞争性磋商采购方式适用情形的；</w:t>
      </w:r>
    </w:p>
    <w:p w14:paraId="3CFE3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（2）出现影响采购公正的违法、违规行为的；</w:t>
      </w:r>
    </w:p>
    <w:p w14:paraId="0B3263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（3）在采购过程中符合要求的供应商或者最后报价未超过采购预算的供应商不足3家的。</w:t>
      </w:r>
    </w:p>
    <w:p w14:paraId="385219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szCs w:val="18"/>
          <w:highlight w:val="none"/>
        </w:rPr>
      </w:pPr>
      <w:r>
        <w:rPr>
          <w:rFonts w:hint="eastAsia" w:ascii="宋体" w:hAnsi="宋体" w:cs="宋体"/>
          <w:color w:val="auto"/>
          <w:sz w:val="24"/>
          <w:szCs w:val="18"/>
          <w:highlight w:val="none"/>
        </w:rPr>
        <w:t>2.14磋商活动结束后，发现资格预审过程中资格性审查认定错误的，磋商结果无效，重新开展采购活动，由此给供应商造成损失的，由采购人、采购代理机构承担赔偿责任。但是，经过所有参加采购活动的供应商书面认可，同意重新实行资格性审查的，可以直接重新实行资格性审查，并重新按照规定要求进行磋商评审。</w:t>
      </w:r>
    </w:p>
    <w:p w14:paraId="782FF33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ascii="宋体" w:hAnsi="宋体" w:cs="宋体"/>
          <w:b/>
          <w:color w:val="auto"/>
          <w:sz w:val="24"/>
          <w:highlight w:val="none"/>
        </w:rPr>
      </w:pPr>
      <w:r>
        <w:rPr>
          <w:rFonts w:hint="eastAsia" w:ascii="宋体" w:hAnsi="宋体" w:cs="宋体"/>
          <w:b/>
          <w:color w:val="auto"/>
          <w:sz w:val="24"/>
          <w:highlight w:val="none"/>
        </w:rPr>
        <w:t>3.综合评分</w:t>
      </w:r>
    </w:p>
    <w:p w14:paraId="087634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cs="宋体"/>
          <w:color w:val="auto"/>
          <w:sz w:val="24"/>
          <w:highlight w:val="none"/>
        </w:rPr>
      </w:pPr>
      <w:r>
        <w:rPr>
          <w:rFonts w:hint="eastAsia" w:ascii="宋体" w:hAnsi="宋体" w:cs="宋体"/>
          <w:color w:val="auto"/>
          <w:sz w:val="24"/>
          <w:highlight w:val="none"/>
        </w:rPr>
        <w:t>3.1本次综合评分的因素详见综合评分明细表。</w:t>
      </w:r>
    </w:p>
    <w:p w14:paraId="04F9F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highlight w:val="none"/>
        </w:rPr>
      </w:pPr>
      <w:r>
        <w:rPr>
          <w:rFonts w:hint="eastAsia" w:ascii="宋体" w:hAnsi="宋体" w:cs="宋体"/>
          <w:color w:val="auto"/>
          <w:sz w:val="24"/>
          <w:highlight w:val="none"/>
        </w:rPr>
        <w:t>3.2 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政府采购政策功能、政府采购合同主要条款及其他政策合同类的评分因素由抽取的法律方面磋商小组成员独立评分。采购人代表原则上对技术、与技术有关的服务及其他技术类评分因素独立评分。价格及其他不能明确区分的评分因素由磋商小组成员共同评分。</w:t>
      </w:r>
    </w:p>
    <w:p w14:paraId="1E288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3.3综合评分明细表</w:t>
      </w:r>
    </w:p>
    <w:tbl>
      <w:tblPr>
        <w:tblStyle w:val="24"/>
        <w:tblW w:w="10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29"/>
        <w:gridCol w:w="766"/>
        <w:gridCol w:w="6519"/>
        <w:gridCol w:w="951"/>
      </w:tblGrid>
      <w:tr w14:paraId="4E8A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60" w:type="dxa"/>
            <w:vAlign w:val="center"/>
          </w:tcPr>
          <w:p w14:paraId="4AC12285">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宋体" w:hAnsi="宋体" w:cs="宋体"/>
                <w:color w:val="auto"/>
                <w:sz w:val="24"/>
                <w:highlight w:val="none"/>
              </w:rPr>
            </w:pPr>
            <w:r>
              <w:rPr>
                <w:rFonts w:hint="eastAsia" w:ascii="宋体" w:hAnsi="宋体" w:cs="宋体"/>
                <w:color w:val="auto"/>
                <w:sz w:val="24"/>
                <w:highlight w:val="none"/>
              </w:rPr>
              <w:t>序号</w:t>
            </w:r>
          </w:p>
        </w:tc>
        <w:tc>
          <w:tcPr>
            <w:tcW w:w="1129" w:type="dxa"/>
            <w:vAlign w:val="center"/>
          </w:tcPr>
          <w:p w14:paraId="6980D28F">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宋体" w:hAnsi="宋体" w:cs="宋体"/>
                <w:color w:val="auto"/>
                <w:sz w:val="24"/>
                <w:highlight w:val="none"/>
              </w:rPr>
            </w:pPr>
            <w:r>
              <w:rPr>
                <w:rFonts w:hint="eastAsia" w:ascii="宋体" w:hAnsi="宋体" w:cs="宋体"/>
                <w:color w:val="auto"/>
                <w:sz w:val="24"/>
                <w:highlight w:val="none"/>
              </w:rPr>
              <w:t>评分因素及权重</w:t>
            </w:r>
          </w:p>
        </w:tc>
        <w:tc>
          <w:tcPr>
            <w:tcW w:w="766" w:type="dxa"/>
            <w:vAlign w:val="center"/>
          </w:tcPr>
          <w:p w14:paraId="6D06E4AD">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宋体" w:hAnsi="宋体" w:cs="宋体"/>
                <w:color w:val="auto"/>
                <w:sz w:val="24"/>
                <w:highlight w:val="none"/>
              </w:rPr>
            </w:pPr>
            <w:r>
              <w:rPr>
                <w:rFonts w:hint="eastAsia" w:ascii="宋体" w:hAnsi="宋体" w:cs="宋体"/>
                <w:color w:val="auto"/>
                <w:sz w:val="24"/>
                <w:highlight w:val="none"/>
              </w:rPr>
              <w:t>分值</w:t>
            </w:r>
          </w:p>
        </w:tc>
        <w:tc>
          <w:tcPr>
            <w:tcW w:w="6519" w:type="dxa"/>
            <w:vAlign w:val="center"/>
          </w:tcPr>
          <w:p w14:paraId="1A09752C">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宋体" w:hAnsi="宋体" w:cs="宋体"/>
                <w:color w:val="auto"/>
                <w:sz w:val="24"/>
                <w:highlight w:val="none"/>
              </w:rPr>
            </w:pPr>
            <w:r>
              <w:rPr>
                <w:rFonts w:hint="eastAsia" w:ascii="宋体" w:hAnsi="宋体" w:cs="宋体"/>
                <w:color w:val="auto"/>
                <w:sz w:val="24"/>
                <w:highlight w:val="none"/>
              </w:rPr>
              <w:t>评分标准</w:t>
            </w:r>
          </w:p>
        </w:tc>
        <w:tc>
          <w:tcPr>
            <w:tcW w:w="951" w:type="dxa"/>
            <w:vAlign w:val="center"/>
          </w:tcPr>
          <w:p w14:paraId="6AF532A1">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宋体" w:hAnsi="宋体" w:cs="宋体"/>
                <w:color w:val="auto"/>
                <w:sz w:val="24"/>
                <w:highlight w:val="none"/>
              </w:rPr>
            </w:pPr>
            <w:r>
              <w:rPr>
                <w:rFonts w:hint="eastAsia" w:ascii="宋体" w:hAnsi="宋体" w:cs="宋体"/>
                <w:color w:val="auto"/>
                <w:sz w:val="24"/>
                <w:highlight w:val="none"/>
              </w:rPr>
              <w:t>说</w:t>
            </w:r>
            <w:r>
              <w:rPr>
                <w:rFonts w:hint="eastAsia" w:ascii="宋体" w:hAnsi="宋体" w:cs="宋体"/>
                <w:color w:val="auto"/>
                <w:sz w:val="24"/>
                <w:highlight w:val="none"/>
              </w:rPr>
              <w:tab/>
            </w:r>
            <w:r>
              <w:rPr>
                <w:rFonts w:hint="eastAsia" w:ascii="宋体" w:hAnsi="宋体" w:cs="宋体"/>
                <w:color w:val="auto"/>
                <w:sz w:val="24"/>
                <w:highlight w:val="none"/>
              </w:rPr>
              <w:t>明</w:t>
            </w:r>
          </w:p>
        </w:tc>
      </w:tr>
      <w:tr w14:paraId="0E8D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760" w:type="dxa"/>
            <w:vAlign w:val="center"/>
          </w:tcPr>
          <w:p w14:paraId="6A79B544">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1</w:t>
            </w:r>
          </w:p>
        </w:tc>
        <w:tc>
          <w:tcPr>
            <w:tcW w:w="1129" w:type="dxa"/>
            <w:vAlign w:val="center"/>
          </w:tcPr>
          <w:p w14:paraId="13E9B6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报价20%</w:t>
            </w:r>
          </w:p>
        </w:tc>
        <w:tc>
          <w:tcPr>
            <w:tcW w:w="766" w:type="dxa"/>
            <w:vAlign w:val="center"/>
          </w:tcPr>
          <w:p w14:paraId="6EDFC38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20分</w:t>
            </w:r>
          </w:p>
        </w:tc>
        <w:tc>
          <w:tcPr>
            <w:tcW w:w="6519" w:type="dxa"/>
            <w:vAlign w:val="center"/>
          </w:tcPr>
          <w:p w14:paraId="3C5F9375">
            <w:pPr>
              <w:kinsoku/>
              <w:overflowPunct/>
              <w:bidi w:val="0"/>
              <w:spacing w:line="360" w:lineRule="auto"/>
              <w:ind w:firstLine="480" w:firstLineChars="200"/>
              <w:rPr>
                <w:rFonts w:hint="default"/>
                <w:color w:val="auto"/>
                <w:sz w:val="24"/>
                <w:szCs w:val="24"/>
                <w:highlight w:val="none"/>
                <w:lang w:val="en-US" w:eastAsia="zh-CN"/>
              </w:rPr>
            </w:pPr>
            <w:r>
              <w:rPr>
                <w:rFonts w:hint="eastAsia" w:ascii="宋体" w:hAnsi="宋体" w:eastAsia="宋体" w:cs="宋体"/>
                <w:color w:val="auto"/>
                <w:sz w:val="24"/>
                <w:szCs w:val="24"/>
                <w:highlight w:val="none"/>
              </w:rPr>
              <w:t>以满足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文件要求且</w:t>
            </w:r>
            <w:r>
              <w:rPr>
                <w:rFonts w:hint="eastAsia" w:hAnsi="宋体" w:cs="宋体"/>
                <w:color w:val="auto"/>
                <w:sz w:val="24"/>
                <w:szCs w:val="24"/>
                <w:highlight w:val="none"/>
                <w:lang w:val="en-US" w:eastAsia="zh-CN"/>
              </w:rPr>
              <w:t>最后</w:t>
            </w:r>
            <w:r>
              <w:rPr>
                <w:rFonts w:hint="eastAsia" w:ascii="宋体" w:hAnsi="宋体" w:eastAsia="宋体" w:cs="宋体"/>
                <w:color w:val="auto"/>
                <w:sz w:val="24"/>
                <w:szCs w:val="24"/>
                <w:highlight w:val="none"/>
              </w:rPr>
              <w:t>报价</w:t>
            </w:r>
            <w:r>
              <w:rPr>
                <w:rFonts w:hint="eastAsia" w:hAnsi="宋体" w:cs="宋体"/>
                <w:color w:val="auto"/>
                <w:sz w:val="24"/>
                <w:szCs w:val="24"/>
                <w:highlight w:val="none"/>
                <w:lang w:val="en-US" w:eastAsia="zh-CN"/>
              </w:rPr>
              <w:t>最低的为</w:t>
            </w:r>
            <w:r>
              <w:rPr>
                <w:rFonts w:hint="eastAsia" w:ascii="宋体" w:hAnsi="宋体" w:eastAsia="宋体" w:cs="宋体"/>
                <w:color w:val="auto"/>
                <w:sz w:val="24"/>
                <w:szCs w:val="24"/>
                <w:highlight w:val="none"/>
              </w:rPr>
              <w:t>评审基准</w:t>
            </w:r>
            <w:r>
              <w:rPr>
                <w:rFonts w:hint="eastAsia" w:hAnsi="宋体" w:cs="宋体"/>
                <w:color w:val="auto"/>
                <w:sz w:val="24"/>
                <w:szCs w:val="24"/>
                <w:highlight w:val="none"/>
                <w:lang w:val="en-US" w:eastAsia="zh-CN"/>
              </w:rPr>
              <w:t>价</w:t>
            </w:r>
            <w:r>
              <w:rPr>
                <w:rFonts w:hint="eastAsia" w:ascii="宋体" w:hAnsi="宋体" w:eastAsia="宋体" w:cs="宋体"/>
                <w:color w:val="auto"/>
                <w:sz w:val="24"/>
                <w:szCs w:val="24"/>
                <w:highlight w:val="none"/>
              </w:rPr>
              <w:t>，其得分为满分。其他供应商的</w:t>
            </w:r>
            <w:r>
              <w:rPr>
                <w:rFonts w:hint="eastAsia" w:hAnsi="宋体" w:cs="宋体"/>
                <w:color w:val="auto"/>
                <w:sz w:val="24"/>
                <w:szCs w:val="24"/>
                <w:highlight w:val="none"/>
                <w:lang w:val="en-US" w:eastAsia="zh-CN"/>
              </w:rPr>
              <w:t>报价</w:t>
            </w:r>
            <w:r>
              <w:rPr>
                <w:rFonts w:hint="eastAsia" w:ascii="宋体" w:hAnsi="宋体" w:eastAsia="宋体" w:cs="宋体"/>
                <w:color w:val="auto"/>
                <w:sz w:val="24"/>
                <w:szCs w:val="24"/>
                <w:highlight w:val="none"/>
              </w:rPr>
              <w:t>得分统一按照下列公式计算：</w:t>
            </w:r>
            <w:r>
              <w:rPr>
                <w:rFonts w:hint="eastAsia" w:ascii="宋体" w:hAnsi="宋体" w:eastAsia="宋体" w:cs="宋体"/>
                <w:color w:val="auto"/>
                <w:sz w:val="24"/>
                <w:szCs w:val="24"/>
                <w:highlight w:val="none"/>
                <w:lang w:val="en-US" w:eastAsia="zh-CN"/>
              </w:rPr>
              <w:t>报价得分= (</w:t>
            </w:r>
            <w:r>
              <w:rPr>
                <w:rFonts w:hint="eastAsia" w:hAnsi="宋体"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基准价／响应报价）*100%*</w:t>
            </w:r>
            <w:r>
              <w:rPr>
                <w:rFonts w:hint="eastAsia" w:hAnsi="宋体" w:cs="宋体"/>
                <w:color w:val="auto"/>
                <w:sz w:val="24"/>
                <w:szCs w:val="24"/>
                <w:highlight w:val="none"/>
                <w:lang w:val="en-US" w:eastAsia="zh-CN"/>
              </w:rPr>
              <w:t>20</w:t>
            </w:r>
          </w:p>
        </w:tc>
        <w:tc>
          <w:tcPr>
            <w:tcW w:w="951" w:type="dxa"/>
            <w:vAlign w:val="center"/>
          </w:tcPr>
          <w:p w14:paraId="286D2CE8">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color w:val="auto"/>
                <w:sz w:val="24"/>
                <w:highlight w:val="none"/>
              </w:rPr>
            </w:pPr>
          </w:p>
        </w:tc>
      </w:tr>
      <w:tr w14:paraId="550E5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9" w:hRule="atLeast"/>
          <w:jc w:val="center"/>
        </w:trPr>
        <w:tc>
          <w:tcPr>
            <w:tcW w:w="760" w:type="dxa"/>
            <w:vAlign w:val="center"/>
          </w:tcPr>
          <w:p w14:paraId="25262743">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default" w:hAnsi="宋体" w:cs="宋体"/>
                <w:color w:val="auto"/>
                <w:sz w:val="24"/>
                <w:highlight w:val="none"/>
                <w:lang w:val="en-US" w:eastAsia="zh-CN"/>
              </w:rPr>
            </w:pPr>
            <w:r>
              <w:rPr>
                <w:rFonts w:hint="eastAsia" w:hAnsi="宋体" w:cs="宋体"/>
                <w:color w:val="auto"/>
                <w:sz w:val="24"/>
                <w:highlight w:val="none"/>
                <w:lang w:val="en-US" w:eastAsia="zh-CN"/>
              </w:rPr>
              <w:t>2</w:t>
            </w:r>
          </w:p>
        </w:tc>
        <w:tc>
          <w:tcPr>
            <w:tcW w:w="1129" w:type="dxa"/>
            <w:vAlign w:val="center"/>
          </w:tcPr>
          <w:p w14:paraId="6FA0BBF4">
            <w:pPr>
              <w:kinsoku/>
              <w:overflowPunct/>
              <w:bidi w:val="0"/>
              <w:spacing w:line="360" w:lineRule="auto"/>
              <w:ind w:firstLine="480" w:firstLineChars="200"/>
              <w:jc w:val="center"/>
              <w:rPr>
                <w:rFonts w:hint="eastAsia" w:hAnsi="宋体" w:cs="宋体"/>
                <w:color w:val="auto"/>
                <w:sz w:val="24"/>
                <w:highlight w:val="none"/>
                <w:lang w:val="en-US" w:eastAsia="zh-CN"/>
              </w:rPr>
            </w:pPr>
            <w:r>
              <w:rPr>
                <w:rFonts w:hint="eastAsia" w:hAnsi="宋体"/>
                <w:color w:val="auto"/>
                <w:sz w:val="24"/>
                <w:highlight w:val="none"/>
                <w:lang w:val="en-US" w:eastAsia="zh-CN"/>
              </w:rPr>
              <w:t>技术服务方案30</w:t>
            </w:r>
            <w:r>
              <w:rPr>
                <w:rFonts w:ascii="宋体" w:hAnsi="宋体"/>
                <w:color w:val="auto"/>
                <w:sz w:val="24"/>
                <w:highlight w:val="none"/>
              </w:rPr>
              <w:t>%</w:t>
            </w:r>
          </w:p>
        </w:tc>
        <w:tc>
          <w:tcPr>
            <w:tcW w:w="766" w:type="dxa"/>
            <w:vAlign w:val="center"/>
          </w:tcPr>
          <w:p w14:paraId="06855D31">
            <w:pPr>
              <w:kinsoku/>
              <w:overflowPunct/>
              <w:bidi w:val="0"/>
              <w:spacing w:line="360" w:lineRule="auto"/>
              <w:ind w:firstLine="480" w:firstLineChars="200"/>
              <w:jc w:val="center"/>
              <w:rPr>
                <w:rFonts w:hint="eastAsia" w:hAnsi="宋体" w:cs="宋体"/>
                <w:color w:val="auto"/>
                <w:sz w:val="24"/>
                <w:highlight w:val="none"/>
                <w:lang w:val="en-US" w:eastAsia="zh-CN"/>
              </w:rPr>
            </w:pPr>
            <w:r>
              <w:rPr>
                <w:rFonts w:hint="eastAsia" w:hAnsi="宋体"/>
                <w:color w:val="auto"/>
                <w:sz w:val="24"/>
                <w:highlight w:val="none"/>
                <w:lang w:val="en-US" w:eastAsia="zh-CN"/>
              </w:rPr>
              <w:t>30</w:t>
            </w:r>
            <w:r>
              <w:rPr>
                <w:rFonts w:hint="eastAsia" w:ascii="宋体" w:hAnsi="宋体"/>
                <w:color w:val="auto"/>
                <w:sz w:val="24"/>
                <w:highlight w:val="none"/>
              </w:rPr>
              <w:t>分</w:t>
            </w:r>
          </w:p>
        </w:tc>
        <w:tc>
          <w:tcPr>
            <w:tcW w:w="6519" w:type="dxa"/>
            <w:vAlign w:val="center"/>
          </w:tcPr>
          <w:p w14:paraId="5F8B6E6A">
            <w:pPr>
              <w:pStyle w:val="72"/>
              <w:numPr>
                <w:ilvl w:val="0"/>
                <w:numId w:val="0"/>
              </w:numPr>
              <w:kinsoku/>
              <w:overflowPunct/>
              <w:bidi w:val="0"/>
              <w:spacing w:before="89" w:line="360" w:lineRule="auto"/>
              <w:ind w:right="103"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应商根据本项目</w:t>
            </w:r>
            <w:r>
              <w:rPr>
                <w:rFonts w:hint="eastAsia" w:ascii="宋体" w:hAnsi="宋体"/>
                <w:color w:val="auto"/>
                <w:sz w:val="24"/>
                <w:highlight w:val="none"/>
              </w:rPr>
              <w:t>提供的</w:t>
            </w:r>
            <w:r>
              <w:rPr>
                <w:rFonts w:ascii="宋体" w:hAnsi="宋体"/>
                <w:color w:val="auto"/>
                <w:sz w:val="24"/>
                <w:highlight w:val="none"/>
              </w:rPr>
              <w:t>组织实施方案包含：①</w:t>
            </w:r>
            <w:r>
              <w:rPr>
                <w:rFonts w:hint="eastAsia" w:ascii="宋体" w:hAnsi="宋体"/>
                <w:color w:val="auto"/>
                <w:sz w:val="24"/>
                <w:highlight w:val="none"/>
              </w:rPr>
              <w:t>技术方案</w:t>
            </w:r>
            <w:r>
              <w:rPr>
                <w:rFonts w:ascii="宋体" w:hAnsi="宋体"/>
                <w:color w:val="auto"/>
                <w:sz w:val="24"/>
                <w:highlight w:val="none"/>
              </w:rPr>
              <w:t>；②项目人员管理制度；③人员培训计划</w:t>
            </w:r>
            <w:r>
              <w:rPr>
                <w:rFonts w:hint="eastAsia" w:ascii="宋体" w:hAnsi="宋体"/>
                <w:color w:val="auto"/>
                <w:sz w:val="24"/>
                <w:highlight w:val="none"/>
              </w:rPr>
              <w:t>；④运维技术标准；⑤安全保密及风险防控措施；⑥应急预案</w:t>
            </w:r>
            <w:r>
              <w:rPr>
                <w:rFonts w:hint="eastAsia" w:hAnsi="宋体"/>
                <w:color w:val="auto"/>
                <w:sz w:val="24"/>
                <w:highlight w:val="none"/>
                <w:lang w:val="en-US" w:eastAsia="zh-CN"/>
              </w:rPr>
              <w:t>进行综合评审</w:t>
            </w:r>
            <w:r>
              <w:rPr>
                <w:rFonts w:hint="eastAsia" w:ascii="宋体" w:hAnsi="宋体" w:eastAsia="宋体" w:cs="宋体"/>
                <w:color w:val="auto"/>
                <w:kern w:val="2"/>
                <w:sz w:val="24"/>
                <w:szCs w:val="24"/>
                <w:highlight w:val="none"/>
                <w:lang w:val="en-US" w:eastAsia="zh-CN" w:bidi="ar-SA"/>
              </w:rPr>
              <w:t>；</w:t>
            </w:r>
            <w:r>
              <w:rPr>
                <w:rFonts w:hint="eastAsia" w:cs="宋体"/>
                <w:color w:val="auto"/>
                <w:kern w:val="2"/>
                <w:sz w:val="24"/>
                <w:szCs w:val="24"/>
                <w:highlight w:val="none"/>
                <w:lang w:val="en-US" w:eastAsia="zh-CN" w:bidi="ar-SA"/>
              </w:rPr>
              <w:t>每项5分，共计30分。</w:t>
            </w:r>
            <w:r>
              <w:rPr>
                <w:rFonts w:hint="eastAsia" w:ascii="宋体" w:hAnsi="宋体" w:eastAsia="宋体" w:cs="宋体"/>
                <w:color w:val="auto"/>
                <w:kern w:val="2"/>
                <w:sz w:val="24"/>
                <w:szCs w:val="24"/>
                <w:highlight w:val="none"/>
                <w:lang w:val="en-US" w:eastAsia="zh-CN" w:bidi="ar-SA"/>
              </w:rPr>
              <w:t>每缺一项的扣</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分；每有一项存在一处缺陷的扣2</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分，扣完为止。</w:t>
            </w:r>
          </w:p>
          <w:p w14:paraId="4FD3B6B3">
            <w:pPr>
              <w:pStyle w:val="72"/>
              <w:numPr>
                <w:ilvl w:val="0"/>
                <w:numId w:val="0"/>
              </w:numPr>
              <w:kinsoku/>
              <w:overflowPunct/>
              <w:bidi w:val="0"/>
              <w:spacing w:before="89" w:line="360" w:lineRule="auto"/>
              <w:ind w:right="103" w:righ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注：缺陷具体是指：单项方案中出现套用其他项目方案或内容、项目名称不符、地点和时间与项目需求不一致、内容中出现前后描述不一致现象或语言描述出现有错误、内容涉及适用的规范及标准（方法）出现错误、实施地点区域错误等任意一种情形。</w:t>
            </w:r>
          </w:p>
        </w:tc>
        <w:tc>
          <w:tcPr>
            <w:tcW w:w="951" w:type="dxa"/>
            <w:vAlign w:val="center"/>
          </w:tcPr>
          <w:p w14:paraId="502AEA1B">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color w:val="auto"/>
                <w:sz w:val="24"/>
                <w:highlight w:val="none"/>
              </w:rPr>
            </w:pPr>
          </w:p>
        </w:tc>
      </w:tr>
      <w:tr w14:paraId="1D34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6" w:hRule="atLeast"/>
          <w:jc w:val="center"/>
        </w:trPr>
        <w:tc>
          <w:tcPr>
            <w:tcW w:w="760" w:type="dxa"/>
            <w:vAlign w:val="center"/>
          </w:tcPr>
          <w:p w14:paraId="5955CFEB">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3</w:t>
            </w:r>
          </w:p>
        </w:tc>
        <w:tc>
          <w:tcPr>
            <w:tcW w:w="1129" w:type="dxa"/>
            <w:vAlign w:val="center"/>
          </w:tcPr>
          <w:p w14:paraId="478AF9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lang w:val="en-US" w:eastAsia="zh-CN"/>
              </w:rPr>
            </w:pPr>
            <w:r>
              <w:rPr>
                <w:rFonts w:hint="eastAsia" w:hAnsi="宋体" w:cs="宋体"/>
                <w:color w:val="auto"/>
                <w:sz w:val="24"/>
                <w:highlight w:val="none"/>
                <w:lang w:val="en-US" w:eastAsia="zh-CN"/>
              </w:rPr>
              <w:t>后期服务保障方案20%</w:t>
            </w:r>
          </w:p>
        </w:tc>
        <w:tc>
          <w:tcPr>
            <w:tcW w:w="766" w:type="dxa"/>
            <w:vAlign w:val="center"/>
          </w:tcPr>
          <w:p w14:paraId="42D4B7D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cs="宋体"/>
                <w:color w:val="auto"/>
                <w:sz w:val="24"/>
                <w:highlight w:val="none"/>
                <w:lang w:val="en-US" w:eastAsia="zh-CN"/>
              </w:rPr>
            </w:pPr>
            <w:r>
              <w:rPr>
                <w:rFonts w:hint="eastAsia" w:hAnsi="宋体" w:cs="宋体"/>
                <w:color w:val="auto"/>
                <w:sz w:val="24"/>
                <w:highlight w:val="none"/>
                <w:lang w:val="en-US" w:eastAsia="zh-CN"/>
              </w:rPr>
              <w:t>20分</w:t>
            </w:r>
          </w:p>
        </w:tc>
        <w:tc>
          <w:tcPr>
            <w:tcW w:w="6519" w:type="dxa"/>
            <w:vAlign w:val="center"/>
          </w:tcPr>
          <w:p w14:paraId="003E7B75">
            <w:pPr>
              <w:pStyle w:val="72"/>
              <w:numPr>
                <w:ilvl w:val="0"/>
                <w:numId w:val="0"/>
              </w:numPr>
              <w:kinsoku/>
              <w:overflowPunct/>
              <w:bidi w:val="0"/>
              <w:spacing w:before="89" w:line="360" w:lineRule="auto"/>
              <w:ind w:right="103" w:rightChars="0" w:firstLine="480" w:firstLineChars="200"/>
              <w:rPr>
                <w:rFonts w:ascii="宋体" w:hAnsi="宋体"/>
                <w:color w:val="auto"/>
                <w:sz w:val="24"/>
                <w:highlight w:val="none"/>
              </w:rPr>
            </w:pPr>
            <w:r>
              <w:rPr>
                <w:rFonts w:hint="eastAsia" w:ascii="宋体" w:hAnsi="宋体"/>
                <w:color w:val="auto"/>
                <w:sz w:val="24"/>
                <w:highlight w:val="none"/>
              </w:rPr>
              <w:t>对供应商提供的售后服务方案，包括：</w:t>
            </w:r>
            <w:r>
              <w:rPr>
                <w:rFonts w:ascii="宋体" w:hAnsi="宋体"/>
                <w:color w:val="auto"/>
                <w:sz w:val="24"/>
                <w:highlight w:val="none"/>
              </w:rPr>
              <w:t>①售后服务体系建设；②售后人员配置及培训计划；③售后服务网点建设；④故障处置及应急保障措施</w:t>
            </w:r>
            <w:r>
              <w:rPr>
                <w:rFonts w:hint="eastAsia" w:hAnsi="宋体"/>
                <w:color w:val="auto"/>
                <w:sz w:val="24"/>
                <w:highlight w:val="none"/>
                <w:lang w:val="en-US" w:eastAsia="zh-CN"/>
              </w:rPr>
              <w:t>进行综合评审。</w:t>
            </w:r>
            <w:r>
              <w:rPr>
                <w:rFonts w:hint="eastAsia" w:cs="宋体"/>
                <w:color w:val="auto"/>
                <w:kern w:val="2"/>
                <w:sz w:val="24"/>
                <w:szCs w:val="24"/>
                <w:highlight w:val="none"/>
                <w:lang w:val="en-US" w:eastAsia="zh-CN" w:bidi="ar-SA"/>
              </w:rPr>
              <w:t>每项5分，共计20分。</w:t>
            </w:r>
            <w:r>
              <w:rPr>
                <w:rFonts w:hint="eastAsia" w:ascii="宋体" w:hAnsi="宋体" w:eastAsia="宋体" w:cs="宋体"/>
                <w:color w:val="auto"/>
                <w:kern w:val="2"/>
                <w:sz w:val="24"/>
                <w:szCs w:val="24"/>
                <w:highlight w:val="none"/>
                <w:lang w:val="en-US" w:eastAsia="zh-CN" w:bidi="ar-SA"/>
              </w:rPr>
              <w:t>每缺一项的扣</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分；每有一项存在一处缺陷的扣2</w:t>
            </w:r>
            <w:r>
              <w:rPr>
                <w:rFonts w:hint="eastAsia"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分，扣完为止。</w:t>
            </w:r>
          </w:p>
          <w:p w14:paraId="3CB47A00">
            <w:pPr>
              <w:pStyle w:val="72"/>
              <w:numPr>
                <w:ilvl w:val="0"/>
                <w:numId w:val="0"/>
              </w:numPr>
              <w:kinsoku/>
              <w:overflowPunct/>
              <w:bidi w:val="0"/>
              <w:spacing w:before="89" w:line="360" w:lineRule="auto"/>
              <w:ind w:right="103" w:rightChars="0" w:firstLine="480" w:firstLineChars="200"/>
              <w:rPr>
                <w:rFonts w:hint="eastAsia" w:ascii="宋体" w:hAnsi="宋体" w:cs="宋体"/>
                <w:color w:val="auto"/>
                <w:sz w:val="24"/>
                <w:highlight w:val="none"/>
              </w:rPr>
            </w:pPr>
            <w:r>
              <w:rPr>
                <w:rFonts w:hint="eastAsia" w:ascii="宋体" w:hAnsi="宋体" w:eastAsia="宋体" w:cs="宋体"/>
                <w:color w:val="auto"/>
                <w:kern w:val="2"/>
                <w:sz w:val="24"/>
                <w:szCs w:val="24"/>
                <w:highlight w:val="none"/>
                <w:lang w:val="en-US" w:eastAsia="zh-CN" w:bidi="ar-SA"/>
              </w:rPr>
              <w:t>注：缺陷具体是指：单项方案中出现套用其他项目方案或内容、项目名称不符、地点和时间与项目需求不一致、内容中出现前后描述不一致现象或语言描述出现有错误、内容涉及适用的规范及标准（方法）出现错误、实施地点区域错误等任意一种情形。</w:t>
            </w:r>
          </w:p>
        </w:tc>
        <w:tc>
          <w:tcPr>
            <w:tcW w:w="951" w:type="dxa"/>
            <w:vAlign w:val="center"/>
          </w:tcPr>
          <w:p w14:paraId="427EB6C8">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cs="宋体"/>
                <w:color w:val="auto"/>
                <w:sz w:val="24"/>
                <w:highlight w:val="none"/>
              </w:rPr>
            </w:pPr>
          </w:p>
        </w:tc>
      </w:tr>
      <w:tr w14:paraId="6F19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0" w:type="dxa"/>
            <w:vAlign w:val="center"/>
          </w:tcPr>
          <w:p w14:paraId="25E1B43B">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highlight w:val="none"/>
                <w:lang w:val="en-US" w:eastAsia="zh-CN"/>
              </w:rPr>
            </w:pPr>
            <w:r>
              <w:rPr>
                <w:rFonts w:hint="eastAsia" w:hAnsi="宋体" w:cs="宋体"/>
                <w:color w:val="auto"/>
                <w:sz w:val="24"/>
                <w:highlight w:val="none"/>
                <w:lang w:val="en-US" w:eastAsia="zh-CN"/>
              </w:rPr>
              <w:t>4</w:t>
            </w:r>
          </w:p>
        </w:tc>
        <w:tc>
          <w:tcPr>
            <w:tcW w:w="1129" w:type="dxa"/>
            <w:vAlign w:val="center"/>
          </w:tcPr>
          <w:p w14:paraId="6248AD36">
            <w:pPr>
              <w:kinsoku/>
              <w:overflowPunct/>
              <w:bidi w:val="0"/>
              <w:spacing w:line="360" w:lineRule="auto"/>
              <w:ind w:firstLine="480" w:firstLineChars="200"/>
              <w:jc w:val="center"/>
              <w:rPr>
                <w:rFonts w:hint="default" w:ascii="宋体" w:hAnsi="宋体" w:eastAsia="宋体" w:cs="宋体"/>
                <w:color w:val="auto"/>
                <w:sz w:val="24"/>
                <w:highlight w:val="none"/>
                <w:lang w:val="en-US" w:eastAsia="zh-CN"/>
              </w:rPr>
            </w:pPr>
            <w:r>
              <w:rPr>
                <w:rFonts w:hint="eastAsia" w:ascii="宋体" w:hAnsi="宋体"/>
                <w:color w:val="auto"/>
                <w:sz w:val="24"/>
                <w:highlight w:val="none"/>
              </w:rPr>
              <w:t>履约能力</w:t>
            </w:r>
            <w:r>
              <w:rPr>
                <w:rFonts w:hint="eastAsia" w:hAnsi="宋体"/>
                <w:color w:val="auto"/>
                <w:sz w:val="24"/>
                <w:highlight w:val="none"/>
                <w:lang w:val="en-US" w:eastAsia="zh-CN"/>
              </w:rPr>
              <w:t>30</w:t>
            </w:r>
            <w:r>
              <w:rPr>
                <w:rFonts w:hint="eastAsia" w:ascii="宋体" w:hAnsi="宋体"/>
                <w:color w:val="auto"/>
                <w:sz w:val="24"/>
                <w:highlight w:val="none"/>
              </w:rPr>
              <w:t>%</w:t>
            </w:r>
          </w:p>
        </w:tc>
        <w:tc>
          <w:tcPr>
            <w:tcW w:w="766" w:type="dxa"/>
            <w:vAlign w:val="center"/>
          </w:tcPr>
          <w:p w14:paraId="109B00D2">
            <w:pPr>
              <w:kinsoku/>
              <w:overflowPunct/>
              <w:bidi w:val="0"/>
              <w:spacing w:line="360" w:lineRule="auto"/>
              <w:ind w:firstLine="480" w:firstLineChars="200"/>
              <w:jc w:val="center"/>
              <w:rPr>
                <w:rFonts w:hint="default" w:ascii="宋体" w:hAnsi="宋体" w:eastAsia="宋体" w:cs="宋体"/>
                <w:color w:val="auto"/>
                <w:sz w:val="24"/>
                <w:highlight w:val="none"/>
                <w:lang w:val="en-US" w:eastAsia="zh-CN"/>
              </w:rPr>
            </w:pPr>
            <w:r>
              <w:rPr>
                <w:rFonts w:hint="eastAsia" w:hAnsi="宋体"/>
                <w:color w:val="auto"/>
                <w:sz w:val="24"/>
                <w:highlight w:val="none"/>
                <w:lang w:val="en-US" w:eastAsia="zh-CN"/>
              </w:rPr>
              <w:t>30</w:t>
            </w:r>
            <w:r>
              <w:rPr>
                <w:rFonts w:hint="eastAsia" w:ascii="宋体" w:hAnsi="宋体"/>
                <w:color w:val="auto"/>
                <w:sz w:val="24"/>
                <w:highlight w:val="none"/>
              </w:rPr>
              <w:t>分</w:t>
            </w:r>
          </w:p>
        </w:tc>
        <w:tc>
          <w:tcPr>
            <w:tcW w:w="6519" w:type="dxa"/>
            <w:vAlign w:val="center"/>
          </w:tcPr>
          <w:p w14:paraId="08DB08AD">
            <w:pPr>
              <w:widowControl/>
              <w:kinsoku/>
              <w:overflowPunct/>
              <w:bidi w:val="0"/>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、人员配置</w:t>
            </w:r>
            <w:r>
              <w:rPr>
                <w:rFonts w:ascii="宋体" w:hAnsi="宋体"/>
                <w:color w:val="auto"/>
                <w:sz w:val="24"/>
                <w:highlight w:val="none"/>
              </w:rPr>
              <w:t>：</w:t>
            </w:r>
          </w:p>
          <w:p w14:paraId="050D2E4A">
            <w:pPr>
              <w:widowControl/>
              <w:kinsoku/>
              <w:overflowPunct/>
              <w:bidi w:val="0"/>
              <w:spacing w:line="360" w:lineRule="auto"/>
              <w:ind w:firstLine="480" w:firstLineChars="200"/>
              <w:rPr>
                <w:rFonts w:ascii="宋体" w:hAnsi="宋体"/>
                <w:color w:val="auto"/>
                <w:sz w:val="24"/>
                <w:highlight w:val="none"/>
              </w:rPr>
            </w:pPr>
            <w:r>
              <w:rPr>
                <w:rFonts w:ascii="宋体" w:hAnsi="宋体"/>
                <w:color w:val="auto"/>
                <w:sz w:val="24"/>
                <w:highlight w:val="none"/>
              </w:rPr>
              <w:t>①</w:t>
            </w:r>
            <w:r>
              <w:rPr>
                <w:rFonts w:hint="eastAsia" w:ascii="宋体" w:hAnsi="宋体"/>
                <w:color w:val="auto"/>
                <w:sz w:val="24"/>
                <w:highlight w:val="none"/>
              </w:rPr>
              <w:t>项目经理，具有</w:t>
            </w:r>
            <w:r>
              <w:rPr>
                <w:rFonts w:hint="eastAsia" w:ascii="宋体" w:hAnsi="宋体"/>
                <w:color w:val="auto"/>
                <w:sz w:val="24"/>
                <w:highlight w:val="none"/>
                <w:lang w:eastAsia="zh-CN"/>
              </w:rPr>
              <w:t>通信专业技术人员职业资格证书中级及以上</w:t>
            </w:r>
            <w:r>
              <w:rPr>
                <w:rFonts w:hint="eastAsia" w:ascii="宋体" w:hAnsi="宋体"/>
                <w:color w:val="auto"/>
                <w:sz w:val="24"/>
                <w:highlight w:val="none"/>
              </w:rPr>
              <w:t>得</w:t>
            </w:r>
            <w:r>
              <w:rPr>
                <w:rFonts w:hint="eastAsia" w:hAnsi="宋体"/>
                <w:color w:val="auto"/>
                <w:sz w:val="24"/>
                <w:highlight w:val="none"/>
                <w:lang w:val="en-US" w:eastAsia="zh-CN"/>
              </w:rPr>
              <w:t>6</w:t>
            </w:r>
            <w:r>
              <w:rPr>
                <w:rFonts w:hint="eastAsia" w:ascii="宋体" w:hAnsi="宋体"/>
                <w:color w:val="auto"/>
                <w:sz w:val="24"/>
                <w:highlight w:val="none"/>
              </w:rPr>
              <w:t>分，没有不得分。</w:t>
            </w:r>
          </w:p>
          <w:p w14:paraId="682E6BBA">
            <w:pPr>
              <w:widowControl/>
              <w:kinsoku/>
              <w:overflowPunct/>
              <w:bidi w:val="0"/>
              <w:spacing w:line="360" w:lineRule="auto"/>
              <w:ind w:firstLine="480" w:firstLineChars="200"/>
              <w:rPr>
                <w:rFonts w:ascii="宋体" w:hAnsi="宋体"/>
                <w:color w:val="auto"/>
                <w:sz w:val="24"/>
                <w:highlight w:val="none"/>
              </w:rPr>
            </w:pPr>
            <w:r>
              <w:rPr>
                <w:rFonts w:ascii="宋体" w:hAnsi="宋体"/>
                <w:color w:val="auto"/>
                <w:sz w:val="24"/>
                <w:highlight w:val="none"/>
              </w:rPr>
              <w:t>②技术负责人，</w:t>
            </w:r>
            <w:r>
              <w:rPr>
                <w:rFonts w:hint="eastAsia" w:ascii="宋体" w:hAnsi="宋体"/>
                <w:color w:val="auto"/>
                <w:sz w:val="24"/>
                <w:highlight w:val="none"/>
              </w:rPr>
              <w:t>具有</w:t>
            </w:r>
            <w:r>
              <w:rPr>
                <w:rFonts w:hint="eastAsia" w:ascii="宋体" w:hAnsi="宋体"/>
                <w:color w:val="auto"/>
                <w:sz w:val="24"/>
                <w:highlight w:val="none"/>
                <w:lang w:eastAsia="zh-CN"/>
              </w:rPr>
              <w:t>通信专业技术人员职业资格证书中级及以上</w:t>
            </w:r>
            <w:r>
              <w:rPr>
                <w:rFonts w:hint="eastAsia" w:ascii="宋体" w:hAnsi="宋体"/>
                <w:color w:val="auto"/>
                <w:sz w:val="24"/>
                <w:highlight w:val="none"/>
              </w:rPr>
              <w:t>得</w:t>
            </w:r>
            <w:r>
              <w:rPr>
                <w:rFonts w:hint="eastAsia" w:hAnsi="宋体"/>
                <w:color w:val="auto"/>
                <w:sz w:val="24"/>
                <w:highlight w:val="none"/>
                <w:lang w:val="en-US" w:eastAsia="zh-CN"/>
              </w:rPr>
              <w:t>6</w:t>
            </w:r>
            <w:r>
              <w:rPr>
                <w:rFonts w:hint="eastAsia" w:ascii="宋体" w:hAnsi="宋体"/>
                <w:color w:val="auto"/>
                <w:sz w:val="24"/>
                <w:highlight w:val="none"/>
              </w:rPr>
              <w:t>分，没有不得分。</w:t>
            </w:r>
          </w:p>
          <w:p w14:paraId="24B2E0C5">
            <w:pPr>
              <w:widowControl/>
              <w:kinsoku/>
              <w:overflowPunct/>
              <w:bidi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③</w:t>
            </w:r>
            <w:r>
              <w:rPr>
                <w:rFonts w:hint="eastAsia" w:hAnsi="宋体"/>
                <w:color w:val="auto"/>
                <w:sz w:val="24"/>
                <w:highlight w:val="none"/>
                <w:lang w:eastAsia="zh-CN"/>
              </w:rPr>
              <w:t>日常</w:t>
            </w:r>
            <w:r>
              <w:rPr>
                <w:rFonts w:ascii="宋体" w:hAnsi="宋体"/>
                <w:color w:val="auto"/>
                <w:sz w:val="24"/>
                <w:highlight w:val="none"/>
              </w:rPr>
              <w:t>维保服务人员，</w:t>
            </w:r>
            <w:r>
              <w:rPr>
                <w:rFonts w:hint="eastAsia" w:ascii="宋体" w:hAnsi="宋体"/>
                <w:color w:val="auto"/>
                <w:sz w:val="24"/>
                <w:highlight w:val="none"/>
              </w:rPr>
              <w:t>具有</w:t>
            </w:r>
            <w:r>
              <w:rPr>
                <w:rFonts w:hint="eastAsia" w:ascii="宋体" w:hAnsi="宋体"/>
                <w:color w:val="auto"/>
                <w:sz w:val="24"/>
                <w:highlight w:val="none"/>
                <w:lang w:eastAsia="zh-CN"/>
              </w:rPr>
              <w:t>通信专业技术人员职业资格证书</w:t>
            </w:r>
            <w:r>
              <w:rPr>
                <w:rFonts w:hint="eastAsia" w:hAnsi="宋体"/>
                <w:color w:val="auto"/>
                <w:sz w:val="24"/>
                <w:highlight w:val="none"/>
                <w:lang w:eastAsia="zh-CN"/>
              </w:rPr>
              <w:t>中</w:t>
            </w:r>
            <w:r>
              <w:rPr>
                <w:rFonts w:hint="eastAsia" w:ascii="宋体" w:hAnsi="宋体"/>
                <w:color w:val="auto"/>
                <w:sz w:val="24"/>
                <w:highlight w:val="none"/>
                <w:lang w:eastAsia="zh-CN"/>
              </w:rPr>
              <w:t>级及以上</w:t>
            </w:r>
            <w:r>
              <w:rPr>
                <w:rFonts w:hint="eastAsia" w:ascii="宋体" w:hAnsi="宋体"/>
                <w:color w:val="auto"/>
                <w:sz w:val="24"/>
                <w:highlight w:val="none"/>
              </w:rPr>
              <w:t>得</w:t>
            </w:r>
            <w:r>
              <w:rPr>
                <w:rFonts w:hint="eastAsia" w:hAnsi="宋体"/>
                <w:color w:val="auto"/>
                <w:sz w:val="24"/>
                <w:highlight w:val="none"/>
                <w:lang w:val="en-US" w:eastAsia="zh-CN"/>
              </w:rPr>
              <w:t>6</w:t>
            </w:r>
            <w:r>
              <w:rPr>
                <w:rFonts w:hint="eastAsia" w:ascii="宋体" w:hAnsi="宋体"/>
                <w:color w:val="auto"/>
                <w:sz w:val="24"/>
                <w:highlight w:val="none"/>
              </w:rPr>
              <w:t>分，没有不得分。</w:t>
            </w:r>
          </w:p>
          <w:p w14:paraId="16F911FE">
            <w:pPr>
              <w:widowControl/>
              <w:kinsoku/>
              <w:overflowPunct/>
              <w:bidi w:val="0"/>
              <w:spacing w:line="360" w:lineRule="auto"/>
              <w:ind w:firstLine="480" w:firstLineChars="200"/>
              <w:rPr>
                <w:rFonts w:hint="eastAsia" w:ascii="宋体" w:hAnsi="宋体"/>
                <w:color w:val="auto"/>
                <w:sz w:val="24"/>
                <w:highlight w:val="none"/>
              </w:rPr>
            </w:pPr>
            <w:r>
              <w:rPr>
                <w:rFonts w:hint="eastAsia" w:ascii="汉仪书宋二S" w:hAnsi="汉仪书宋二S" w:eastAsia="汉仪书宋二S" w:cs="汉仪书宋二S"/>
                <w:color w:val="auto"/>
                <w:sz w:val="24"/>
                <w:highlight w:val="none"/>
              </w:rPr>
              <w:t>④</w:t>
            </w:r>
            <w:r>
              <w:rPr>
                <w:rFonts w:hint="eastAsia" w:ascii="汉仪书宋二S" w:hAnsi="汉仪书宋二S" w:eastAsia="汉仪书宋二S" w:cs="汉仪书宋二S"/>
                <w:color w:val="auto"/>
                <w:sz w:val="24"/>
                <w:highlight w:val="none"/>
                <w:lang w:eastAsia="zh-CN"/>
              </w:rPr>
              <w:t>其他维护人员，</w:t>
            </w:r>
            <w:r>
              <w:rPr>
                <w:rFonts w:hint="eastAsia" w:ascii="宋体" w:hAnsi="宋体"/>
                <w:color w:val="auto"/>
                <w:sz w:val="24"/>
                <w:highlight w:val="none"/>
              </w:rPr>
              <w:t>具有</w:t>
            </w:r>
            <w:r>
              <w:rPr>
                <w:rFonts w:hint="eastAsia" w:ascii="宋体" w:hAnsi="宋体"/>
                <w:color w:val="auto"/>
                <w:sz w:val="24"/>
                <w:highlight w:val="none"/>
                <w:lang w:eastAsia="zh-CN"/>
              </w:rPr>
              <w:t>通信专业技术人员职业资格证书初级及以上</w:t>
            </w:r>
            <w:r>
              <w:rPr>
                <w:rFonts w:hint="eastAsia" w:ascii="宋体" w:hAnsi="宋体"/>
                <w:color w:val="auto"/>
                <w:sz w:val="24"/>
                <w:highlight w:val="none"/>
              </w:rPr>
              <w:t>得</w:t>
            </w:r>
            <w:r>
              <w:rPr>
                <w:rFonts w:hint="eastAsia" w:hAnsi="宋体"/>
                <w:color w:val="auto"/>
                <w:sz w:val="24"/>
                <w:highlight w:val="none"/>
                <w:lang w:val="en-US" w:eastAsia="zh-CN"/>
              </w:rPr>
              <w:t>4</w:t>
            </w:r>
            <w:r>
              <w:rPr>
                <w:rFonts w:hint="eastAsia" w:ascii="宋体" w:hAnsi="宋体"/>
                <w:color w:val="auto"/>
                <w:sz w:val="24"/>
                <w:highlight w:val="none"/>
              </w:rPr>
              <w:t>分，没有不得分。</w:t>
            </w:r>
          </w:p>
          <w:p w14:paraId="3C6B87EB">
            <w:pPr>
              <w:widowControl/>
              <w:kinsoku/>
              <w:overflowPunct/>
              <w:bidi w:val="0"/>
              <w:spacing w:line="360" w:lineRule="auto"/>
              <w:ind w:firstLine="480" w:firstLineChars="200"/>
              <w:rPr>
                <w:rFonts w:ascii="宋体" w:hAnsi="宋体"/>
                <w:color w:val="auto"/>
                <w:sz w:val="24"/>
                <w:highlight w:val="none"/>
              </w:rPr>
            </w:pPr>
            <w:r>
              <w:rPr>
                <w:rFonts w:ascii="宋体" w:hAnsi="宋体"/>
                <w:color w:val="auto"/>
                <w:sz w:val="24"/>
                <w:highlight w:val="none"/>
              </w:rPr>
              <w:t>注：</w:t>
            </w:r>
            <w:r>
              <w:rPr>
                <w:rFonts w:hint="eastAsia" w:hAnsi="宋体"/>
                <w:color w:val="auto"/>
                <w:sz w:val="24"/>
                <w:highlight w:val="none"/>
                <w:lang w:val="en-US" w:eastAsia="zh-CN"/>
              </w:rPr>
              <w:t>以上人员</w:t>
            </w:r>
            <w:r>
              <w:rPr>
                <w:rFonts w:ascii="宋体" w:hAnsi="宋体"/>
                <w:color w:val="auto"/>
                <w:sz w:val="24"/>
                <w:highlight w:val="none"/>
              </w:rPr>
              <w:t>提供</w:t>
            </w:r>
            <w:r>
              <w:rPr>
                <w:rFonts w:hint="eastAsia" w:hAnsi="宋体"/>
                <w:color w:val="auto"/>
                <w:sz w:val="24"/>
                <w:highlight w:val="none"/>
                <w:lang w:val="en-US" w:eastAsia="zh-CN"/>
              </w:rPr>
              <w:t>身份证及</w:t>
            </w:r>
            <w:r>
              <w:rPr>
                <w:rFonts w:ascii="宋体" w:hAnsi="宋体"/>
                <w:color w:val="auto"/>
                <w:sz w:val="24"/>
                <w:highlight w:val="none"/>
              </w:rPr>
              <w:t>证书</w:t>
            </w:r>
            <w:r>
              <w:rPr>
                <w:rFonts w:hint="eastAsia" w:hAnsi="宋体"/>
                <w:color w:val="auto"/>
                <w:sz w:val="24"/>
                <w:highlight w:val="none"/>
                <w:lang w:val="en-US" w:eastAsia="zh-CN"/>
              </w:rPr>
              <w:t>复印件</w:t>
            </w:r>
            <w:r>
              <w:rPr>
                <w:rFonts w:ascii="宋体" w:hAnsi="宋体"/>
                <w:color w:val="auto"/>
                <w:sz w:val="24"/>
                <w:highlight w:val="none"/>
              </w:rPr>
              <w:t>。</w:t>
            </w:r>
          </w:p>
          <w:p w14:paraId="5FC1BF25">
            <w:pPr>
              <w:widowControl/>
              <w:kinsoku/>
              <w:overflowPunct/>
              <w:bidi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olor w:val="auto"/>
                <w:sz w:val="24"/>
                <w:highlight w:val="none"/>
              </w:rPr>
              <w:t>2、近三年来</w:t>
            </w:r>
            <w:r>
              <w:rPr>
                <w:rFonts w:ascii="宋体" w:hAnsi="宋体"/>
                <w:color w:val="auto"/>
                <w:sz w:val="24"/>
                <w:highlight w:val="none"/>
              </w:rPr>
              <w:t>，每提供一个类似业绩（类似业绩是指：信息化服务</w:t>
            </w:r>
            <w:r>
              <w:rPr>
                <w:rFonts w:hint="eastAsia" w:hAnsi="宋体"/>
                <w:color w:val="auto"/>
                <w:sz w:val="24"/>
                <w:highlight w:val="none"/>
                <w:lang w:val="en-US" w:eastAsia="zh-CN"/>
              </w:rPr>
              <w:t>相关业绩</w:t>
            </w:r>
            <w:r>
              <w:rPr>
                <w:rFonts w:ascii="宋体" w:hAnsi="宋体"/>
                <w:color w:val="auto"/>
                <w:sz w:val="24"/>
                <w:highlight w:val="none"/>
              </w:rPr>
              <w:t>）得</w:t>
            </w:r>
            <w:r>
              <w:rPr>
                <w:rFonts w:hint="eastAsia" w:hAnsi="宋体"/>
                <w:color w:val="auto"/>
                <w:sz w:val="24"/>
                <w:highlight w:val="none"/>
                <w:lang w:val="en-US" w:eastAsia="zh-CN"/>
              </w:rPr>
              <w:t>4</w:t>
            </w:r>
            <w:r>
              <w:rPr>
                <w:rFonts w:ascii="宋体" w:hAnsi="宋体"/>
                <w:color w:val="auto"/>
                <w:sz w:val="24"/>
                <w:highlight w:val="none"/>
              </w:rPr>
              <w:t>分，最多得</w:t>
            </w:r>
            <w:r>
              <w:rPr>
                <w:rFonts w:hint="eastAsia" w:hAnsi="宋体"/>
                <w:color w:val="auto"/>
                <w:sz w:val="24"/>
                <w:highlight w:val="none"/>
                <w:lang w:val="en-US" w:eastAsia="zh-CN"/>
              </w:rPr>
              <w:t>8</w:t>
            </w:r>
            <w:r>
              <w:rPr>
                <w:rFonts w:ascii="宋体" w:hAnsi="宋体"/>
                <w:color w:val="auto"/>
                <w:sz w:val="24"/>
                <w:highlight w:val="none"/>
              </w:rPr>
              <w:t>分。</w:t>
            </w:r>
            <w:r>
              <w:rPr>
                <w:rFonts w:hint="eastAsia" w:hAnsi="宋体"/>
                <w:color w:val="auto"/>
                <w:sz w:val="24"/>
                <w:highlight w:val="none"/>
                <w:lang w:val="en-US" w:eastAsia="zh-CN"/>
              </w:rPr>
              <w:t>注：提供加盖供应商公章的合同复印件或验收合格资料。</w:t>
            </w:r>
          </w:p>
        </w:tc>
        <w:tc>
          <w:tcPr>
            <w:tcW w:w="951" w:type="dxa"/>
            <w:vAlign w:val="center"/>
          </w:tcPr>
          <w:p w14:paraId="6CF1B75A">
            <w:pPr>
              <w:pStyle w:val="57"/>
              <w:keepNext w:val="0"/>
              <w:keepLines w:val="0"/>
              <w:pageBreakBefore w:val="0"/>
              <w:kinsoku/>
              <w:wordWrap/>
              <w:overflowPunct/>
              <w:topLinePunct w:val="0"/>
              <w:autoSpaceDE/>
              <w:autoSpaceDN/>
              <w:bidi w:val="0"/>
              <w:adjustRightInd/>
              <w:snapToGrid/>
              <w:spacing w:line="360" w:lineRule="auto"/>
              <w:ind w:left="107" w:firstLine="480" w:firstLineChars="200"/>
              <w:textAlignment w:val="auto"/>
              <w:rPr>
                <w:color w:val="auto"/>
                <w:sz w:val="24"/>
                <w:highlight w:val="none"/>
                <w:lang w:val="en-US"/>
              </w:rPr>
            </w:pPr>
          </w:p>
        </w:tc>
      </w:tr>
    </w:tbl>
    <w:p w14:paraId="221B6406">
      <w:pPr>
        <w:kinsoku/>
        <w:overflowPunct/>
        <w:bidi w:val="0"/>
        <w:ind w:firstLine="680" w:firstLineChars="200"/>
        <w:rPr>
          <w:rFonts w:hint="eastAsia"/>
          <w:color w:val="auto"/>
          <w:highlight w:val="none"/>
        </w:rPr>
      </w:pPr>
    </w:p>
    <w:p w14:paraId="2449743B">
      <w:pPr>
        <w:kinsoku/>
        <w:overflowPunct/>
        <w:bidi w:val="0"/>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注：评分的取值按四舍五入法，保留小数点后两位。</w:t>
      </w:r>
      <w:bookmarkEnd w:id="125"/>
      <w:bookmarkEnd w:id="126"/>
      <w:bookmarkEnd w:id="127"/>
      <w:bookmarkEnd w:id="128"/>
    </w:p>
    <w:p w14:paraId="7A7D0059">
      <w:pPr>
        <w:tabs>
          <w:tab w:val="left" w:pos="851"/>
        </w:tabs>
        <w:kinsoku/>
        <w:overflowPunct/>
        <w:bidi w:val="0"/>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4.磋商纪律及注意事项</w:t>
      </w:r>
    </w:p>
    <w:p w14:paraId="767B95FF">
      <w:pPr>
        <w:tabs>
          <w:tab w:val="left" w:pos="851"/>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4.1磋商小组内部讨论的情况和意见必须保密，任何人不得以任何形式透露给供应商或与供应商有关的单位或个人。</w:t>
      </w:r>
    </w:p>
    <w:p w14:paraId="1E57E8ED">
      <w:pPr>
        <w:tabs>
          <w:tab w:val="left" w:pos="851"/>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4.2在磋商过程中，供应商不得以任何形式对磋商小组成员进行旨在影响谈判结果的私下接触，否则将取消其参与磋商的资格。</w:t>
      </w:r>
    </w:p>
    <w:p w14:paraId="441C039F">
      <w:pPr>
        <w:tabs>
          <w:tab w:val="left" w:pos="851"/>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4.3对各供应商的商业秘密，磋商小组成员应予以保密，不得泄露给其他供应商。</w:t>
      </w:r>
    </w:p>
    <w:p w14:paraId="6493CCB9">
      <w:pPr>
        <w:tabs>
          <w:tab w:val="left" w:pos="851"/>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4.4 磋商小组独立评判，推荐成交候选人，并写出书面报告。</w:t>
      </w:r>
    </w:p>
    <w:p w14:paraId="32BE86A5">
      <w:pPr>
        <w:tabs>
          <w:tab w:val="left" w:pos="851"/>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4.5 磋商小组可根据需要对供应商进行实地考察。</w:t>
      </w:r>
    </w:p>
    <w:p w14:paraId="51FED5F7">
      <w:pPr>
        <w:tabs>
          <w:tab w:val="left" w:pos="7665"/>
        </w:tabs>
        <w:kinsoku/>
        <w:overflowPunct/>
        <w:bidi w:val="0"/>
        <w:spacing w:line="400" w:lineRule="exact"/>
        <w:ind w:firstLine="480"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5.</w:t>
      </w:r>
      <w:bookmarkEnd w:id="129"/>
      <w:r>
        <w:rPr>
          <w:rFonts w:hint="eastAsia" w:asciiTheme="minorEastAsia" w:hAnsiTheme="minorEastAsia" w:eastAsiaTheme="minorEastAsia" w:cstheme="minorEastAsia"/>
          <w:b/>
          <w:color w:val="auto"/>
          <w:sz w:val="24"/>
          <w:szCs w:val="24"/>
          <w:highlight w:val="none"/>
        </w:rPr>
        <w:t>磋商小组在采购活动中承担以下义务：</w:t>
      </w:r>
    </w:p>
    <w:p w14:paraId="08785E2B">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（1）遵守评审工作纪律；</w:t>
      </w:r>
    </w:p>
    <w:p w14:paraId="0EFB9C15">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（2）按照客观、公正、审慎的原则，根据磋商文件规定的评审程序、评审方法和评审标准进行独立评审；</w:t>
      </w:r>
    </w:p>
    <w:p w14:paraId="5739BAB4">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（3）不得泄露评审文件、评审情况和在评审过程中获悉的商业秘密；</w:t>
      </w:r>
    </w:p>
    <w:p w14:paraId="27888E23">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（4）及时向财政部门报告评审过程中发现的采购人、采购代理机构向评审专家做倾向性、误导性的解释或者说明，以及供应商行贿、提供虚假材料或者串通等违法行为；</w:t>
      </w:r>
    </w:p>
    <w:p w14:paraId="160895D5">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（5）发现磋商文件内容违反国家有关强制性规定或者磋商文件存在歧义、重大缺陷导致评审工作无法进行时，停止评审并向采购人或者采购代理机构书面说明情况；</w:t>
      </w:r>
    </w:p>
    <w:p w14:paraId="21DEC39F">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（6）及时向财政、监察等部门举报在评审过程中受到非法干预的情况；</w:t>
      </w:r>
    </w:p>
    <w:p w14:paraId="42755F16">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（7）配合答复处理供应商的询问、质疑和投诉等事项；</w:t>
      </w:r>
    </w:p>
    <w:p w14:paraId="0E70D938">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（8）法律、法规和规章规定的其他义务。</w:t>
      </w:r>
    </w:p>
    <w:p w14:paraId="0E762BC5">
      <w:pPr>
        <w:tabs>
          <w:tab w:val="left" w:pos="7665"/>
        </w:tabs>
        <w:kinsoku/>
        <w:overflowPunct/>
        <w:bidi w:val="0"/>
        <w:spacing w:line="40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6.评审专家在采购活动中应当遵守以下工作纪律：</w:t>
      </w:r>
    </w:p>
    <w:p w14:paraId="341376B8">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6.1不得参加与自己有利害关系的采购项目的</w:t>
      </w:r>
      <w:r>
        <w:rPr>
          <w:rFonts w:hint="eastAsia" w:asciiTheme="minorEastAsia" w:hAnsiTheme="minorEastAsia" w:eastAsiaTheme="minorEastAsia" w:cstheme="minorEastAsia"/>
          <w:color w:val="auto"/>
          <w:sz w:val="24"/>
          <w:szCs w:val="24"/>
          <w:highlight w:val="none"/>
          <w:lang w:eastAsia="zh-CN"/>
        </w:rPr>
        <w:t>评审</w:t>
      </w:r>
      <w:r>
        <w:rPr>
          <w:rFonts w:hint="eastAsia" w:asciiTheme="minorEastAsia" w:hAnsiTheme="minorEastAsia" w:eastAsiaTheme="minorEastAsia" w:cstheme="minorEastAsia"/>
          <w:color w:val="auto"/>
          <w:sz w:val="24"/>
          <w:szCs w:val="24"/>
          <w:highlight w:val="none"/>
        </w:rPr>
        <w:t>活动。发现参加了与自己有利害关系的评审活动，须主动提出回避，退出评审；</w:t>
      </w:r>
    </w:p>
    <w:p w14:paraId="44703142">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6.2评审前，应当将通讯工具或者相关电子设备交由采购代理机构统一保管；</w:t>
      </w:r>
    </w:p>
    <w:p w14:paraId="56C2E4C1">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6.3评审过程中，不得与外界联系，因发生不可预见情况，确实需要与外界联系的，应当在监督人员监督之下办理；</w:t>
      </w:r>
    </w:p>
    <w:p w14:paraId="6516F54B">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6.4评审过程中，不得发表影响评审公正的倾向性、歧视性言论，不得征询或者接受采购人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440B0D83">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6.5在评审过程中和评审结束后，不得记录、复制或带走任何评审资料，不得向外界透露评审内容；</w:t>
      </w:r>
    </w:p>
    <w:p w14:paraId="7BB71214">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6.6评审现场服从采购代理机构工作人员的管理，接受现场监督人员的合法监督；</w:t>
      </w:r>
    </w:p>
    <w:p w14:paraId="69AC3A57">
      <w:pPr>
        <w:tabs>
          <w:tab w:val="left" w:pos="7665"/>
        </w:tabs>
        <w:kinsoku/>
        <w:overflowPunct/>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6.7遵守有关廉洁自律规定，不得私下接触供应商，不得收受供应商及有关业务单位和个人的财物或好处，不得接受采购代理机构的请托。</w:t>
      </w:r>
    </w:p>
    <w:p w14:paraId="7EA615C5">
      <w:pPr>
        <w:tabs>
          <w:tab w:val="left" w:pos="7665"/>
        </w:tabs>
        <w:kinsoku/>
        <w:overflowPunct/>
        <w:bidi w:val="0"/>
        <w:spacing w:line="400" w:lineRule="exact"/>
        <w:ind w:firstLine="643" w:firstLineChars="200"/>
        <w:rPr>
          <w:rFonts w:hint="eastAsia" w:asciiTheme="minorEastAsia" w:hAnsiTheme="minorEastAsia" w:eastAsiaTheme="minorEastAsia" w:cstheme="minorEastAsia"/>
          <w:b/>
          <w:color w:val="auto"/>
          <w:sz w:val="32"/>
          <w:highlight w:val="none"/>
        </w:rPr>
      </w:pPr>
      <w:bookmarkStart w:id="130" w:name="_Toc5174_WPSOffice_Level1"/>
    </w:p>
    <w:p w14:paraId="4787DBBB">
      <w:pPr>
        <w:kinsoku/>
        <w:overflowPunct/>
        <w:bidi w:val="0"/>
        <w:ind w:firstLine="680" w:firstLineChars="200"/>
        <w:rPr>
          <w:rFonts w:hint="eastAsia" w:asciiTheme="minorEastAsia" w:hAnsiTheme="minorEastAsia" w:eastAsiaTheme="minorEastAsia" w:cstheme="minorEastAsia"/>
          <w:color w:val="auto"/>
          <w:highlight w:val="none"/>
        </w:rPr>
      </w:pPr>
    </w:p>
    <w:p w14:paraId="3AA9980E">
      <w:pPr>
        <w:tabs>
          <w:tab w:val="left" w:pos="7665"/>
        </w:tabs>
        <w:kinsoku/>
        <w:overflowPunct/>
        <w:bidi w:val="0"/>
        <w:spacing w:line="400" w:lineRule="exact"/>
        <w:ind w:firstLine="643" w:firstLineChars="200"/>
        <w:jc w:val="center"/>
        <w:rPr>
          <w:rFonts w:hint="eastAsia" w:asciiTheme="minorEastAsia" w:hAnsiTheme="minorEastAsia" w:eastAsiaTheme="minorEastAsia" w:cstheme="minorEastAsia"/>
          <w:b/>
          <w:color w:val="auto"/>
          <w:sz w:val="32"/>
          <w:highlight w:val="none"/>
        </w:rPr>
      </w:pPr>
    </w:p>
    <w:p w14:paraId="701EA125">
      <w:pPr>
        <w:kinsoku/>
        <w:overflowPunct/>
        <w:bidi w:val="0"/>
        <w:ind w:firstLine="68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A348570">
      <w:pPr>
        <w:pStyle w:val="2"/>
        <w:kinsoku/>
        <w:overflowPunct/>
        <w:bidi w:val="0"/>
        <w:ind w:firstLine="883" w:firstLineChars="200"/>
        <w:jc w:val="center"/>
        <w:rPr>
          <w:rFonts w:hint="eastAsia" w:asciiTheme="minorEastAsia" w:hAnsiTheme="minorEastAsia" w:eastAsiaTheme="minorEastAsia" w:cstheme="minorEastAsia"/>
          <w:color w:val="auto"/>
          <w:highlight w:val="none"/>
        </w:rPr>
      </w:pPr>
      <w:bookmarkStart w:id="131" w:name="_Toc1222"/>
      <w:r>
        <w:rPr>
          <w:rFonts w:hint="eastAsia" w:asciiTheme="minorEastAsia" w:hAnsiTheme="minorEastAsia" w:eastAsiaTheme="minorEastAsia" w:cstheme="minorEastAsia"/>
          <w:color w:val="auto"/>
          <w:highlight w:val="none"/>
        </w:rPr>
        <w:t>第十章  采购合同（参考版本，合同条款可根据采购人及</w:t>
      </w:r>
      <w:r>
        <w:rPr>
          <w:rFonts w:hint="eastAsia" w:asciiTheme="minorEastAsia" w:hAnsiTheme="minorEastAsia" w:eastAsiaTheme="minorEastAsia" w:cstheme="minorEastAsia"/>
          <w:color w:val="auto"/>
          <w:highlight w:val="none"/>
          <w:lang w:eastAsia="zh-CN"/>
        </w:rPr>
        <w:t>成交供应商</w:t>
      </w:r>
      <w:r>
        <w:rPr>
          <w:rFonts w:hint="eastAsia" w:asciiTheme="minorEastAsia" w:hAnsiTheme="minorEastAsia" w:eastAsiaTheme="minorEastAsia" w:cstheme="minorEastAsia"/>
          <w:color w:val="auto"/>
          <w:highlight w:val="none"/>
        </w:rPr>
        <w:t>签订合同时的实际情况进行修改调整。）</w:t>
      </w:r>
      <w:bookmarkEnd w:id="100"/>
      <w:bookmarkEnd w:id="101"/>
      <w:bookmarkEnd w:id="102"/>
      <w:bookmarkEnd w:id="130"/>
      <w:bookmarkEnd w:id="131"/>
      <w:bookmarkStart w:id="132" w:name="_Hlt101846155"/>
      <w:bookmarkEnd w:id="132"/>
    </w:p>
    <w:p w14:paraId="6D7F0687">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合同编号：</w:t>
      </w:r>
      <w:r>
        <w:rPr>
          <w:rFonts w:hint="eastAsia" w:ascii="宋体" w:hAnsi="宋体" w:eastAsia="宋体" w:cs="宋体"/>
          <w:bCs/>
          <w:color w:val="auto"/>
          <w:sz w:val="24"/>
          <w:highlight w:val="none"/>
        </w:rPr>
        <w:t xml:space="preserve">                </w:t>
      </w:r>
    </w:p>
    <w:p w14:paraId="111B9F74">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签订地点：</w:t>
      </w:r>
    </w:p>
    <w:p w14:paraId="231A4FBF">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签订时间：</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Cs/>
          <w:color w:val="auto"/>
          <w:sz w:val="24"/>
          <w:highlight w:val="none"/>
        </w:rPr>
        <w:t>年      月      日</w:t>
      </w:r>
    </w:p>
    <w:p w14:paraId="4DB06A01">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采购人（甲方）：</w:t>
      </w:r>
    </w:p>
    <w:p w14:paraId="2C0CE017">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供应商（乙方）：</w:t>
      </w:r>
    </w:p>
    <w:p w14:paraId="117015C5">
      <w:pPr>
        <w:keepNext w:val="0"/>
        <w:keepLines w:val="0"/>
        <w:pageBreakBefore w:val="0"/>
        <w:widowControl w:val="0"/>
        <w:kinsoku/>
        <w:wordWrap/>
        <w:overflowPunct/>
        <w:topLinePunct w:val="0"/>
        <w:autoSpaceDE/>
        <w:autoSpaceDN/>
        <w:bidi w:val="0"/>
        <w:spacing w:line="360" w:lineRule="auto"/>
        <w:ind w:firstLine="480" w:firstLineChars="200"/>
        <w:outlineLvl w:val="9"/>
        <w:rPr>
          <w:rFonts w:hint="eastAsia" w:ascii="宋体" w:hAnsi="宋体" w:eastAsia="宋体" w:cs="宋体"/>
          <w:color w:val="auto"/>
          <w:sz w:val="24"/>
          <w:highlight w:val="none"/>
        </w:rPr>
      </w:pPr>
    </w:p>
    <w:p w14:paraId="7CCA30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根据</w:t>
      </w:r>
      <w:r>
        <w:rPr>
          <w:rFonts w:hint="eastAsia" w:ascii="宋体" w:hAnsi="宋体" w:eastAsia="宋体" w:cs="宋体"/>
          <w:color w:val="auto"/>
          <w:sz w:val="24"/>
          <w:highlight w:val="none"/>
        </w:rPr>
        <w:t>《中华人民共和国民法典》 、《中华人民共和国政府采购法》与项目行业有关的法律法规，以及 采购项目（</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文件》，乙方的《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文件》及《</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color w:val="auto"/>
          <w:sz w:val="24"/>
          <w:highlight w:val="none"/>
          <w:lang w:val="en-US" w:eastAsia="zh-CN"/>
        </w:rPr>
        <w:t>竞争性磋商</w:t>
      </w:r>
      <w:r>
        <w:rPr>
          <w:rFonts w:hint="eastAsia" w:ascii="宋体" w:hAnsi="宋体" w:eastAsia="宋体" w:cs="宋体"/>
          <w:color w:val="auto"/>
          <w:sz w:val="24"/>
          <w:highlight w:val="none"/>
        </w:rPr>
        <w:t>文件》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通知书》等均为本合同的组成部分。</w:t>
      </w:r>
    </w:p>
    <w:p w14:paraId="7020984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 项目基本情况</w:t>
      </w:r>
    </w:p>
    <w:p w14:paraId="6050915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__________________________________________。</w:t>
      </w:r>
    </w:p>
    <w:p w14:paraId="5964163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 合同期限</w:t>
      </w:r>
    </w:p>
    <w:p w14:paraId="6EE43AC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__________________________________________。</w:t>
      </w:r>
    </w:p>
    <w:p w14:paraId="5F67F9B2">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服务内容与质量标准</w:t>
      </w:r>
    </w:p>
    <w:p w14:paraId="4B16EF08">
      <w:pPr>
        <w:pStyle w:val="10"/>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服务内容</w:t>
      </w:r>
    </w:p>
    <w:p w14:paraId="1586628E">
      <w:pPr>
        <w:pStyle w:val="11"/>
        <w:numPr>
          <w:ilvl w:val="0"/>
          <w:numId w:val="0"/>
        </w:numPr>
        <w:kinsoku/>
        <w:overflowPunct/>
        <w:bidi w:val="0"/>
        <w:ind w:firstLine="680" w:firstLineChars="200"/>
        <w:rPr>
          <w:rFonts w:hint="eastAsia"/>
          <w:color w:val="auto"/>
          <w:highlight w:val="none"/>
          <w:lang w:val="en-US" w:eastAsia="zh-CN"/>
        </w:rPr>
      </w:pPr>
    </w:p>
    <w:p w14:paraId="28BE2C69">
      <w:pPr>
        <w:pStyle w:val="11"/>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服务要求</w:t>
      </w:r>
    </w:p>
    <w:p w14:paraId="7FD16185">
      <w:pPr>
        <w:kinsoku/>
        <w:overflowPunct/>
        <w:bidi w:val="0"/>
        <w:ind w:firstLine="680" w:firstLineChars="200"/>
        <w:rPr>
          <w:rFonts w:hint="default"/>
          <w:color w:val="auto"/>
          <w:highlight w:val="none"/>
          <w:lang w:val="en-US" w:eastAsia="zh-CN"/>
        </w:rPr>
      </w:pPr>
    </w:p>
    <w:p w14:paraId="364BF99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其他要求</w:t>
      </w:r>
    </w:p>
    <w:p w14:paraId="0F78CB24">
      <w:pPr>
        <w:pStyle w:val="11"/>
        <w:kinsoku/>
        <w:overflowPunct/>
        <w:bidi w:val="0"/>
        <w:ind w:firstLine="680" w:firstLineChars="200"/>
        <w:rPr>
          <w:rFonts w:hint="default"/>
          <w:color w:val="auto"/>
          <w:highlight w:val="none"/>
          <w:lang w:eastAsia="zh-CN"/>
        </w:rPr>
      </w:pPr>
    </w:p>
    <w:p w14:paraId="68953C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__________________________________________。</w:t>
      </w:r>
    </w:p>
    <w:p w14:paraId="3796951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第四条 服务费用及支付方式</w:t>
      </w:r>
    </w:p>
    <w:p w14:paraId="05C2449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 本项目服务费用由以下组成：</w:t>
      </w:r>
    </w:p>
    <w:p w14:paraId="4AEDA6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 万元；</w:t>
      </w:r>
    </w:p>
    <w:p w14:paraId="16F2C1E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 万元；</w:t>
      </w:r>
    </w:p>
    <w:p w14:paraId="6AB77ED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0DAC9B0">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服务费支付方式：</w:t>
      </w:r>
    </w:p>
    <w:p w14:paraId="19AC47FE">
      <w:pPr>
        <w:pStyle w:val="10"/>
        <w:numPr>
          <w:ilvl w:val="0"/>
          <w:numId w:val="0"/>
        </w:numPr>
        <w:kinsoku/>
        <w:overflowPunct/>
        <w:bidi w:val="0"/>
        <w:ind w:firstLine="680" w:firstLineChars="200"/>
        <w:rPr>
          <w:rFonts w:hint="default" w:eastAsia="宋体"/>
          <w:color w:val="auto"/>
          <w:highlight w:val="none"/>
          <w:lang w:val="en-US" w:eastAsia="zh-CN"/>
        </w:rPr>
      </w:pPr>
      <w:r>
        <w:rPr>
          <w:rFonts w:hint="eastAsia"/>
          <w:color w:val="auto"/>
          <w:highlight w:val="none"/>
          <w:lang w:val="en-US" w:eastAsia="zh-CN"/>
        </w:rPr>
        <w:t xml:space="preserve">      </w:t>
      </w:r>
      <w:r>
        <w:rPr>
          <w:rFonts w:hint="eastAsia"/>
          <w:color w:val="auto"/>
          <w:highlight w:val="none"/>
          <w:u w:val="single"/>
          <w:lang w:val="en-US" w:eastAsia="zh-CN"/>
        </w:rPr>
        <w:t xml:space="preserve">                                      </w:t>
      </w:r>
      <w:r>
        <w:rPr>
          <w:rFonts w:hint="eastAsia"/>
          <w:color w:val="auto"/>
          <w:highlight w:val="none"/>
          <w:lang w:val="en-US" w:eastAsia="zh-CN"/>
        </w:rPr>
        <w:t xml:space="preserve"> </w:t>
      </w:r>
    </w:p>
    <w:p w14:paraId="5CB8FA0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 知识产权</w:t>
      </w:r>
    </w:p>
    <w:p w14:paraId="58885E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乙方应保证所提供的服务或其任何一部分均不会侵犯任何第三方的专利权、 商标权或著作权。</w:t>
      </w:r>
    </w:p>
    <w:p w14:paraId="11C337DC">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 无产权瑕疵条款</w:t>
      </w:r>
    </w:p>
    <w:p w14:paraId="3C300E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乙方保证所提供的服务的所有权完全属于乙方且无任何抵押、查封等产权瑕疵。如有产权瑕疵的， 视为乙方违约。 乙方应负担由此而产生的一切损失。</w:t>
      </w:r>
    </w:p>
    <w:p w14:paraId="34488371">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rPr>
        <w:t>第七条</w:t>
      </w:r>
      <w:r>
        <w:rPr>
          <w:rFonts w:hint="eastAsia" w:ascii="宋体" w:hAnsi="宋体" w:eastAsia="宋体" w:cs="宋体"/>
          <w:b/>
          <w:color w:val="auto"/>
          <w:sz w:val="24"/>
          <w:highlight w:val="none"/>
          <w:lang w:val="en-US" w:eastAsia="zh-CN"/>
        </w:rPr>
        <w:t xml:space="preserve"> 履约保证金</w:t>
      </w:r>
    </w:p>
    <w:p w14:paraId="6744113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color w:val="auto"/>
          <w:sz w:val="24"/>
          <w:szCs w:val="24"/>
          <w:highlight w:val="none"/>
          <w:lang w:val="zh-CN"/>
        </w:rPr>
        <w:t>金额：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highlight w:val="none"/>
        </w:rPr>
        <w:t>。</w:t>
      </w:r>
    </w:p>
    <w:p w14:paraId="0AB9E46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2.履约保证金退还方式及时间：</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lang w:val="en-US" w:eastAsia="zh-CN"/>
        </w:rPr>
        <w:t>。</w:t>
      </w:r>
    </w:p>
    <w:p w14:paraId="0C9A6D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3.履约保证金不予退还情形：</w:t>
      </w:r>
    </w:p>
    <w:p w14:paraId="797E65C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（1）乙方不履行与甲方订立的合同的，给甲方造成的损失超过履约保证金数额的，还应当对超过部分予以赔偿；</w:t>
      </w:r>
    </w:p>
    <w:p w14:paraId="329D78D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（2）项目验收结果不合格的；</w:t>
      </w:r>
    </w:p>
    <w:p w14:paraId="493DD85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（3）其他违反国家相关法律法规的情形；</w:t>
      </w:r>
    </w:p>
    <w:p w14:paraId="0227201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（4）采购文件中规定不予退还的情形。</w:t>
      </w:r>
    </w:p>
    <w:p w14:paraId="582C4A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baseline"/>
        <w:outlineLvl w:val="9"/>
        <w:rPr>
          <w:rFonts w:hint="eastAsia" w:ascii="宋体" w:hAnsi="宋体" w:eastAsia="宋体" w:cs="宋体"/>
          <w:b/>
          <w:color w:val="auto"/>
          <w:sz w:val="24"/>
          <w:highlight w:val="none"/>
        </w:rPr>
      </w:pPr>
      <w:r>
        <w:rPr>
          <w:rFonts w:hint="eastAsia" w:ascii="宋体" w:hAnsi="宋体" w:eastAsia="宋体" w:cs="宋体"/>
          <w:bCs/>
          <w:color w:val="auto"/>
          <w:sz w:val="24"/>
          <w:highlight w:val="none"/>
          <w:lang w:val="en-US" w:eastAsia="zh-CN"/>
        </w:rPr>
        <w:t>4.履约保证金不予退还的，将按照有关规定上缴国库。逾期退还履约保证金的，将依法承担法律责任。</w:t>
      </w:r>
    </w:p>
    <w:p w14:paraId="459B277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八</w:t>
      </w:r>
      <w:r>
        <w:rPr>
          <w:rFonts w:hint="eastAsia" w:ascii="宋体" w:hAnsi="宋体" w:eastAsia="宋体" w:cs="宋体"/>
          <w:b/>
          <w:bCs/>
          <w:color w:val="auto"/>
          <w:sz w:val="24"/>
          <w:highlight w:val="none"/>
        </w:rPr>
        <w:t>条 甲方的权利和义务</w:t>
      </w:r>
    </w:p>
    <w:p w14:paraId="2AC5731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甲方有权对合同规定范围内乙方的服务行为进行监督和检查， 拥有监管权。 有权定期核对乙方提供服务所配备的人员数量。对甲方认为不合理的部分有权下达整改通知书，并要求乙方限期整改。</w:t>
      </w:r>
    </w:p>
    <w:p w14:paraId="15D3A9B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甲方有权依据双方签订的考评办法对乙方提供的服务进行定期考评。</w:t>
      </w:r>
    </w:p>
    <w:p w14:paraId="4DA36E4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负责检查监督乙方管理工作的实施及制度的执行情况。</w:t>
      </w:r>
    </w:p>
    <w:p w14:paraId="11BD28D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根据本合同规定，按时向乙方支付应付服务费用。</w:t>
      </w:r>
    </w:p>
    <w:p w14:paraId="13E59B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国家法律、法规所规定由甲方承担的其它责任。</w:t>
      </w:r>
    </w:p>
    <w:p w14:paraId="63FF741B">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九</w:t>
      </w:r>
      <w:r>
        <w:rPr>
          <w:rFonts w:hint="eastAsia" w:ascii="宋体" w:hAnsi="宋体" w:eastAsia="宋体" w:cs="宋体"/>
          <w:b/>
          <w:bCs/>
          <w:color w:val="auto"/>
          <w:sz w:val="24"/>
          <w:highlight w:val="none"/>
        </w:rPr>
        <w:t>条 乙方的权利和义务</w:t>
      </w:r>
    </w:p>
    <w:p w14:paraId="74BE1DB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对本合同规定的委托服务范围内的项目享有管理权及服务义务。</w:t>
      </w:r>
    </w:p>
    <w:p w14:paraId="1C4F63D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根据本合同的规定向甲方收取相关服务费用，并有权在本项目管理范围内管理及合理使用。</w:t>
      </w:r>
    </w:p>
    <w:p w14:paraId="515850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及时向甲方通告本项目服务范围内有关服务的重大事项， 及时配合处理投诉。</w:t>
      </w:r>
    </w:p>
    <w:p w14:paraId="01E5A3C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接受项目行业管理部门及政府有关部门的指导，接受甲方的监督。</w:t>
      </w:r>
    </w:p>
    <w:p w14:paraId="0FA1B5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国家法律、法规所规定由乙方承担的其它责任。</w:t>
      </w:r>
    </w:p>
    <w:p w14:paraId="01666D4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严格完全根据甲方招标文件要求及乙方投标文件响应的其他承诺及服务进行履约。</w:t>
      </w:r>
    </w:p>
    <w:p w14:paraId="0E82458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w:t>
      </w: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rPr>
        <w:t>条 违约责任</w:t>
      </w:r>
    </w:p>
    <w:p w14:paraId="5AB115E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甲乙双方必须遵守本合同并执行合同中的各项规定，保证本合同的正常履行。</w:t>
      </w:r>
    </w:p>
    <w:p w14:paraId="12835AC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2508331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w:t>
      </w:r>
      <w:r>
        <w:rPr>
          <w:rFonts w:hint="eastAsia" w:ascii="宋体" w:hAnsi="宋体" w:eastAsia="宋体" w:cs="宋体"/>
          <w:b/>
          <w:bCs/>
          <w:color w:val="auto"/>
          <w:sz w:val="24"/>
          <w:highlight w:val="none"/>
          <w:lang w:val="en-US" w:eastAsia="zh-CN"/>
        </w:rPr>
        <w:t>一</w:t>
      </w:r>
      <w:r>
        <w:rPr>
          <w:rFonts w:hint="eastAsia" w:ascii="宋体" w:hAnsi="宋体" w:eastAsia="宋体" w:cs="宋体"/>
          <w:b/>
          <w:bCs/>
          <w:color w:val="auto"/>
          <w:sz w:val="24"/>
          <w:highlight w:val="none"/>
        </w:rPr>
        <w:t>条 不可抗力事件处理</w:t>
      </w:r>
    </w:p>
    <w:p w14:paraId="00126C4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在合同有效期内，任何一方因不可抗力事件导致不能履行合同，则合同履行期可延长，其延长期与不可抗力影响期相同。</w:t>
      </w:r>
    </w:p>
    <w:p w14:paraId="2FA179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不可抗力事件发生后， 应立即通知对方， 并寄送有关权威机构出具的证明。</w:t>
      </w:r>
    </w:p>
    <w:p w14:paraId="265C67B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不可抗力事件延续</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天以上，双方应通过友好协商，确定是否继续履行合同。</w:t>
      </w:r>
    </w:p>
    <w:p w14:paraId="5CE06738">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w:t>
      </w:r>
      <w:r>
        <w:rPr>
          <w:rFonts w:hint="eastAsia" w:ascii="宋体" w:hAnsi="宋体" w:eastAsia="宋体" w:cs="宋体"/>
          <w:b/>
          <w:bCs/>
          <w:color w:val="auto"/>
          <w:sz w:val="24"/>
          <w:highlight w:val="none"/>
          <w:lang w:val="en-US" w:eastAsia="zh-CN"/>
        </w:rPr>
        <w:t>二</w:t>
      </w:r>
      <w:r>
        <w:rPr>
          <w:rFonts w:hint="eastAsia" w:ascii="宋体" w:hAnsi="宋体" w:eastAsia="宋体" w:cs="宋体"/>
          <w:b/>
          <w:bCs/>
          <w:color w:val="auto"/>
          <w:sz w:val="24"/>
          <w:highlight w:val="none"/>
        </w:rPr>
        <w:t>条 解决合同纠纷的方式</w:t>
      </w:r>
    </w:p>
    <w:p w14:paraId="6B7797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1.在执行本合同中发生的或与本合同有关的争端， 双方应通过友好协商解决， 经协商在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天内不能达成协议时，应提交</w:t>
      </w:r>
      <w:r>
        <w:rPr>
          <w:rFonts w:hint="eastAsia" w:ascii="宋体" w:hAnsi="宋体" w:eastAsia="宋体" w:cs="宋体"/>
          <w:color w:val="auto"/>
          <w:sz w:val="24"/>
          <w:highlight w:val="none"/>
          <w:lang w:val="en-US" w:eastAsia="zh-CN"/>
        </w:rPr>
        <w:t>甲方所在地</w:t>
      </w:r>
      <w:r>
        <w:rPr>
          <w:rFonts w:hint="eastAsia" w:ascii="宋体" w:hAnsi="宋体" w:eastAsia="宋体" w:cs="宋体"/>
          <w:color w:val="auto"/>
          <w:sz w:val="24"/>
          <w:highlight w:val="none"/>
        </w:rPr>
        <w:t>仲裁。</w:t>
      </w:r>
    </w:p>
    <w:p w14:paraId="192FD9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仲裁裁决应为最终决定，并对双方具有约束力。</w:t>
      </w:r>
    </w:p>
    <w:p w14:paraId="4EC5C0F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除另有裁决外，仲裁费应由败诉方负担。</w:t>
      </w:r>
    </w:p>
    <w:p w14:paraId="535815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在仲裁期间，除正在进行仲裁部分外，合同其他部分继续执行。</w:t>
      </w:r>
    </w:p>
    <w:p w14:paraId="1494E656">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w:t>
      </w:r>
      <w:r>
        <w:rPr>
          <w:rFonts w:hint="eastAsia" w:ascii="宋体" w:hAnsi="宋体" w:eastAsia="宋体" w:cs="宋体"/>
          <w:b/>
          <w:bCs/>
          <w:color w:val="auto"/>
          <w:sz w:val="24"/>
          <w:highlight w:val="none"/>
          <w:lang w:val="en-US" w:eastAsia="zh-CN"/>
        </w:rPr>
        <w:t>三</w:t>
      </w:r>
      <w:r>
        <w:rPr>
          <w:rFonts w:hint="eastAsia" w:ascii="宋体" w:hAnsi="宋体" w:eastAsia="宋体" w:cs="宋体"/>
          <w:b/>
          <w:bCs/>
          <w:color w:val="auto"/>
          <w:sz w:val="24"/>
          <w:highlight w:val="none"/>
        </w:rPr>
        <w:t>条 合同生效及其他</w:t>
      </w:r>
    </w:p>
    <w:p w14:paraId="6ADBC4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合同经双方法定代表人</w:t>
      </w:r>
      <w:r>
        <w:rPr>
          <w:rFonts w:hint="eastAsia" w:ascii="宋体" w:hAnsi="宋体" w:eastAsia="宋体" w:cs="宋体"/>
          <w:color w:val="auto"/>
          <w:kern w:val="0"/>
          <w:sz w:val="24"/>
          <w:highlight w:val="none"/>
        </w:rPr>
        <w:t>/单位负责人</w:t>
      </w:r>
      <w:r>
        <w:rPr>
          <w:rFonts w:hint="eastAsia" w:ascii="宋体" w:hAnsi="宋体" w:eastAsia="宋体" w:cs="宋体"/>
          <w:color w:val="auto"/>
          <w:sz w:val="24"/>
          <w:highlight w:val="none"/>
        </w:rPr>
        <w:t>或授权委托代理人签字并加盖单位公章后生效。</w:t>
      </w:r>
    </w:p>
    <w:p w14:paraId="494E64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合同执行中涉及采购资金和采购内容修改或补充的，须经政府采购监管部门审批，并签书面补充协议报政府采购监督管理部门备案，方可作为主合同不可分割的一部分。</w:t>
      </w:r>
    </w:p>
    <w:p w14:paraId="2DE22C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outlineLvl w:val="9"/>
        <w:rPr>
          <w:rFonts w:hint="eastAsia" w:ascii="宋体" w:hAnsi="宋体" w:eastAsia="宋体" w:cs="宋体"/>
          <w:bCs/>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 xml:space="preserve">本合同一式  份，自双方签章之日起起效。甲方 份，乙方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p>
    <w:p w14:paraId="7B245F2E">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
          <w:bCs/>
          <w:color w:val="auto"/>
          <w:sz w:val="24"/>
          <w:highlight w:val="none"/>
        </w:rPr>
      </w:pPr>
    </w:p>
    <w:p w14:paraId="10BD0723">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甲方：</w:t>
      </w:r>
      <w:r>
        <w:rPr>
          <w:rFonts w:hint="eastAsia" w:ascii="宋体" w:hAnsi="宋体" w:eastAsia="宋体" w:cs="宋体"/>
          <w:bCs/>
          <w:color w:val="auto"/>
          <w:sz w:val="24"/>
          <w:highlight w:val="none"/>
        </w:rPr>
        <w:t xml:space="preserve">（盖章）   </w:t>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乙方：</w:t>
      </w:r>
      <w:r>
        <w:rPr>
          <w:rFonts w:hint="eastAsia" w:ascii="宋体" w:hAnsi="宋体" w:eastAsia="宋体" w:cs="宋体"/>
          <w:bCs/>
          <w:color w:val="auto"/>
          <w:sz w:val="24"/>
          <w:highlight w:val="none"/>
        </w:rPr>
        <w:t xml:space="preserve"> （盖章）</w:t>
      </w:r>
    </w:p>
    <w:p w14:paraId="121B303B">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法定代表人（授权代表）：</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法定代表人（授权代表）：</w:t>
      </w:r>
    </w:p>
    <w:p w14:paraId="4F0E0116">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地    址：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地    址：</w:t>
      </w:r>
    </w:p>
    <w:p w14:paraId="17DEDB33">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开户银行：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开户银行：</w:t>
      </w:r>
    </w:p>
    <w:p w14:paraId="74942275">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 xml:space="preserve">账号：                            </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账号：</w:t>
      </w:r>
    </w:p>
    <w:p w14:paraId="37160660">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纳税人识别号：</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纳税人识别号：</w:t>
      </w:r>
    </w:p>
    <w:p w14:paraId="71E441A7">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项目联系人：</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项目联系人：</w:t>
      </w:r>
    </w:p>
    <w:p w14:paraId="1A9F859A">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电    话：</w:t>
      </w:r>
      <w:r>
        <w:rPr>
          <w:rFonts w:hint="eastAsia" w:ascii="宋体" w:hAnsi="宋体" w:eastAsia="宋体" w:cs="宋体"/>
          <w:bCs/>
          <w:color w:val="auto"/>
          <w:sz w:val="24"/>
          <w:highlight w:val="none"/>
        </w:rPr>
        <w:t xml:space="preserve">                                </w:t>
      </w:r>
      <w:r>
        <w:rPr>
          <w:rFonts w:hint="eastAsia" w:ascii="宋体" w:hAnsi="宋体" w:eastAsia="宋体" w:cs="宋体"/>
          <w:b/>
          <w:bCs/>
          <w:color w:val="auto"/>
          <w:sz w:val="24"/>
          <w:highlight w:val="none"/>
        </w:rPr>
        <w:t>电    话：</w:t>
      </w:r>
    </w:p>
    <w:p w14:paraId="6A4B33C2">
      <w:pPr>
        <w:keepNext w:val="0"/>
        <w:keepLines w:val="0"/>
        <w:pageBreakBefore w:val="0"/>
        <w:widowControl w:val="0"/>
        <w:kinsoku/>
        <w:wordWrap/>
        <w:overflowPunct/>
        <w:topLinePunct w:val="0"/>
        <w:autoSpaceDE/>
        <w:autoSpaceDN/>
        <w:bidi w:val="0"/>
        <w:snapToGrid w:val="0"/>
        <w:spacing w:line="360" w:lineRule="auto"/>
        <w:ind w:firstLine="482" w:firstLineChars="200"/>
        <w:outlineLvl w:val="9"/>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w:t>签约日期：</w:t>
      </w:r>
      <w:r>
        <w:rPr>
          <w:rFonts w:hint="eastAsia" w:ascii="宋体" w:hAnsi="宋体" w:eastAsia="宋体" w:cs="宋体"/>
          <w:bCs/>
          <w:color w:val="auto"/>
          <w:sz w:val="24"/>
          <w:highlight w:val="none"/>
        </w:rPr>
        <w:t xml:space="preserve">XXXX年XX月XX日 </w:t>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ab/>
      </w:r>
      <w:r>
        <w:rPr>
          <w:rFonts w:hint="eastAsia" w:ascii="宋体" w:hAnsi="宋体" w:eastAsia="宋体" w:cs="宋体"/>
          <w:bCs/>
          <w:color w:val="auto"/>
          <w:sz w:val="24"/>
          <w:highlight w:val="none"/>
        </w:rPr>
        <w:t xml:space="preserve">      </w:t>
      </w:r>
      <w:r>
        <w:rPr>
          <w:rFonts w:hint="eastAsia" w:ascii="宋体" w:hAnsi="宋体" w:eastAsia="宋体" w:cs="宋体"/>
          <w:bCs/>
          <w:color w:val="auto"/>
          <w:sz w:val="24"/>
          <w:highlight w:val="none"/>
          <w:lang w:val="en-US" w:eastAsia="zh-CN"/>
        </w:rPr>
        <w:t xml:space="preserve"> </w:t>
      </w:r>
      <w:r>
        <w:rPr>
          <w:rFonts w:hint="eastAsia" w:ascii="宋体" w:hAnsi="宋体" w:eastAsia="宋体" w:cs="宋体"/>
          <w:b/>
          <w:bCs/>
          <w:color w:val="auto"/>
          <w:sz w:val="24"/>
          <w:highlight w:val="none"/>
        </w:rPr>
        <w:t>签约日期：</w:t>
      </w:r>
      <w:r>
        <w:rPr>
          <w:rFonts w:hint="eastAsia" w:ascii="宋体" w:hAnsi="宋体" w:eastAsia="宋体" w:cs="宋体"/>
          <w:bCs/>
          <w:color w:val="auto"/>
          <w:sz w:val="24"/>
          <w:highlight w:val="none"/>
        </w:rPr>
        <w:t>XXXX年XX月XX日</w:t>
      </w:r>
    </w:p>
    <w:p w14:paraId="3C9B27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p>
    <w:sectPr>
      <w:footerReference r:id="rId9" w:type="default"/>
      <w:pgSz w:w="11905" w:h="16838"/>
      <w:pgMar w:top="1417" w:right="1587" w:bottom="1417" w:left="1587" w:header="851" w:footer="992"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Lucida Sans">
    <w:panose1 w:val="020B0602030504020204"/>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FD60B">
    <w:pPr>
      <w:pStyle w:val="1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13"/>
              <wp:cNvGraphicFramePr/>
              <a:graphic xmlns:a="http://schemas.openxmlformats.org/drawingml/2006/main">
                <a:graphicData uri="http://schemas.microsoft.com/office/word/2010/wordprocessingShape">
                  <wps:wsp>
                    <wps:cNvSpPr/>
                    <wps:spPr>
                      <a:xfrm>
                        <a:off x="0" y="0"/>
                        <a:ext cx="57149" cy="148016"/>
                      </a:xfrm>
                      <a:prstGeom prst="rect">
                        <a:avLst/>
                      </a:prstGeom>
                      <a:noFill/>
                      <a:ln w="6350" cap="flat" cmpd="sng">
                        <a:noFill/>
                        <a:prstDash val="solid"/>
                        <a:round/>
                      </a:ln>
                    </wps:spPr>
                    <wps:txbx>
                      <w:txbxContent>
                        <w:p w14:paraId="02ECDF8B">
                          <w:pPr>
                            <w:pStyle w:val="17"/>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3" o:spid="_x0000_s1026" o:spt="1" style="position:absolute;left:0pt;margin-top:0pt;height:11.65pt;width:4.5pt;mso-position-horizontal:center;mso-position-horizontal-relative:margin;mso-wrap-style:none;z-index:251659264;mso-width-relative:page;mso-height-relative:page;" filled="f" stroked="f" coordsize="21600,21600" o:gfxdata="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pOlKtdUAAAACAQAADwAAAAAAAAABACAAAAAiAAAAZHJzL2Rv&#10;d25yZXYueG1sUEsBAhQAFAAAAAgAh07iQGfepE8EAgAA9AMAAA4AAAAAAAAAAQAgAAAAJAEAAGRy&#10;cy9lMm9Eb2MueG1sUEsFBgAAAAAGAAYAWQEAAJoFAAAAAA==&#10;">
              <v:fill on="f" focussize="0,0"/>
              <v:stroke on="f" weight="0.5pt" joinstyle="round"/>
              <v:imagedata o:title=""/>
              <o:lock v:ext="edit" aspectratio="f"/>
              <v:textbox inset="0mm,0mm,0mm,0mm" style="mso-fit-shape-to-text:t;">
                <w:txbxContent>
                  <w:p w14:paraId="02ECDF8B">
                    <w:pPr>
                      <w:pStyle w:val="17"/>
                    </w:pPr>
                    <w:r>
                      <w:rPr>
                        <w:rFonts w:hint="eastAsia"/>
                      </w:rPr>
                      <w:fldChar w:fldCharType="begin"/>
                    </w:r>
                    <w:r>
                      <w:rPr>
                        <w:rFonts w:hint="eastAsia"/>
                      </w:rPr>
                      <w:instrText xml:space="preserve"> PAGE  \* MERGEFORMAT </w:instrText>
                    </w:r>
                    <w:r>
                      <w:rPr>
                        <w:rFonts w:hint="eastAsia"/>
                      </w:rPr>
                      <w:fldChar w:fldCharType="separate"/>
                    </w:r>
                    <w:r>
                      <w:t>33</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20794">
    <w:pPr>
      <w:pStyle w:val="1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4" name="文本框 14"/>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14:paraId="3A6DA8A8">
                          <w:pPr>
                            <w:pStyle w:val="1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4" o:spid="_x0000_s1026" o:spt="1" style="position:absolute;left:0pt;margin-top:0pt;height:11.65pt;width:9pt;mso-position-horizontal:center;mso-position-horizontal-relative:margin;mso-wrap-style:none;z-index:251659264;mso-width-relative:page;mso-height-relative:page;" filled="f" stroked="f" coordsize="21600,21600" o:gfxdata="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BeSP1QAAAAMBAAAPAAAAAAAAAAEAIAAAACIAAABkcnMvZG93&#10;bnJldi54bWxQSwECFAAUAAAACACHTuJA1lxqpgMCAAD1AwAADgAAAAAAAAABACAAAAAkAQAAZHJz&#10;L2Uyb0RvYy54bWxQSwUGAAAAAAYABgBZAQAAmQUAAAAA&#10;">
              <v:fill on="f" focussize="0,0"/>
              <v:stroke on="f" weight="0.5pt" joinstyle="round"/>
              <v:imagedata o:title=""/>
              <o:lock v:ext="edit" aspectratio="f"/>
              <v:textbox inset="0mm,0mm,0mm,0mm" style="mso-fit-shape-to-text:t;">
                <w:txbxContent>
                  <w:p w14:paraId="3A6DA8A8">
                    <w:pPr>
                      <w:pStyle w:val="17"/>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5C4DF">
    <w:pPr>
      <w:pStyle w:val="17"/>
      <w:jc w:val="center"/>
      <w:rPr>
        <w:rFonts w:ascii="宋体"/>
        <w:sz w:val="32"/>
        <w:szCs w:val="32"/>
      </w:rPr>
    </w:pPr>
    <w:r>
      <w:rPr>
        <w:sz w:val="32"/>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47955"/>
              <wp:effectExtent l="0" t="0" r="0" b="0"/>
              <wp:wrapNone/>
              <wp:docPr id="7" name="文本框 10"/>
              <wp:cNvGraphicFramePr/>
              <a:graphic xmlns:a="http://schemas.openxmlformats.org/drawingml/2006/main">
                <a:graphicData uri="http://schemas.microsoft.com/office/word/2010/wordprocessingShape">
                  <wps:wsp>
                    <wps:cNvSpPr/>
                    <wps:spPr>
                      <a:xfrm>
                        <a:off x="0" y="0"/>
                        <a:ext cx="342900" cy="148018"/>
                      </a:xfrm>
                      <a:prstGeom prst="rect">
                        <a:avLst/>
                      </a:prstGeom>
                      <a:noFill/>
                      <a:ln w="6350" cap="flat" cmpd="sng">
                        <a:noFill/>
                        <a:prstDash val="solid"/>
                        <a:round/>
                      </a:ln>
                    </wps:spPr>
                    <wps:txbx>
                      <w:txbxContent>
                        <w:p w14:paraId="607EB445">
                          <w:pPr>
                            <w:pStyle w:val="17"/>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0" o:spid="_x0000_s1026" o:spt="1" style="position:absolute;left:0pt;margin-top:0pt;height:11.65pt;width:27pt;mso-position-horizontal:center;mso-position-horizontal-relative:margin;mso-wrap-style:none;z-index:251659264;mso-width-relative:page;mso-height-relative:page;" filled="f" stroked="f" coordsize="21600,21600" o:gfxdata="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nvy09YAAAADAQAADwAAAAAAAAABACAAAAAiAAAAZHJzL2Rv&#10;d25yZXYueG1sUEsBAhQAFAAAAAgAh07iQIWdy30DAgAA9QMAAA4AAAAAAAAAAQAgAAAAJQEAAGRy&#10;cy9lMm9Eb2MueG1sUEsFBgAAAAAGAAYAWQEAAJoFAAAAAA==&#10;">
              <v:fill on="f" focussize="0,0"/>
              <v:stroke on="f" weight="0.5pt" joinstyle="round"/>
              <v:imagedata o:title=""/>
              <o:lock v:ext="edit" aspectratio="f"/>
              <v:textbox inset="0mm,0mm,0mm,0mm" style="mso-fit-shape-to-text:t;">
                <w:txbxContent>
                  <w:p w14:paraId="607EB445">
                    <w:pPr>
                      <w:pStyle w:val="17"/>
                    </w:pPr>
                    <w:r>
                      <w:rPr>
                        <w:rFonts w:hint="eastAsia"/>
                      </w:rPr>
                      <w:fldChar w:fldCharType="begin"/>
                    </w:r>
                    <w:r>
                      <w:rPr>
                        <w:rFonts w:hint="eastAsia"/>
                      </w:rPr>
                      <w:instrText xml:space="preserve"> PAGE  \* MERGEFORMAT </w:instrText>
                    </w:r>
                    <w:r>
                      <w:rPr>
                        <w:rFonts w:hint="eastAsia"/>
                      </w:rPr>
                      <w:fldChar w:fldCharType="separate"/>
                    </w:r>
                    <w:r>
                      <w:t>- 35 -</w:t>
                    </w:r>
                    <w:r>
                      <w:rPr>
                        <w:rFonts w:hint="eastAsia"/>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3BF06">
    <w:pPr>
      <w:pStyle w:val="17"/>
      <w:jc w:val="center"/>
      <w:rPr>
        <w:rFonts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47955"/>
              <wp:effectExtent l="0" t="0" r="0" b="0"/>
              <wp:wrapNone/>
              <wp:docPr id="22" name="文本框 11"/>
              <wp:cNvGraphicFramePr/>
              <a:graphic xmlns:a="http://schemas.openxmlformats.org/drawingml/2006/main">
                <a:graphicData uri="http://schemas.microsoft.com/office/word/2010/wordprocessingShape">
                  <wps:wsp>
                    <wps:cNvSpPr/>
                    <wps:spPr>
                      <a:xfrm>
                        <a:off x="0" y="0"/>
                        <a:ext cx="342900" cy="147955"/>
                      </a:xfrm>
                      <a:prstGeom prst="rect">
                        <a:avLst/>
                      </a:prstGeom>
                      <a:noFill/>
                      <a:ln w="6350" cap="flat" cmpd="sng">
                        <a:noFill/>
                        <a:prstDash val="solid"/>
                        <a:round/>
                      </a:ln>
                    </wps:spPr>
                    <wps:txbx>
                      <w:txbxContent>
                        <w:p w14:paraId="3C4AB645">
                          <w:pPr>
                            <w:pStyle w:val="17"/>
                          </w:pPr>
                          <w:r>
                            <w:rPr>
                              <w:rFonts w:hint="eastAsia"/>
                            </w:rPr>
                            <w:fldChar w:fldCharType="begin"/>
                          </w:r>
                          <w:r>
                            <w:rPr>
                              <w:rFonts w:hint="eastAsia"/>
                            </w:rPr>
                            <w:instrText xml:space="preserve"> PAGE  \* MERGEFORMAT </w:instrText>
                          </w:r>
                          <w:r>
                            <w:rPr>
                              <w:rFonts w:hint="eastAsia"/>
                            </w:rPr>
                            <w:fldChar w:fldCharType="separate"/>
                          </w:r>
                          <w:r>
                            <w:t>- 38 -</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1" o:spid="_x0000_s1026" o:spt="1" style="position:absolute;left:0pt;margin-top:0pt;height:11.65pt;width:27pt;mso-position-horizontal:center;mso-position-horizontal-relative:margin;mso-wrap-style:none;z-index:251659264;mso-width-relative:page;mso-height-relative:page;" filled="f" stroked="f" coordsize="21600,21600" o:gfxdata="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78tPWAAAAAwEAAA8AAAAAAAAAAQAgAAAAIgAAAGRycy9k&#10;b3ducmV2LnhtbFBLAQIUABQAAAAIAIdO4kBGOKY+BAIAAPYDAAAOAAAAAAAAAAEAIAAAACUBAABk&#10;cnMvZTJvRG9jLnhtbFBLBQYAAAAABgAGAFkBAACbBQAAAAA=&#10;">
              <v:fill on="f" focussize="0,0"/>
              <v:stroke on="f" weight="0.5pt" joinstyle="round"/>
              <v:imagedata o:title=""/>
              <o:lock v:ext="edit" aspectratio="f"/>
              <v:textbox inset="0mm,0mm,0mm,0mm" style="mso-fit-shape-to-text:t;">
                <w:txbxContent>
                  <w:p w14:paraId="3C4AB645">
                    <w:pPr>
                      <w:pStyle w:val="17"/>
                    </w:pPr>
                    <w:r>
                      <w:rPr>
                        <w:rFonts w:hint="eastAsia"/>
                      </w:rPr>
                      <w:fldChar w:fldCharType="begin"/>
                    </w:r>
                    <w:r>
                      <w:rPr>
                        <w:rFonts w:hint="eastAsia"/>
                      </w:rPr>
                      <w:instrText xml:space="preserve"> PAGE  \* MERGEFORMAT </w:instrText>
                    </w:r>
                    <w:r>
                      <w:rPr>
                        <w:rFonts w:hint="eastAsia"/>
                      </w:rPr>
                      <w:fldChar w:fldCharType="separate"/>
                    </w:r>
                    <w:r>
                      <w:t>- 38 -</w:t>
                    </w:r>
                    <w:r>
                      <w:rPr>
                        <w:rFonts w:hint="eastAsia"/>
                      </w:rP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D83F2">
    <w:pPr>
      <w:pStyle w:val="17"/>
      <w:framePr w:wrap="around" w:vAnchor="text" w:hAnchor="margin" w:xAlign="outside" w:y="1"/>
      <w:rPr>
        <w:rStyle w:val="28"/>
      </w:rPr>
    </w:pPr>
    <w:r>
      <w:rPr>
        <w:rStyle w:val="28"/>
      </w:rPr>
      <w:fldChar w:fldCharType="begin"/>
    </w:r>
    <w:r>
      <w:rPr>
        <w:rStyle w:val="28"/>
      </w:rPr>
      <w:instrText xml:space="preserve">PAGE  </w:instrText>
    </w:r>
    <w:r>
      <w:fldChar w:fldCharType="separate"/>
    </w:r>
    <w:r>
      <w:t xml:space="preserve"> </w:t>
    </w:r>
    <w:r>
      <w:fldChar w:fldCharType="end"/>
    </w:r>
  </w:p>
  <w:p w14:paraId="4E344197">
    <w:pPr>
      <w:pStyle w:val="1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E44E">
    <w:pPr>
      <w:pStyle w:val="17"/>
      <w:jc w:val="center"/>
      <w:rPr>
        <w:rFonts w:ascii="宋体"/>
        <w:sz w:val="28"/>
        <w:szCs w:val="28"/>
      </w:rPr>
    </w:pPr>
    <w:r>
      <w:rPr>
        <w:sz w:val="2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42900" cy="147955"/>
              <wp:effectExtent l="0" t="0" r="0" b="0"/>
              <wp:wrapNone/>
              <wp:docPr id="25" name="文本框 12"/>
              <wp:cNvGraphicFramePr/>
              <a:graphic xmlns:a="http://schemas.openxmlformats.org/drawingml/2006/main">
                <a:graphicData uri="http://schemas.microsoft.com/office/word/2010/wordprocessingShape">
                  <wps:wsp>
                    <wps:cNvSpPr/>
                    <wps:spPr>
                      <a:xfrm>
                        <a:off x="0" y="0"/>
                        <a:ext cx="342900" cy="147955"/>
                      </a:xfrm>
                      <a:prstGeom prst="rect">
                        <a:avLst/>
                      </a:prstGeom>
                      <a:noFill/>
                      <a:ln w="6350" cap="flat" cmpd="sng">
                        <a:noFill/>
                        <a:prstDash val="solid"/>
                        <a:round/>
                      </a:ln>
                    </wps:spPr>
                    <wps:txbx>
                      <w:txbxContent>
                        <w:p w14:paraId="55CFEA46">
                          <w:pPr>
                            <w:pStyle w:val="17"/>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vert="horz" wrap="none" lIns="0" tIns="0" rIns="0" bIns="0" anchor="t" anchorCtr="0" upright="0">
                      <a:spAutoFit/>
                    </wps:bodyPr>
                  </wps:wsp>
                </a:graphicData>
              </a:graphic>
            </wp:anchor>
          </w:drawing>
        </mc:Choice>
        <mc:Fallback>
          <w:pict>
            <v:rect id="文本框 12" o:spid="_x0000_s1026" o:spt="1" style="position:absolute;left:0pt;margin-top:0pt;height:11.65pt;width:27pt;mso-position-horizontal:center;mso-position-horizontal-relative:margin;mso-wrap-style:none;z-index:251659264;mso-width-relative:page;mso-height-relative:page;" filled="f" stroked="f" coordsize="21600,21600" o:gfxdata="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J78tPWAAAAAwEAAA8AAAAAAAAAAQAgAAAAIgAAAGRycy9k&#10;b3ducmV2LnhtbFBLAQIUABQAAAAIAIdO4kCdrI6OBAIAAPYDAAAOAAAAAAAAAAEAIAAAACUBAABk&#10;cnMvZTJvRG9jLnhtbFBLBQYAAAAABgAGAFkBAACbBQAAAAA=&#10;">
              <v:fill on="f" focussize="0,0"/>
              <v:stroke on="f" weight="0.5pt" joinstyle="round"/>
              <v:imagedata o:title=""/>
              <o:lock v:ext="edit" aspectratio="f"/>
              <v:textbox inset="0mm,0mm,0mm,0mm" style="mso-fit-shape-to-text:t;">
                <w:txbxContent>
                  <w:p w14:paraId="55CFEA46">
                    <w:pPr>
                      <w:pStyle w:val="17"/>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6AE3">
    <w:pPr>
      <w:pStyle w:val="18"/>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CE226"/>
    <w:multiLevelType w:val="singleLevel"/>
    <w:tmpl w:val="8A7CE226"/>
    <w:lvl w:ilvl="0" w:tentative="0">
      <w:start w:val="1"/>
      <w:numFmt w:val="chineseCounting"/>
      <w:suff w:val="nothing"/>
      <w:lvlText w:val="（%1）"/>
      <w:lvlJc w:val="left"/>
      <w:rPr>
        <w:rFonts w:hint="eastAsia"/>
      </w:rPr>
    </w:lvl>
  </w:abstractNum>
  <w:abstractNum w:abstractNumId="1">
    <w:nsid w:val="CA240A61"/>
    <w:multiLevelType w:val="singleLevel"/>
    <w:tmpl w:val="CA240A61"/>
    <w:lvl w:ilvl="0" w:tentative="0">
      <w:start w:val="1"/>
      <w:numFmt w:val="chineseCounting"/>
      <w:pStyle w:val="74"/>
      <w:suff w:val="nothing"/>
      <w:lvlText w:val="(%1)"/>
      <w:lvlJc w:val="left"/>
      <w:pPr>
        <w:ind w:left="0" w:firstLine="0"/>
      </w:pPr>
      <w:rPr>
        <w:rFonts w:hint="eastAsia"/>
      </w:rPr>
    </w:lvl>
  </w:abstractNum>
  <w:abstractNum w:abstractNumId="2">
    <w:nsid w:val="E1C4170C"/>
    <w:multiLevelType w:val="singleLevel"/>
    <w:tmpl w:val="E1C4170C"/>
    <w:lvl w:ilvl="0" w:tentative="0">
      <w:start w:val="3"/>
      <w:numFmt w:val="chineseCounting"/>
      <w:suff w:val="space"/>
      <w:lvlText w:val="第%1条"/>
      <w:lvlJc w:val="left"/>
      <w:rPr>
        <w:rFonts w:hint="eastAsia"/>
      </w:rPr>
    </w:lvl>
  </w:abstractNum>
  <w:abstractNum w:abstractNumId="3">
    <w:nsid w:val="39F19D0A"/>
    <w:multiLevelType w:val="singleLevel"/>
    <w:tmpl w:val="39F19D0A"/>
    <w:lvl w:ilvl="0" w:tentative="0">
      <w:start w:val="2"/>
      <w:numFmt w:val="chineseCounting"/>
      <w:suff w:val="space"/>
      <w:lvlText w:val="（%1）"/>
      <w:lvlJc w:val="left"/>
      <w:rPr>
        <w:rFonts w:hint="eastAsia"/>
      </w:rPr>
    </w:lvl>
  </w:abstractNum>
  <w:abstractNum w:abstractNumId="4">
    <w:nsid w:val="41A255C5"/>
    <w:multiLevelType w:val="multilevel"/>
    <w:tmpl w:val="41A255C5"/>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71"/>
      <w:suff w:val="nothing"/>
      <w:lvlText w:val="%2、"/>
      <w:lvlJc w:val="left"/>
      <w:pPr>
        <w:tabs>
          <w:tab w:val="left" w:pos="0"/>
        </w:tabs>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tabs>
          <w:tab w:val="left" w:pos="0"/>
        </w:tabs>
        <w:ind w:left="0" w:firstLine="0"/>
      </w:pPr>
      <w:rPr>
        <w:rFonts w:hint="eastAsia" w:ascii="宋体" w:hAnsi="宋体" w:eastAsia="宋体" w:cs="宋体"/>
      </w:rPr>
    </w:lvl>
    <w:lvl w:ilvl="5" w:tentative="0">
      <w:start w:val="1"/>
      <w:numFmt w:val="decimal"/>
      <w:suff w:val="nothing"/>
      <w:lvlText w:val="(%6)"/>
      <w:lvlJc w:val="left"/>
      <w:pPr>
        <w:tabs>
          <w:tab w:val="left" w:pos="0"/>
        </w:tabs>
        <w:ind w:left="0" w:firstLine="0"/>
      </w:pPr>
      <w:rPr>
        <w:rFonts w:hint="eastAsia" w:ascii="宋体" w:hAnsi="宋体" w:eastAsia="宋体" w:cs="宋体"/>
      </w:rPr>
    </w:lvl>
    <w:lvl w:ilvl="6" w:tentative="0">
      <w:start w:val="1"/>
      <w:numFmt w:val="lowerLetter"/>
      <w:suff w:val="nothing"/>
      <w:lvlText w:val="%7．"/>
      <w:lvlJc w:val="left"/>
      <w:pPr>
        <w:tabs>
          <w:tab w:val="left" w:pos="0"/>
        </w:tabs>
        <w:ind w:left="0" w:firstLine="402"/>
      </w:pPr>
      <w:rPr>
        <w:rFonts w:hint="eastAsia"/>
      </w:rPr>
    </w:lvl>
    <w:lvl w:ilvl="7" w:tentative="0">
      <w:start w:val="1"/>
      <w:numFmt w:val="lowerLetter"/>
      <w:suff w:val="nothing"/>
      <w:lvlText w:val="%8）"/>
      <w:lvlJc w:val="left"/>
      <w:pPr>
        <w:tabs>
          <w:tab w:val="left" w:pos="0"/>
        </w:tabs>
        <w:ind w:left="0" w:firstLine="402"/>
      </w:pPr>
      <w:rPr>
        <w:rFonts w:hint="eastAsia"/>
      </w:rPr>
    </w:lvl>
    <w:lvl w:ilvl="8" w:tentative="0">
      <w:start w:val="1"/>
      <w:numFmt w:val="lowerRoman"/>
      <w:suff w:val="nothing"/>
      <w:lvlText w:val="%9. "/>
      <w:lvlJc w:val="left"/>
      <w:pPr>
        <w:tabs>
          <w:tab w:val="left" w:pos="0"/>
        </w:tabs>
        <w:ind w:left="0" w:firstLine="402"/>
      </w:pPr>
      <w:rPr>
        <w:rFonts w:hint="eastAsia"/>
      </w:rPr>
    </w:lvl>
  </w:abstractNum>
  <w:abstractNum w:abstractNumId="5">
    <w:nsid w:val="58AE7812"/>
    <w:multiLevelType w:val="singleLevel"/>
    <w:tmpl w:val="58AE7812"/>
    <w:lvl w:ilvl="0" w:tentative="0">
      <w:start w:val="2"/>
      <w:numFmt w:val="chineseCounting"/>
      <w:suff w:val="nothing"/>
      <w:lvlText w:val="（%1）"/>
      <w:lvlJc w:val="left"/>
      <w:pPr>
        <w:tabs>
          <w:tab w:val="left" w:pos="0"/>
        </w:tabs>
        <w:ind w:left="0" w:firstLine="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enforcement="0"/>
  <w:defaultTabStop w:val="420"/>
  <w:drawingGridHorizontalSpacing w:val="34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OWIyYzkyNDU2YmIxZWUxMmZjZjUxMTYzY2U3NTA2YWYifQ=="/>
  </w:docVars>
  <w:rsids>
    <w:rsidRoot w:val="00000000"/>
    <w:rsid w:val="00AB1812"/>
    <w:rsid w:val="00BA3447"/>
    <w:rsid w:val="00C106AF"/>
    <w:rsid w:val="00F211EF"/>
    <w:rsid w:val="01161381"/>
    <w:rsid w:val="012A4E2C"/>
    <w:rsid w:val="0132783D"/>
    <w:rsid w:val="01437C9C"/>
    <w:rsid w:val="01527EDF"/>
    <w:rsid w:val="01583748"/>
    <w:rsid w:val="018D0F17"/>
    <w:rsid w:val="01A52705"/>
    <w:rsid w:val="01A73D87"/>
    <w:rsid w:val="01C761D7"/>
    <w:rsid w:val="02223D56"/>
    <w:rsid w:val="025C7268"/>
    <w:rsid w:val="027F2F56"/>
    <w:rsid w:val="02B349AE"/>
    <w:rsid w:val="02D037B2"/>
    <w:rsid w:val="02DA1F3A"/>
    <w:rsid w:val="03353615"/>
    <w:rsid w:val="03AF1619"/>
    <w:rsid w:val="03D177E1"/>
    <w:rsid w:val="040C05F0"/>
    <w:rsid w:val="041D1013"/>
    <w:rsid w:val="0440480D"/>
    <w:rsid w:val="04610B65"/>
    <w:rsid w:val="0462668B"/>
    <w:rsid w:val="04BF763A"/>
    <w:rsid w:val="04C11604"/>
    <w:rsid w:val="051756C8"/>
    <w:rsid w:val="051D22F4"/>
    <w:rsid w:val="059C3944"/>
    <w:rsid w:val="05A351AD"/>
    <w:rsid w:val="05CB0769"/>
    <w:rsid w:val="05F23A3F"/>
    <w:rsid w:val="060F45F1"/>
    <w:rsid w:val="06CC603E"/>
    <w:rsid w:val="06CD24E2"/>
    <w:rsid w:val="0765096C"/>
    <w:rsid w:val="07677975"/>
    <w:rsid w:val="07795DA1"/>
    <w:rsid w:val="078E1545"/>
    <w:rsid w:val="07A174CB"/>
    <w:rsid w:val="081E0ABE"/>
    <w:rsid w:val="08226517"/>
    <w:rsid w:val="08B80F70"/>
    <w:rsid w:val="08CB0CA3"/>
    <w:rsid w:val="08D062B9"/>
    <w:rsid w:val="08E81855"/>
    <w:rsid w:val="095E38C5"/>
    <w:rsid w:val="09A45050"/>
    <w:rsid w:val="09DF42DA"/>
    <w:rsid w:val="09E35B78"/>
    <w:rsid w:val="09E9764E"/>
    <w:rsid w:val="09F47D86"/>
    <w:rsid w:val="0A2A19F9"/>
    <w:rsid w:val="0A5371A2"/>
    <w:rsid w:val="0A762E91"/>
    <w:rsid w:val="0B185CF6"/>
    <w:rsid w:val="0B354AFA"/>
    <w:rsid w:val="0B4A76DA"/>
    <w:rsid w:val="0B6251C3"/>
    <w:rsid w:val="0B8769D7"/>
    <w:rsid w:val="0BD51E39"/>
    <w:rsid w:val="0BD7170D"/>
    <w:rsid w:val="0BEB6F66"/>
    <w:rsid w:val="0C0F3A0F"/>
    <w:rsid w:val="0C48085D"/>
    <w:rsid w:val="0C482F66"/>
    <w:rsid w:val="0C5114BF"/>
    <w:rsid w:val="0C684A5B"/>
    <w:rsid w:val="0C796C68"/>
    <w:rsid w:val="0C8C7AEC"/>
    <w:rsid w:val="0C9B273A"/>
    <w:rsid w:val="0CB90E13"/>
    <w:rsid w:val="0CD81BE1"/>
    <w:rsid w:val="0D0D7645"/>
    <w:rsid w:val="0D4C1C87"/>
    <w:rsid w:val="0D70006B"/>
    <w:rsid w:val="0DC67C8B"/>
    <w:rsid w:val="0DC862F2"/>
    <w:rsid w:val="0DFE7425"/>
    <w:rsid w:val="0E2624D8"/>
    <w:rsid w:val="0E5B4877"/>
    <w:rsid w:val="0ECC12D1"/>
    <w:rsid w:val="0F1F58A5"/>
    <w:rsid w:val="0F625791"/>
    <w:rsid w:val="0F931DEF"/>
    <w:rsid w:val="0FB73D2F"/>
    <w:rsid w:val="103A226A"/>
    <w:rsid w:val="10613C9B"/>
    <w:rsid w:val="10C06C14"/>
    <w:rsid w:val="10DB48A7"/>
    <w:rsid w:val="111C1B16"/>
    <w:rsid w:val="115C36A2"/>
    <w:rsid w:val="123F490D"/>
    <w:rsid w:val="12525F91"/>
    <w:rsid w:val="12E0534B"/>
    <w:rsid w:val="12F64B6E"/>
    <w:rsid w:val="130C4392"/>
    <w:rsid w:val="13141499"/>
    <w:rsid w:val="131B1E72"/>
    <w:rsid w:val="13203999"/>
    <w:rsid w:val="137D5290"/>
    <w:rsid w:val="138E2FF9"/>
    <w:rsid w:val="13B90CB9"/>
    <w:rsid w:val="13F6294C"/>
    <w:rsid w:val="145A2EDB"/>
    <w:rsid w:val="14B24AC5"/>
    <w:rsid w:val="14B922F8"/>
    <w:rsid w:val="14E135FC"/>
    <w:rsid w:val="14EB6229"/>
    <w:rsid w:val="153521BB"/>
    <w:rsid w:val="154A73F4"/>
    <w:rsid w:val="154F4A0A"/>
    <w:rsid w:val="157224A6"/>
    <w:rsid w:val="15A72150"/>
    <w:rsid w:val="16534086"/>
    <w:rsid w:val="168D7598"/>
    <w:rsid w:val="16B5416C"/>
    <w:rsid w:val="16F13FCB"/>
    <w:rsid w:val="174D7514"/>
    <w:rsid w:val="17AA4179"/>
    <w:rsid w:val="18320EF5"/>
    <w:rsid w:val="18441ED8"/>
    <w:rsid w:val="18504D21"/>
    <w:rsid w:val="188350F6"/>
    <w:rsid w:val="188D7D23"/>
    <w:rsid w:val="18D25736"/>
    <w:rsid w:val="19BA0C94"/>
    <w:rsid w:val="19D84FCE"/>
    <w:rsid w:val="1A495ECC"/>
    <w:rsid w:val="1A6E0D68"/>
    <w:rsid w:val="1A845156"/>
    <w:rsid w:val="1ABF1CEA"/>
    <w:rsid w:val="1B2A6A7C"/>
    <w:rsid w:val="1B655E97"/>
    <w:rsid w:val="1B662AAD"/>
    <w:rsid w:val="1B944F25"/>
    <w:rsid w:val="1BA809D0"/>
    <w:rsid w:val="1C296277"/>
    <w:rsid w:val="1C33473D"/>
    <w:rsid w:val="1C3E2C90"/>
    <w:rsid w:val="1C542906"/>
    <w:rsid w:val="1C632B49"/>
    <w:rsid w:val="1C76287C"/>
    <w:rsid w:val="1D1E08F1"/>
    <w:rsid w:val="1D2B18B9"/>
    <w:rsid w:val="1D3F35B6"/>
    <w:rsid w:val="1E574E31"/>
    <w:rsid w:val="1EAE625C"/>
    <w:rsid w:val="1EE87EFF"/>
    <w:rsid w:val="1EF82EC8"/>
    <w:rsid w:val="1F325180"/>
    <w:rsid w:val="1F4D1FBA"/>
    <w:rsid w:val="1F796500"/>
    <w:rsid w:val="1F7E2174"/>
    <w:rsid w:val="1F8D685B"/>
    <w:rsid w:val="1FC009DE"/>
    <w:rsid w:val="1FD75D28"/>
    <w:rsid w:val="2011123A"/>
    <w:rsid w:val="20457135"/>
    <w:rsid w:val="209239FD"/>
    <w:rsid w:val="20971013"/>
    <w:rsid w:val="20994D8B"/>
    <w:rsid w:val="20A53730"/>
    <w:rsid w:val="20EE157B"/>
    <w:rsid w:val="211803A6"/>
    <w:rsid w:val="212B632B"/>
    <w:rsid w:val="217001E2"/>
    <w:rsid w:val="21CD1190"/>
    <w:rsid w:val="22235254"/>
    <w:rsid w:val="2292331C"/>
    <w:rsid w:val="22C75BE0"/>
    <w:rsid w:val="22D667D1"/>
    <w:rsid w:val="22EE13BE"/>
    <w:rsid w:val="230230BC"/>
    <w:rsid w:val="2309269C"/>
    <w:rsid w:val="23623B5A"/>
    <w:rsid w:val="23FD23D3"/>
    <w:rsid w:val="241C01AD"/>
    <w:rsid w:val="24480FA2"/>
    <w:rsid w:val="24DB75C8"/>
    <w:rsid w:val="24ED56A6"/>
    <w:rsid w:val="255D6CCF"/>
    <w:rsid w:val="25837E79"/>
    <w:rsid w:val="2681079B"/>
    <w:rsid w:val="26865DB2"/>
    <w:rsid w:val="26A10E3D"/>
    <w:rsid w:val="26A65805"/>
    <w:rsid w:val="26A90456"/>
    <w:rsid w:val="26E72CF4"/>
    <w:rsid w:val="27181100"/>
    <w:rsid w:val="271D04C4"/>
    <w:rsid w:val="27315D1D"/>
    <w:rsid w:val="276500BD"/>
    <w:rsid w:val="27CE5C62"/>
    <w:rsid w:val="28E54BC4"/>
    <w:rsid w:val="28FB2A87"/>
    <w:rsid w:val="290556B4"/>
    <w:rsid w:val="292813A2"/>
    <w:rsid w:val="294361DC"/>
    <w:rsid w:val="294C32E2"/>
    <w:rsid w:val="297812BE"/>
    <w:rsid w:val="29E452C9"/>
    <w:rsid w:val="2A7F1496"/>
    <w:rsid w:val="2AC5334C"/>
    <w:rsid w:val="2AE47E73"/>
    <w:rsid w:val="2B2636BF"/>
    <w:rsid w:val="2B471FB3"/>
    <w:rsid w:val="2B577D1D"/>
    <w:rsid w:val="2B874D4F"/>
    <w:rsid w:val="2BD61589"/>
    <w:rsid w:val="2BD870AF"/>
    <w:rsid w:val="2BE917B7"/>
    <w:rsid w:val="2BFF288E"/>
    <w:rsid w:val="2C0C6D59"/>
    <w:rsid w:val="2C136339"/>
    <w:rsid w:val="2C8114F5"/>
    <w:rsid w:val="2D0E7D49"/>
    <w:rsid w:val="2D234B5F"/>
    <w:rsid w:val="2D2B1705"/>
    <w:rsid w:val="2D53647D"/>
    <w:rsid w:val="2D7EE42B"/>
    <w:rsid w:val="2DB256DE"/>
    <w:rsid w:val="2DDF2977"/>
    <w:rsid w:val="2E1D72E8"/>
    <w:rsid w:val="2E255EB0"/>
    <w:rsid w:val="2E9279E9"/>
    <w:rsid w:val="2E9372BE"/>
    <w:rsid w:val="2EAF20DA"/>
    <w:rsid w:val="2EB01C1E"/>
    <w:rsid w:val="2F302D5E"/>
    <w:rsid w:val="2F420F46"/>
    <w:rsid w:val="2FC5794B"/>
    <w:rsid w:val="2FDA2DB1"/>
    <w:rsid w:val="2FEA6A07"/>
    <w:rsid w:val="30562C99"/>
    <w:rsid w:val="306C6942"/>
    <w:rsid w:val="309C146E"/>
    <w:rsid w:val="30B314B2"/>
    <w:rsid w:val="30B67293"/>
    <w:rsid w:val="30E107B4"/>
    <w:rsid w:val="30F71D86"/>
    <w:rsid w:val="30F77FD8"/>
    <w:rsid w:val="31067365"/>
    <w:rsid w:val="312E1520"/>
    <w:rsid w:val="316311C9"/>
    <w:rsid w:val="31723B02"/>
    <w:rsid w:val="31B80EAA"/>
    <w:rsid w:val="31C3610C"/>
    <w:rsid w:val="31F14A27"/>
    <w:rsid w:val="31FA3E8C"/>
    <w:rsid w:val="3240775C"/>
    <w:rsid w:val="32CC0FF0"/>
    <w:rsid w:val="332E3A59"/>
    <w:rsid w:val="334B63B9"/>
    <w:rsid w:val="335F1E64"/>
    <w:rsid w:val="33984816"/>
    <w:rsid w:val="33AA1331"/>
    <w:rsid w:val="33C06DA7"/>
    <w:rsid w:val="33D44600"/>
    <w:rsid w:val="342509B8"/>
    <w:rsid w:val="343D0D7C"/>
    <w:rsid w:val="348E2A01"/>
    <w:rsid w:val="35845BB2"/>
    <w:rsid w:val="35B66FFF"/>
    <w:rsid w:val="36050AA1"/>
    <w:rsid w:val="360A4309"/>
    <w:rsid w:val="36330CB4"/>
    <w:rsid w:val="36CE6CAC"/>
    <w:rsid w:val="36E2757E"/>
    <w:rsid w:val="36E42DAC"/>
    <w:rsid w:val="36F823B4"/>
    <w:rsid w:val="373B04F2"/>
    <w:rsid w:val="378B3806"/>
    <w:rsid w:val="37D62BED"/>
    <w:rsid w:val="37F30DCD"/>
    <w:rsid w:val="387B42BB"/>
    <w:rsid w:val="38991974"/>
    <w:rsid w:val="38A53264"/>
    <w:rsid w:val="38E76B84"/>
    <w:rsid w:val="391C5E64"/>
    <w:rsid w:val="39253208"/>
    <w:rsid w:val="3A085004"/>
    <w:rsid w:val="3A173499"/>
    <w:rsid w:val="3A3C2EFF"/>
    <w:rsid w:val="3A4D6EBA"/>
    <w:rsid w:val="3A791A5E"/>
    <w:rsid w:val="3A7A1597"/>
    <w:rsid w:val="3A7B3A28"/>
    <w:rsid w:val="3A802DEC"/>
    <w:rsid w:val="3AC16F61"/>
    <w:rsid w:val="3AC21656"/>
    <w:rsid w:val="3AD849D6"/>
    <w:rsid w:val="3B471B5C"/>
    <w:rsid w:val="3B9D5AA4"/>
    <w:rsid w:val="3BBB7E54"/>
    <w:rsid w:val="3BC60A9D"/>
    <w:rsid w:val="3BFD6F68"/>
    <w:rsid w:val="3C432323"/>
    <w:rsid w:val="3C53008C"/>
    <w:rsid w:val="3CA60B04"/>
    <w:rsid w:val="3CBE7BFC"/>
    <w:rsid w:val="3CD66951"/>
    <w:rsid w:val="3CEF5C62"/>
    <w:rsid w:val="3D325FF4"/>
    <w:rsid w:val="3D485717"/>
    <w:rsid w:val="3D7E9BBA"/>
    <w:rsid w:val="3D891FB8"/>
    <w:rsid w:val="3DAD7631"/>
    <w:rsid w:val="3DCE0312"/>
    <w:rsid w:val="3DEB4A20"/>
    <w:rsid w:val="3DF24001"/>
    <w:rsid w:val="3DFA0D1E"/>
    <w:rsid w:val="3ED23E32"/>
    <w:rsid w:val="3EE80F60"/>
    <w:rsid w:val="3F1E7077"/>
    <w:rsid w:val="3F2226C4"/>
    <w:rsid w:val="3F2A5722"/>
    <w:rsid w:val="3F571ED0"/>
    <w:rsid w:val="3F6F1681"/>
    <w:rsid w:val="3F6F51DD"/>
    <w:rsid w:val="3F8F3AD1"/>
    <w:rsid w:val="3FE67B95"/>
    <w:rsid w:val="404364B8"/>
    <w:rsid w:val="40503261"/>
    <w:rsid w:val="4050500F"/>
    <w:rsid w:val="40583EC3"/>
    <w:rsid w:val="405F5252"/>
    <w:rsid w:val="40BE01CA"/>
    <w:rsid w:val="40D774DE"/>
    <w:rsid w:val="41140732"/>
    <w:rsid w:val="41452699"/>
    <w:rsid w:val="41B1035D"/>
    <w:rsid w:val="42042555"/>
    <w:rsid w:val="42072045"/>
    <w:rsid w:val="426B4382"/>
    <w:rsid w:val="42764AD5"/>
    <w:rsid w:val="430B16C1"/>
    <w:rsid w:val="438F5E4E"/>
    <w:rsid w:val="439D2631"/>
    <w:rsid w:val="43A833B4"/>
    <w:rsid w:val="446948F1"/>
    <w:rsid w:val="44A678F3"/>
    <w:rsid w:val="44EE129A"/>
    <w:rsid w:val="45172F67"/>
    <w:rsid w:val="45336CAD"/>
    <w:rsid w:val="45442C68"/>
    <w:rsid w:val="4565330A"/>
    <w:rsid w:val="4577303D"/>
    <w:rsid w:val="45BF625D"/>
    <w:rsid w:val="45C479B8"/>
    <w:rsid w:val="45C67B21"/>
    <w:rsid w:val="4631459C"/>
    <w:rsid w:val="46483B71"/>
    <w:rsid w:val="46582E6F"/>
    <w:rsid w:val="46601D24"/>
    <w:rsid w:val="468377A8"/>
    <w:rsid w:val="46933EA7"/>
    <w:rsid w:val="46AC4F69"/>
    <w:rsid w:val="47024B89"/>
    <w:rsid w:val="47226FD9"/>
    <w:rsid w:val="47A128F1"/>
    <w:rsid w:val="47BE31A6"/>
    <w:rsid w:val="47F941DE"/>
    <w:rsid w:val="47F9422B"/>
    <w:rsid w:val="4876582E"/>
    <w:rsid w:val="48967C7F"/>
    <w:rsid w:val="48A028AB"/>
    <w:rsid w:val="48CB3DCC"/>
    <w:rsid w:val="493059DD"/>
    <w:rsid w:val="494E2307"/>
    <w:rsid w:val="49996F4C"/>
    <w:rsid w:val="49997A26"/>
    <w:rsid w:val="49BE2DDB"/>
    <w:rsid w:val="49CB1BAA"/>
    <w:rsid w:val="49EA5F30"/>
    <w:rsid w:val="4A802994"/>
    <w:rsid w:val="4A9D52F4"/>
    <w:rsid w:val="4AEE3DA2"/>
    <w:rsid w:val="4B180E1F"/>
    <w:rsid w:val="4B50680B"/>
    <w:rsid w:val="4B5300A9"/>
    <w:rsid w:val="4BBF74EC"/>
    <w:rsid w:val="4C0043A4"/>
    <w:rsid w:val="4C0373D9"/>
    <w:rsid w:val="4C96649F"/>
    <w:rsid w:val="4CDB2104"/>
    <w:rsid w:val="4CE30FB8"/>
    <w:rsid w:val="4CF11927"/>
    <w:rsid w:val="4CF66F3E"/>
    <w:rsid w:val="4D2C6E03"/>
    <w:rsid w:val="4D622825"/>
    <w:rsid w:val="4D987FF5"/>
    <w:rsid w:val="4DDD1E13"/>
    <w:rsid w:val="4DDF5C24"/>
    <w:rsid w:val="4DF06083"/>
    <w:rsid w:val="4E1A6C5C"/>
    <w:rsid w:val="4EB15812"/>
    <w:rsid w:val="4ED11A10"/>
    <w:rsid w:val="4ED4505D"/>
    <w:rsid w:val="4F0A6CD0"/>
    <w:rsid w:val="4F284F40"/>
    <w:rsid w:val="4F2B50F8"/>
    <w:rsid w:val="4F400944"/>
    <w:rsid w:val="4F457D08"/>
    <w:rsid w:val="4F4B17C3"/>
    <w:rsid w:val="4FA03191"/>
    <w:rsid w:val="4FA669F9"/>
    <w:rsid w:val="501F0559"/>
    <w:rsid w:val="50406E4E"/>
    <w:rsid w:val="50715259"/>
    <w:rsid w:val="509176A9"/>
    <w:rsid w:val="50D457E8"/>
    <w:rsid w:val="516F142C"/>
    <w:rsid w:val="51993E31"/>
    <w:rsid w:val="51DD7A65"/>
    <w:rsid w:val="51E52377"/>
    <w:rsid w:val="521B7081"/>
    <w:rsid w:val="52707792"/>
    <w:rsid w:val="52714715"/>
    <w:rsid w:val="527A416D"/>
    <w:rsid w:val="52BB6C5F"/>
    <w:rsid w:val="52E837CD"/>
    <w:rsid w:val="5306231C"/>
    <w:rsid w:val="532B7B38"/>
    <w:rsid w:val="532F31A9"/>
    <w:rsid w:val="534722A1"/>
    <w:rsid w:val="54291572"/>
    <w:rsid w:val="54574766"/>
    <w:rsid w:val="54DF6509"/>
    <w:rsid w:val="55436A98"/>
    <w:rsid w:val="556641AA"/>
    <w:rsid w:val="56B75990"/>
    <w:rsid w:val="577EF79F"/>
    <w:rsid w:val="57A37CC2"/>
    <w:rsid w:val="57B0377C"/>
    <w:rsid w:val="58421289"/>
    <w:rsid w:val="58B06B3A"/>
    <w:rsid w:val="58E14F46"/>
    <w:rsid w:val="58E46C65"/>
    <w:rsid w:val="59505C28"/>
    <w:rsid w:val="59B9557B"/>
    <w:rsid w:val="59C06909"/>
    <w:rsid w:val="5A3612C1"/>
    <w:rsid w:val="5A517EA9"/>
    <w:rsid w:val="5B4812AC"/>
    <w:rsid w:val="5BA34735"/>
    <w:rsid w:val="5BB57FC4"/>
    <w:rsid w:val="5BB93F58"/>
    <w:rsid w:val="5C0A0310"/>
    <w:rsid w:val="5C1473E0"/>
    <w:rsid w:val="5C8B76A2"/>
    <w:rsid w:val="5C9F314E"/>
    <w:rsid w:val="5CB84210"/>
    <w:rsid w:val="5D1256CE"/>
    <w:rsid w:val="5D656145"/>
    <w:rsid w:val="5DB669A1"/>
    <w:rsid w:val="5DEB5F1F"/>
    <w:rsid w:val="5E1611EE"/>
    <w:rsid w:val="5E9B7945"/>
    <w:rsid w:val="5ECB647C"/>
    <w:rsid w:val="5F296CFF"/>
    <w:rsid w:val="5F72506B"/>
    <w:rsid w:val="5FB9051D"/>
    <w:rsid w:val="5FFEF999"/>
    <w:rsid w:val="60255718"/>
    <w:rsid w:val="60326087"/>
    <w:rsid w:val="60383448"/>
    <w:rsid w:val="603E2C7E"/>
    <w:rsid w:val="606034FA"/>
    <w:rsid w:val="60A56859"/>
    <w:rsid w:val="612E4AA0"/>
    <w:rsid w:val="613E5A52"/>
    <w:rsid w:val="61442516"/>
    <w:rsid w:val="61572249"/>
    <w:rsid w:val="61F21F72"/>
    <w:rsid w:val="62061579"/>
    <w:rsid w:val="62856942"/>
    <w:rsid w:val="63163A3E"/>
    <w:rsid w:val="632A1297"/>
    <w:rsid w:val="63316ACA"/>
    <w:rsid w:val="63365E8E"/>
    <w:rsid w:val="634B514E"/>
    <w:rsid w:val="63846BFA"/>
    <w:rsid w:val="64103F57"/>
    <w:rsid w:val="641206A9"/>
    <w:rsid w:val="64155AA4"/>
    <w:rsid w:val="646031C3"/>
    <w:rsid w:val="647C5B23"/>
    <w:rsid w:val="64EC0EFA"/>
    <w:rsid w:val="6554084E"/>
    <w:rsid w:val="65BA4B55"/>
    <w:rsid w:val="65D8147F"/>
    <w:rsid w:val="65E971E8"/>
    <w:rsid w:val="65FC6F1B"/>
    <w:rsid w:val="66527633"/>
    <w:rsid w:val="66911D59"/>
    <w:rsid w:val="66A15D14"/>
    <w:rsid w:val="66A852F5"/>
    <w:rsid w:val="677B0314"/>
    <w:rsid w:val="67B6134C"/>
    <w:rsid w:val="67BA52E0"/>
    <w:rsid w:val="67DB0DB2"/>
    <w:rsid w:val="67E45EB9"/>
    <w:rsid w:val="67EE0AE5"/>
    <w:rsid w:val="68273FF7"/>
    <w:rsid w:val="6844043B"/>
    <w:rsid w:val="68476448"/>
    <w:rsid w:val="684828EC"/>
    <w:rsid w:val="684F009E"/>
    <w:rsid w:val="68CC52CB"/>
    <w:rsid w:val="68D67EF7"/>
    <w:rsid w:val="694A4441"/>
    <w:rsid w:val="696574CD"/>
    <w:rsid w:val="697B284D"/>
    <w:rsid w:val="69A73642"/>
    <w:rsid w:val="69D72179"/>
    <w:rsid w:val="69D837FB"/>
    <w:rsid w:val="6A682DD1"/>
    <w:rsid w:val="6A843983"/>
    <w:rsid w:val="6AB76C82"/>
    <w:rsid w:val="6AC83870"/>
    <w:rsid w:val="6ACB15B2"/>
    <w:rsid w:val="6ADF6E0B"/>
    <w:rsid w:val="6AF3041C"/>
    <w:rsid w:val="6AF503DD"/>
    <w:rsid w:val="6B2A277C"/>
    <w:rsid w:val="6B2D5DC9"/>
    <w:rsid w:val="6B3C3144"/>
    <w:rsid w:val="6B87372B"/>
    <w:rsid w:val="6BD85D34"/>
    <w:rsid w:val="6C0528A2"/>
    <w:rsid w:val="6C92292C"/>
    <w:rsid w:val="6D10018E"/>
    <w:rsid w:val="6D4A2C62"/>
    <w:rsid w:val="6D4F18A4"/>
    <w:rsid w:val="6D851EEC"/>
    <w:rsid w:val="6D863381"/>
    <w:rsid w:val="6DB225B5"/>
    <w:rsid w:val="6DC04CD2"/>
    <w:rsid w:val="6DC81DD9"/>
    <w:rsid w:val="6DCC18C9"/>
    <w:rsid w:val="6DD64CF8"/>
    <w:rsid w:val="6DDF7EC4"/>
    <w:rsid w:val="6E1374F8"/>
    <w:rsid w:val="6E526272"/>
    <w:rsid w:val="6E8C2E06"/>
    <w:rsid w:val="6E96661A"/>
    <w:rsid w:val="6EB26D11"/>
    <w:rsid w:val="6EC425A0"/>
    <w:rsid w:val="6F0E7CBF"/>
    <w:rsid w:val="6F196D90"/>
    <w:rsid w:val="6F3B4F58"/>
    <w:rsid w:val="6F5468B5"/>
    <w:rsid w:val="6F5778B8"/>
    <w:rsid w:val="6F7044D6"/>
    <w:rsid w:val="6F8A1A3C"/>
    <w:rsid w:val="6FAC19B2"/>
    <w:rsid w:val="6FBFEFB4"/>
    <w:rsid w:val="6FDB4045"/>
    <w:rsid w:val="700C41FF"/>
    <w:rsid w:val="70383246"/>
    <w:rsid w:val="703F2826"/>
    <w:rsid w:val="704936A5"/>
    <w:rsid w:val="705F6A24"/>
    <w:rsid w:val="70862203"/>
    <w:rsid w:val="708E730A"/>
    <w:rsid w:val="70BC3E77"/>
    <w:rsid w:val="70C90342"/>
    <w:rsid w:val="70DF5DB7"/>
    <w:rsid w:val="70E60EF4"/>
    <w:rsid w:val="7104661F"/>
    <w:rsid w:val="71290DE0"/>
    <w:rsid w:val="71793B16"/>
    <w:rsid w:val="718801FD"/>
    <w:rsid w:val="71BE59CD"/>
    <w:rsid w:val="71DB5212"/>
    <w:rsid w:val="72037883"/>
    <w:rsid w:val="72127AC6"/>
    <w:rsid w:val="725E2D0C"/>
    <w:rsid w:val="72734A09"/>
    <w:rsid w:val="72D1172F"/>
    <w:rsid w:val="7375655F"/>
    <w:rsid w:val="737F2F3A"/>
    <w:rsid w:val="73816CB2"/>
    <w:rsid w:val="73E07E7C"/>
    <w:rsid w:val="74321192"/>
    <w:rsid w:val="745A5E80"/>
    <w:rsid w:val="748E5B2A"/>
    <w:rsid w:val="749FD1DD"/>
    <w:rsid w:val="74A7099A"/>
    <w:rsid w:val="74C4779E"/>
    <w:rsid w:val="74DD5F11"/>
    <w:rsid w:val="74FE71AC"/>
    <w:rsid w:val="750D2EF3"/>
    <w:rsid w:val="75252DF3"/>
    <w:rsid w:val="75474FE5"/>
    <w:rsid w:val="75662603"/>
    <w:rsid w:val="75706FDE"/>
    <w:rsid w:val="75CD61DE"/>
    <w:rsid w:val="76402E54"/>
    <w:rsid w:val="76733229"/>
    <w:rsid w:val="768076F4"/>
    <w:rsid w:val="76C27D0D"/>
    <w:rsid w:val="76F51E90"/>
    <w:rsid w:val="77395673"/>
    <w:rsid w:val="77974CF6"/>
    <w:rsid w:val="77C677ED"/>
    <w:rsid w:val="77C87358"/>
    <w:rsid w:val="78216CB5"/>
    <w:rsid w:val="7826607A"/>
    <w:rsid w:val="7899684C"/>
    <w:rsid w:val="78B12A28"/>
    <w:rsid w:val="78F16688"/>
    <w:rsid w:val="79B06543"/>
    <w:rsid w:val="79BE0C60"/>
    <w:rsid w:val="79DB7D0F"/>
    <w:rsid w:val="79ED6E4F"/>
    <w:rsid w:val="7A044199"/>
    <w:rsid w:val="7A0B19CB"/>
    <w:rsid w:val="7A2A34F1"/>
    <w:rsid w:val="7A794B87"/>
    <w:rsid w:val="7AC2652D"/>
    <w:rsid w:val="7AD1051F"/>
    <w:rsid w:val="7BB5399C"/>
    <w:rsid w:val="7BD04C7A"/>
    <w:rsid w:val="7BDC0A6A"/>
    <w:rsid w:val="7BDE7397"/>
    <w:rsid w:val="7C326E2E"/>
    <w:rsid w:val="7C4D0079"/>
    <w:rsid w:val="7C95557C"/>
    <w:rsid w:val="7CAE2219"/>
    <w:rsid w:val="7CFB318B"/>
    <w:rsid w:val="7D00333D"/>
    <w:rsid w:val="7D142945"/>
    <w:rsid w:val="7D32101D"/>
    <w:rsid w:val="7DA57A41"/>
    <w:rsid w:val="7DB639FC"/>
    <w:rsid w:val="7DC75C09"/>
    <w:rsid w:val="7DD65E4C"/>
    <w:rsid w:val="7E0806FB"/>
    <w:rsid w:val="7E413C0D"/>
    <w:rsid w:val="7E5751DF"/>
    <w:rsid w:val="7E8A7362"/>
    <w:rsid w:val="7EA47CF8"/>
    <w:rsid w:val="7EC64112"/>
    <w:rsid w:val="7F171B85"/>
    <w:rsid w:val="7F48651B"/>
    <w:rsid w:val="7FBF2B25"/>
    <w:rsid w:val="7FDBF786"/>
    <w:rsid w:val="7FEA3E31"/>
    <w:rsid w:val="B6FE7772"/>
    <w:rsid w:val="BA066E2A"/>
    <w:rsid w:val="BFD77486"/>
    <w:rsid w:val="DFF31211"/>
    <w:rsid w:val="EAF679C5"/>
    <w:rsid w:val="F1EF8BF8"/>
    <w:rsid w:val="F71FBBA5"/>
    <w:rsid w:val="FBF9B389"/>
    <w:rsid w:val="FFFCBE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34"/>
      <w:szCs w:val="20"/>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paragraph" w:styleId="5">
    <w:name w:val="heading 4"/>
    <w:basedOn w:val="1"/>
    <w:next w:val="1"/>
    <w:qFormat/>
    <w:uiPriority w:val="0"/>
    <w:pPr>
      <w:keepNext/>
      <w:keepLines/>
      <w:widowControl w:val="0"/>
      <w:spacing w:before="280" w:after="290" w:line="377" w:lineRule="auto"/>
      <w:jc w:val="center"/>
      <w:outlineLvl w:val="3"/>
    </w:pPr>
    <w:rPr>
      <w:rFonts w:ascii="Calibri" w:hAnsi="Calibri" w:eastAsia="黑体"/>
      <w:b/>
      <w:bCs/>
      <w:sz w:val="32"/>
      <w:szCs w:val="28"/>
    </w:rPr>
  </w:style>
  <w:style w:type="character" w:default="1" w:styleId="26">
    <w:name w:val="Default Paragraph Font"/>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index 8"/>
    <w:basedOn w:val="1"/>
    <w:next w:val="1"/>
    <w:qFormat/>
    <w:uiPriority w:val="0"/>
    <w:pPr>
      <w:ind w:left="1400" w:leftChars="1400"/>
    </w:pPr>
  </w:style>
  <w:style w:type="paragraph" w:styleId="7">
    <w:name w:val="Normal Indent"/>
    <w:basedOn w:val="1"/>
    <w:qFormat/>
    <w:uiPriority w:val="0"/>
    <w:pPr>
      <w:ind w:firstLine="200" w:firstLineChars="200"/>
    </w:pPr>
    <w:rPr>
      <w:rFonts w:ascii="Times New Roman" w:hAnsi="Times New Roman"/>
      <w:kern w:val="2"/>
      <w:sz w:val="21"/>
      <w:szCs w:val="24"/>
    </w:rPr>
  </w:style>
  <w:style w:type="paragraph" w:styleId="8">
    <w:name w:val="annotation text"/>
    <w:basedOn w:val="1"/>
    <w:qFormat/>
    <w:uiPriority w:val="0"/>
    <w:pPr>
      <w:jc w:val="left"/>
    </w:pPr>
    <w:rPr>
      <w:rFonts w:ascii="Times New Roman" w:hAnsi="Times New Roman"/>
      <w:kern w:val="2"/>
      <w:sz w:val="18"/>
    </w:rPr>
  </w:style>
  <w:style w:type="paragraph" w:styleId="9">
    <w:name w:val="Body Text 3"/>
    <w:basedOn w:val="1"/>
    <w:qFormat/>
    <w:uiPriority w:val="0"/>
    <w:rPr>
      <w:rFonts w:ascii="Times New Roman" w:hAnsi="Times New Roman"/>
      <w:sz w:val="30"/>
      <w:szCs w:val="24"/>
    </w:rPr>
  </w:style>
  <w:style w:type="paragraph" w:styleId="10">
    <w:name w:val="Body Text"/>
    <w:basedOn w:val="1"/>
    <w:next w:val="11"/>
    <w:qFormat/>
    <w:uiPriority w:val="0"/>
    <w:pPr>
      <w:spacing w:after="120"/>
    </w:pPr>
  </w:style>
  <w:style w:type="paragraph" w:styleId="11">
    <w:name w:val="Body Text First Indent"/>
    <w:basedOn w:val="10"/>
    <w:next w:val="1"/>
    <w:qFormat/>
    <w:uiPriority w:val="0"/>
    <w:pPr>
      <w:ind w:firstLine="100" w:firstLineChars="100"/>
    </w:pPr>
    <w:rPr>
      <w:szCs w:val="24"/>
    </w:rPr>
  </w:style>
  <w:style w:type="paragraph" w:styleId="12">
    <w:name w:val="Body Text Indent"/>
    <w:basedOn w:val="1"/>
    <w:qFormat/>
    <w:uiPriority w:val="0"/>
    <w:pPr>
      <w:ind w:firstLine="630"/>
    </w:pPr>
    <w:rPr>
      <w:rFonts w:ascii="Times New Roman" w:hAnsi="Times New Roman"/>
      <w:kern w:val="2"/>
      <w:sz w:val="32"/>
    </w:rPr>
  </w:style>
  <w:style w:type="paragraph" w:styleId="13">
    <w:name w:val="toc 3"/>
    <w:basedOn w:val="1"/>
    <w:next w:val="1"/>
    <w:qFormat/>
    <w:uiPriority w:val="0"/>
    <w:pPr>
      <w:ind w:left="400" w:leftChars="400"/>
    </w:pPr>
  </w:style>
  <w:style w:type="paragraph" w:styleId="14">
    <w:name w:val="Plain Text"/>
    <w:basedOn w:val="1"/>
    <w:qFormat/>
    <w:uiPriority w:val="0"/>
    <w:pPr>
      <w:autoSpaceDE w:val="0"/>
      <w:autoSpaceDN w:val="0"/>
      <w:adjustRightInd w:val="0"/>
    </w:pPr>
    <w:rPr>
      <w:sz w:val="21"/>
    </w:rPr>
  </w:style>
  <w:style w:type="paragraph" w:styleId="15">
    <w:name w:val="Body Text Indent 2"/>
    <w:basedOn w:val="1"/>
    <w:qFormat/>
    <w:uiPriority w:val="0"/>
    <w:pPr>
      <w:spacing w:after="120" w:line="480" w:lineRule="auto"/>
      <w:ind w:left="200" w:leftChars="200"/>
    </w:pPr>
  </w:style>
  <w:style w:type="paragraph" w:styleId="16">
    <w:name w:val="Balloon Text"/>
    <w:basedOn w:val="1"/>
    <w:qFormat/>
    <w:uiPriority w:val="0"/>
    <w:rPr>
      <w:sz w:val="18"/>
      <w:szCs w:val="18"/>
    </w:rPr>
  </w:style>
  <w:style w:type="paragraph" w:styleId="17">
    <w:name w:val="footer"/>
    <w:basedOn w:val="1"/>
    <w:qFormat/>
    <w:uiPriority w:val="0"/>
    <w:pPr>
      <w:tabs>
        <w:tab w:val="center" w:pos="4153"/>
        <w:tab w:val="right" w:pos="8306"/>
      </w:tabs>
      <w:snapToGrid w:val="0"/>
      <w:jc w:val="left"/>
    </w:pPr>
    <w:rPr>
      <w:rFonts w:ascii="Times New Roman" w:hAnsi="Times New Roman"/>
      <w:kern w:val="2"/>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ascii="Times New Roman" w:hAnsi="Times New Roman"/>
      <w:kern w:val="2"/>
      <w:sz w:val="18"/>
    </w:rPr>
  </w:style>
  <w:style w:type="paragraph" w:styleId="19">
    <w:name w:val="toc 1"/>
    <w:basedOn w:val="1"/>
    <w:next w:val="1"/>
    <w:qFormat/>
    <w:uiPriority w:val="0"/>
  </w:style>
  <w:style w:type="paragraph" w:styleId="20">
    <w:name w:val="Body Text Indent 3"/>
    <w:basedOn w:val="1"/>
    <w:qFormat/>
    <w:uiPriority w:val="0"/>
    <w:pPr>
      <w:spacing w:after="120"/>
      <w:ind w:left="200" w:leftChars="200"/>
    </w:pPr>
    <w:rPr>
      <w:sz w:val="16"/>
      <w:szCs w:val="16"/>
    </w:rPr>
  </w:style>
  <w:style w:type="paragraph" w:styleId="21">
    <w:name w:val="Body Text 2"/>
    <w:basedOn w:val="1"/>
    <w:unhideWhenUsed/>
    <w:qFormat/>
    <w:uiPriority w:val="99"/>
    <w:pPr>
      <w:spacing w:after="120" w:line="480" w:lineRule="auto"/>
    </w:pPr>
  </w:style>
  <w:style w:type="paragraph" w:styleId="22">
    <w:name w:val="Normal (Web)"/>
    <w:basedOn w:val="1"/>
    <w:qFormat/>
    <w:uiPriority w:val="0"/>
    <w:pPr>
      <w:widowControl/>
      <w:spacing w:before="100" w:beforeAutospacing="1" w:after="100" w:afterAutospacing="1"/>
      <w:jc w:val="left"/>
    </w:pPr>
    <w:rPr>
      <w:sz w:val="18"/>
      <w:szCs w:val="18"/>
    </w:rPr>
  </w:style>
  <w:style w:type="paragraph" w:styleId="23">
    <w:name w:val="annotation subject"/>
    <w:basedOn w:val="8"/>
    <w:next w:val="8"/>
    <w:qFormat/>
    <w:uiPriority w:val="0"/>
    <w:rPr>
      <w:b/>
      <w:bCs/>
      <w:sz w:val="21"/>
      <w:szCs w:val="2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style>
  <w:style w:type="character" w:styleId="29">
    <w:name w:val="FollowedHyperlink"/>
    <w:qFormat/>
    <w:uiPriority w:val="0"/>
    <w:rPr>
      <w:color w:val="333333"/>
      <w:u w:val="none"/>
    </w:rPr>
  </w:style>
  <w:style w:type="character" w:styleId="30">
    <w:name w:val="Emphasis"/>
    <w:qFormat/>
    <w:uiPriority w:val="0"/>
  </w:style>
  <w:style w:type="character" w:styleId="31">
    <w:name w:val="HTML Definition"/>
    <w:qFormat/>
    <w:uiPriority w:val="0"/>
  </w:style>
  <w:style w:type="character" w:styleId="32">
    <w:name w:val="HTML Variable"/>
    <w:qFormat/>
    <w:uiPriority w:val="0"/>
  </w:style>
  <w:style w:type="character" w:styleId="33">
    <w:name w:val="Hyperlink"/>
    <w:basedOn w:val="26"/>
    <w:qFormat/>
    <w:uiPriority w:val="0"/>
    <w:rPr>
      <w:color w:val="333333"/>
      <w:u w:val="none"/>
    </w:rPr>
  </w:style>
  <w:style w:type="character" w:styleId="34">
    <w:name w:val="HTML Code"/>
    <w:qFormat/>
    <w:uiPriority w:val="0"/>
    <w:rPr>
      <w:rFonts w:ascii="Courier New" w:hAnsi="Courier New"/>
      <w:sz w:val="20"/>
    </w:rPr>
  </w:style>
  <w:style w:type="character" w:styleId="35">
    <w:name w:val="annotation reference"/>
    <w:qFormat/>
    <w:uiPriority w:val="0"/>
    <w:rPr>
      <w:sz w:val="21"/>
      <w:szCs w:val="21"/>
    </w:rPr>
  </w:style>
  <w:style w:type="character" w:styleId="36">
    <w:name w:val="HTML Cite"/>
    <w:qFormat/>
    <w:uiPriority w:val="0"/>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列出段落1"/>
    <w:basedOn w:val="1"/>
    <w:qFormat/>
    <w:uiPriority w:val="0"/>
    <w:pPr>
      <w:ind w:firstLine="420"/>
    </w:pPr>
  </w:style>
  <w:style w:type="paragraph" w:customStyle="1" w:styleId="39">
    <w:name w:val="引用1"/>
    <w:next w:val="1"/>
    <w:qFormat/>
    <w:uiPriority w:val="0"/>
    <w:pPr>
      <w:wordWrap w:val="0"/>
      <w:spacing w:before="200" w:after="160"/>
      <w:ind w:left="864" w:right="864"/>
      <w:jc w:val="center"/>
    </w:pPr>
    <w:rPr>
      <w:rFonts w:ascii="Calibri" w:hAnsi="Calibri" w:eastAsia="宋体" w:cs="Times New Roman"/>
      <w:i/>
      <w:sz w:val="21"/>
      <w:szCs w:val="20"/>
      <w:lang w:val="en-US" w:eastAsia="zh-CN" w:bidi="ar-SA"/>
    </w:rPr>
  </w:style>
  <w:style w:type="character" w:customStyle="1" w:styleId="40">
    <w:name w:val="modifier"/>
    <w:qFormat/>
    <w:uiPriority w:val="0"/>
    <w:rPr>
      <w:color w:val="FF0000"/>
    </w:rPr>
  </w:style>
  <w:style w:type="character" w:customStyle="1" w:styleId="41">
    <w:name w:val="批注文字 Char1"/>
    <w:qFormat/>
    <w:uiPriority w:val="0"/>
    <w:rPr>
      <w:kern w:val="2"/>
      <w:sz w:val="18"/>
      <w:lang w:bidi="ar-SA"/>
    </w:rPr>
  </w:style>
  <w:style w:type="character" w:customStyle="1" w:styleId="42">
    <w:name w:val="font01"/>
    <w:qFormat/>
    <w:uiPriority w:val="0"/>
    <w:rPr>
      <w:rFonts w:ascii="宋体" w:eastAsia="宋体" w:cs="宋体"/>
      <w:b/>
      <w:color w:val="000000"/>
      <w:sz w:val="20"/>
      <w:szCs w:val="20"/>
      <w:u w:val="none"/>
    </w:rPr>
  </w:style>
  <w:style w:type="character" w:customStyle="1" w:styleId="43">
    <w:name w:val="font21"/>
    <w:qFormat/>
    <w:uiPriority w:val="0"/>
    <w:rPr>
      <w:rFonts w:ascii="宋体" w:eastAsia="宋体" w:cs="宋体"/>
      <w:color w:val="000000"/>
      <w:sz w:val="20"/>
      <w:szCs w:val="20"/>
      <w:u w:val="none"/>
    </w:rPr>
  </w:style>
  <w:style w:type="character" w:customStyle="1" w:styleId="44">
    <w:name w:val="（符号）邀请函中一、"/>
    <w:qFormat/>
    <w:uiPriority w:val="0"/>
    <w:rPr>
      <w:rFonts w:ascii="黑体" w:eastAsia="黑体"/>
      <w:b/>
      <w:bCs/>
      <w:sz w:val="24"/>
    </w:rPr>
  </w:style>
  <w:style w:type="paragraph" w:styleId="45">
    <w:name w:val="List Paragraph"/>
    <w:basedOn w:val="1"/>
    <w:qFormat/>
    <w:uiPriority w:val="0"/>
    <w:pPr>
      <w:ind w:firstLine="200" w:firstLineChars="200"/>
    </w:pPr>
    <w:rPr>
      <w:rFonts w:ascii="Times New Roman" w:hAnsi="Times New Roman"/>
      <w:kern w:val="2"/>
      <w:sz w:val="21"/>
      <w:szCs w:val="24"/>
    </w:rPr>
  </w:style>
  <w:style w:type="character" w:customStyle="1" w:styleId="46">
    <w:name w:val="font31"/>
    <w:qFormat/>
    <w:uiPriority w:val="0"/>
    <w:rPr>
      <w:rFonts w:ascii="宋体" w:eastAsia="宋体" w:cs="宋体"/>
      <w:color w:val="000000"/>
      <w:sz w:val="20"/>
      <w:szCs w:val="20"/>
      <w:u w:val="none"/>
    </w:rPr>
  </w:style>
  <w:style w:type="character" w:customStyle="1" w:styleId="47">
    <w:name w:val="label"/>
    <w:qFormat/>
    <w:uiPriority w:val="0"/>
    <w:rPr>
      <w:color w:val="555555"/>
    </w:rPr>
  </w:style>
  <w:style w:type="paragraph" w:customStyle="1" w:styleId="48">
    <w:name w:val="GW-正文"/>
    <w:basedOn w:val="1"/>
    <w:qFormat/>
    <w:uiPriority w:val="0"/>
    <w:pPr>
      <w:spacing w:line="360" w:lineRule="auto"/>
      <w:ind w:firstLine="200" w:firstLineChars="200"/>
    </w:pPr>
    <w:rPr>
      <w:rFonts w:ascii="Times New Roman" w:hAnsi="Times New Roman" w:eastAsia="仿宋_GB2312"/>
      <w:kern w:val="2"/>
      <w:sz w:val="24"/>
      <w:szCs w:val="24"/>
    </w:rPr>
  </w:style>
  <w:style w:type="character" w:customStyle="1" w:styleId="49">
    <w:name w:val="font11"/>
    <w:qFormat/>
    <w:uiPriority w:val="0"/>
    <w:rPr>
      <w:rFonts w:ascii="宋体" w:eastAsia="宋体" w:cs="宋体"/>
      <w:color w:val="000000"/>
      <w:sz w:val="20"/>
      <w:szCs w:val="20"/>
      <w:u w:val="none"/>
    </w:rPr>
  </w:style>
  <w:style w:type="character" w:customStyle="1" w:styleId="50">
    <w:name w:val="Char Char9"/>
    <w:qFormat/>
    <w:uiPriority w:val="0"/>
    <w:rPr>
      <w:kern w:val="2"/>
      <w:sz w:val="21"/>
    </w:rPr>
  </w:style>
  <w:style w:type="paragraph" w:customStyle="1" w:styleId="51">
    <w:name w:val="样式"/>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customStyle="1" w:styleId="52">
    <w:name w:val="表格"/>
    <w:basedOn w:val="1"/>
    <w:qFormat/>
    <w:uiPriority w:val="0"/>
    <w:pPr>
      <w:spacing w:line="400" w:lineRule="exact"/>
    </w:pPr>
    <w:rPr>
      <w:sz w:val="24"/>
    </w:rPr>
  </w:style>
  <w:style w:type="paragraph" w:customStyle="1" w:styleId="53">
    <w:name w:val="WPSOffice手动目录 1"/>
    <w:qFormat/>
    <w:uiPriority w:val="0"/>
    <w:rPr>
      <w:rFonts w:ascii="Times New Roman" w:hAnsi="Times New Roman" w:eastAsia="宋体" w:cs="Times New Roman"/>
      <w:sz w:val="20"/>
      <w:szCs w:val="20"/>
      <w:lang w:val="en-US" w:eastAsia="zh-CN" w:bidi="ar-SA"/>
    </w:rPr>
  </w:style>
  <w:style w:type="paragraph" w:customStyle="1" w:styleId="54">
    <w:name w:val="Body Text 21"/>
    <w:basedOn w:val="1"/>
    <w:qFormat/>
    <w:uiPriority w:val="0"/>
    <w:pPr>
      <w:spacing w:line="300" w:lineRule="auto"/>
      <w:jc w:val="center"/>
      <w:textAlignment w:val="baseline"/>
    </w:pPr>
    <w:rPr>
      <w:rFonts w:cs="宋体"/>
      <w:sz w:val="24"/>
    </w:rPr>
  </w:style>
  <w:style w:type="paragraph" w:customStyle="1" w:styleId="55">
    <w:name w:val="正文1"/>
    <w:qFormat/>
    <w:uiPriority w:val="0"/>
    <w:pPr>
      <w:widowControl w:val="0"/>
      <w:adjustRightInd w:val="0"/>
      <w:spacing w:line="312" w:lineRule="atLeast"/>
      <w:jc w:val="both"/>
      <w:textAlignment w:val="baseline"/>
    </w:pPr>
    <w:rPr>
      <w:rFonts w:ascii="宋体" w:hAnsi="Times New Roman" w:eastAsia="宋体" w:cs="Times New Roman"/>
      <w:sz w:val="34"/>
      <w:szCs w:val="20"/>
      <w:lang w:val="en-US" w:eastAsia="zh-CN" w:bidi="ar-SA"/>
    </w:rPr>
  </w:style>
  <w:style w:type="paragraph" w:customStyle="1" w:styleId="56">
    <w:name w:val="_Style 4"/>
    <w:next w:val="13"/>
    <w:qFormat/>
    <w:uiPriority w:val="0"/>
    <w:pPr>
      <w:ind w:firstLine="200" w:firstLineChars="200"/>
    </w:pPr>
    <w:rPr>
      <w:rFonts w:ascii="Calibri" w:hAnsi="Calibri" w:eastAsia="宋体" w:cs="Times New Roman"/>
      <w:sz w:val="34"/>
      <w:szCs w:val="22"/>
      <w:lang w:val="en-US" w:eastAsia="zh-CN" w:bidi="ar-SA"/>
    </w:rPr>
  </w:style>
  <w:style w:type="paragraph" w:customStyle="1" w:styleId="57">
    <w:name w:val="Table Paragraph"/>
    <w:basedOn w:val="1"/>
    <w:qFormat/>
    <w:uiPriority w:val="0"/>
    <w:rPr>
      <w:rFonts w:cs="宋体"/>
      <w:lang w:val="zh-CN" w:bidi="zh-CN"/>
    </w:rPr>
  </w:style>
  <w:style w:type="paragraph" w:customStyle="1" w:styleId="58">
    <w:name w:val="_Style 2"/>
    <w:basedOn w:val="1"/>
    <w:qFormat/>
    <w:uiPriority w:val="0"/>
    <w:pPr>
      <w:ind w:firstLine="200" w:firstLineChars="200"/>
    </w:pPr>
    <w:rPr>
      <w:sz w:val="18"/>
      <w:szCs w:val="18"/>
    </w:rPr>
  </w:style>
  <w:style w:type="paragraph" w:customStyle="1" w:styleId="59">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60">
    <w:name w:val="Char Char Char Char Char Char Char Char Char Char Char Char Char Char1 Char Char Char Char"/>
    <w:basedOn w:val="1"/>
    <w:qFormat/>
    <w:uiPriority w:val="0"/>
    <w:rPr>
      <w:szCs w:val="21"/>
    </w:rPr>
  </w:style>
  <w:style w:type="paragraph" w:customStyle="1" w:styleId="61">
    <w:name w:val="正文首行缩进两字符"/>
    <w:basedOn w:val="1"/>
    <w:qFormat/>
    <w:uiPriority w:val="0"/>
    <w:pPr>
      <w:spacing w:line="360" w:lineRule="auto"/>
      <w:ind w:firstLine="200" w:firstLineChars="200"/>
    </w:pPr>
  </w:style>
  <w:style w:type="paragraph" w:customStyle="1" w:styleId="62">
    <w:name w:val="样式 首行缩进:  2 字符"/>
    <w:basedOn w:val="1"/>
    <w:qFormat/>
    <w:uiPriority w:val="0"/>
    <w:pPr>
      <w:spacing w:line="400" w:lineRule="exact"/>
      <w:ind w:firstLine="200" w:firstLineChars="200"/>
    </w:pPr>
    <w:rPr>
      <w:rFonts w:cs="宋体"/>
      <w:sz w:val="24"/>
    </w:rPr>
  </w:style>
  <w:style w:type="paragraph" w:styleId="6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HtmlNormal"/>
    <w:qFormat/>
    <w:uiPriority w:val="0"/>
    <w:pPr>
      <w:spacing w:before="100" w:after="100"/>
      <w:textAlignment w:val="baseline"/>
    </w:pPr>
    <w:rPr>
      <w:rFonts w:ascii="宋体" w:hAnsi="Times New Roman" w:eastAsia="宋体" w:cs="Times New Roman"/>
      <w:color w:val="000000"/>
      <w:sz w:val="18"/>
      <w:szCs w:val="18"/>
      <w:lang w:val="en-US" w:eastAsia="zh-CN" w:bidi="ar-SA"/>
    </w:rPr>
  </w:style>
  <w:style w:type="character" w:customStyle="1" w:styleId="65">
    <w:name w:val="NormalCharacter"/>
    <w:qFormat/>
    <w:uiPriority w:val="0"/>
  </w:style>
  <w:style w:type="paragraph" w:customStyle="1" w:styleId="66">
    <w:name w:val="UserStyle_20"/>
    <w:next w:val="67"/>
    <w:qFormat/>
    <w:uiPriority w:val="0"/>
    <w:pPr>
      <w:textAlignment w:val="baseline"/>
    </w:pPr>
    <w:rPr>
      <w:rFonts w:ascii="Arial Unicode MS" w:hAnsi="Arial Unicode MS" w:eastAsia="Times New Roman" w:cs="Times New Roman"/>
      <w:color w:val="000000"/>
      <w:sz w:val="24"/>
      <w:szCs w:val="24"/>
      <w:lang w:val="en-US" w:eastAsia="zh-CN" w:bidi="ar-SA"/>
    </w:rPr>
  </w:style>
  <w:style w:type="paragraph" w:customStyle="1" w:styleId="67">
    <w:name w:val="BodyText"/>
    <w:basedOn w:val="1"/>
    <w:next w:val="1"/>
    <w:qFormat/>
    <w:uiPriority w:val="0"/>
    <w:pPr>
      <w:spacing w:after="120"/>
    </w:pPr>
    <w:rPr>
      <w:rFonts w:ascii="Arial Unicode MS" w:hAnsi="Arial Unicode MS" w:eastAsia="Times New Roman"/>
      <w:sz w:val="24"/>
      <w:szCs w:val="24"/>
    </w:rPr>
  </w:style>
  <w:style w:type="paragraph" w:customStyle="1" w:styleId="68">
    <w:name w:val="01、普通正文"/>
    <w:basedOn w:val="1"/>
    <w:qFormat/>
    <w:uiPriority w:val="0"/>
    <w:pPr>
      <w:tabs>
        <w:tab w:val="left" w:pos="0"/>
      </w:tabs>
      <w:wordWrap w:val="0"/>
      <w:topLinePunct/>
    </w:pPr>
    <w:rPr>
      <w:snapToGrid w:val="0"/>
    </w:rPr>
  </w:style>
  <w:style w:type="paragraph" w:customStyle="1" w:styleId="69">
    <w:name w:val="13、表格内居中正文"/>
    <w:basedOn w:val="1"/>
    <w:qFormat/>
    <w:uiPriority w:val="0"/>
    <w:pPr>
      <w:tabs>
        <w:tab w:val="left" w:pos="0"/>
      </w:tabs>
      <w:wordWrap w:val="0"/>
      <w:topLinePunct/>
      <w:spacing w:line="360" w:lineRule="exact"/>
      <w:jc w:val="center"/>
    </w:pPr>
    <w:rPr>
      <w:rFonts w:ascii="宋体" w:eastAsia="宋体"/>
      <w:sz w:val="21"/>
    </w:rPr>
  </w:style>
  <w:style w:type="paragraph" w:customStyle="1" w:styleId="70">
    <w:name w:val="12、表格内左对齐正文"/>
    <w:basedOn w:val="1"/>
    <w:qFormat/>
    <w:uiPriority w:val="0"/>
    <w:pPr>
      <w:tabs>
        <w:tab w:val="left" w:pos="0"/>
      </w:tabs>
      <w:wordWrap w:val="0"/>
      <w:topLinePunct/>
      <w:spacing w:line="360" w:lineRule="exact"/>
      <w:ind w:left="20" w:leftChars="20" w:firstLine="0"/>
    </w:pPr>
    <w:rPr>
      <w:rFonts w:ascii="宋体" w:eastAsia="宋体"/>
      <w:snapToGrid w:val="0"/>
      <w:sz w:val="21"/>
    </w:rPr>
  </w:style>
  <w:style w:type="paragraph" w:customStyle="1" w:styleId="71">
    <w:name w:val="15、“一、”二级标题"/>
    <w:basedOn w:val="1"/>
    <w:qFormat/>
    <w:uiPriority w:val="0"/>
    <w:pPr>
      <w:numPr>
        <w:ilvl w:val="1"/>
        <w:numId w:val="1"/>
      </w:numPr>
      <w:wordWrap w:val="0"/>
      <w:topLinePunct/>
      <w:ind w:left="0" w:firstLine="200" w:firstLineChars="200"/>
      <w:outlineLvl w:val="1"/>
    </w:pPr>
    <w:rPr>
      <w:rFonts w:ascii="宋体" w:eastAsia="宋体"/>
      <w:b/>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20、第五章“(一)”三级标题"/>
    <w:basedOn w:val="68"/>
    <w:qFormat/>
    <w:uiPriority w:val="0"/>
    <w:pPr>
      <w:pageBreakBefore/>
      <w:numPr>
        <w:ilvl w:val="0"/>
        <w:numId w:val="2"/>
      </w:numPr>
      <w:spacing w:before="50" w:beforeLines="50" w:after="50" w:afterLines="50"/>
      <w:jc w:val="center"/>
      <w:outlineLvl w:val="2"/>
    </w:pPr>
    <w:rPr>
      <w:b/>
      <w:sz w:val="28"/>
    </w:rPr>
  </w:style>
  <w:style w:type="paragraph" w:customStyle="1" w:styleId="75">
    <w:name w:val="03、“注：”正文(加粗，首行缩进2字符)"/>
    <w:basedOn w:val="68"/>
    <w:qFormat/>
    <w:uiPriority w:val="0"/>
    <w:pPr>
      <w:ind w:firstLine="480" w:firstLineChars="200"/>
    </w:pPr>
    <w:rPr>
      <w:b/>
    </w:rPr>
  </w:style>
  <w:style w:type="paragraph" w:customStyle="1" w:styleId="76">
    <w:name w:val="1表格"/>
    <w:basedOn w:val="1"/>
    <w:qFormat/>
    <w:uiPriority w:val="0"/>
    <w:pPr>
      <w:spacing w:line="400" w:lineRule="atLeast"/>
      <w:ind w:firstLine="522" w:firstLineChars="100"/>
      <w:jc w:val="left"/>
    </w:pPr>
    <w:rPr>
      <w:rFonts w:ascii="宋体" w:hAnsi="宋体"/>
      <w:kern w:val="0"/>
      <w:sz w:val="20"/>
      <w:szCs w:val="20"/>
    </w:rPr>
  </w:style>
  <w:style w:type="paragraph" w:customStyle="1" w:styleId="77">
    <w:name w:val="null3"/>
    <w:hidden/>
    <w:qFormat/>
    <w:uiPriority w:val="0"/>
    <w:rPr>
      <w:rFonts w:hint="eastAsia" w:asciiTheme="minorHAnsi" w:hAnsiTheme="minorHAnsi" w:eastAsiaTheme="minorEastAsia" w:cstheme="minorBidi"/>
      <w:lang w:val="en-US" w:eastAsia="zh-Hans"/>
    </w:rPr>
  </w:style>
  <w:style w:type="paragraph" w:customStyle="1" w:styleId="78">
    <w:name w:val="00、封面正文(与其他内容无关的格式)"/>
    <w:basedOn w:val="1"/>
    <w:qFormat/>
    <w:uiPriority w:val="0"/>
    <w:pPr>
      <w:tabs>
        <w:tab w:val="left" w:pos="0"/>
      </w:tabs>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www.levovo.com</Company>
  <Pages>64</Pages>
  <Words>1332</Words>
  <Characters>1499</Characters>
  <Lines>1626</Lines>
  <Paragraphs>743</Paragraphs>
  <TotalTime>34</TotalTime>
  <ScaleCrop>false</ScaleCrop>
  <LinksUpToDate>false</LinksUpToDate>
  <CharactersWithSpaces>1571</CharactersWithSpaces>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2021-02-26T14:34:00Z</dcterms:created>
  <dc:creator>吴正新</dc:creator>
  <cp:lastModifiedBy>user</cp:lastModifiedBy>
  <cp:lastPrinted>2025-04-29T10:17:00Z</cp:lastPrinted>
  <dcterms:modified xsi:type="dcterms:W3CDTF">2025-11-21T16:50:04Z</dcterms:modified>
  <dc:title>招标编号：xx政采招[xxxx] xxx号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AC60F2D0B70A42B481E67BA07C2CF85E_13</vt:lpwstr>
  </property>
  <property fmtid="{D5CDD505-2E9C-101B-9397-08002B2CF9AE}" pid="4" name="KSOTemplateDocerSaveRecord">
    <vt:lpwstr>eyJoZGlkIjoiNzc5YjE0MDUyZGY5MzI1NGMzYWQxNDU1ZDg2MTZlOWQifQ==</vt:lpwstr>
  </property>
</Properties>
</file>