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DBA27">
      <w:pPr>
        <w:spacing w:line="360" w:lineRule="auto"/>
        <w:jc w:val="left"/>
        <w:rPr>
          <w:rFonts w:hint="eastAsia" w:ascii="宋体" w:hAnsi="宋体" w:cs="宋体"/>
          <w:b/>
          <w:bCs/>
          <w:color w:val="auto"/>
          <w:sz w:val="40"/>
          <w:szCs w:val="40"/>
          <w:lang w:val="en-US" w:eastAsia="zh-CN"/>
        </w:rPr>
      </w:pPr>
    </w:p>
    <w:p w14:paraId="0C5BCD75">
      <w:pPr>
        <w:spacing w:line="360" w:lineRule="auto"/>
        <w:jc w:val="left"/>
        <w:rPr>
          <w:rFonts w:hint="default" w:ascii="宋体" w:hAnsi="宋体" w:cs="宋体"/>
          <w:color w:val="auto"/>
          <w:sz w:val="40"/>
          <w:szCs w:val="40"/>
          <w:lang w:val="en-US" w:eastAsia="zh-CN"/>
        </w:rPr>
      </w:pPr>
      <w:r>
        <w:rPr>
          <w:rFonts w:hint="eastAsia" w:ascii="宋体" w:hAnsi="宋体" w:cs="宋体"/>
          <w:b/>
          <w:bCs/>
          <w:color w:val="auto"/>
          <w:sz w:val="40"/>
          <w:szCs w:val="40"/>
          <w:lang w:val="en-US" w:eastAsia="zh-CN"/>
        </w:rPr>
        <w:t>项目编号</w:t>
      </w:r>
      <w:r>
        <w:rPr>
          <w:rFonts w:hint="eastAsia" w:ascii="宋体" w:hAnsi="宋体" w:cs="宋体"/>
          <w:color w:val="auto"/>
          <w:sz w:val="40"/>
          <w:szCs w:val="40"/>
          <w:lang w:val="en-US" w:eastAsia="zh-CN"/>
        </w:rPr>
        <w:t>：</w:t>
      </w:r>
      <w:r>
        <w:rPr>
          <w:rFonts w:hint="eastAsia" w:ascii="宋体" w:hAnsi="宋体" w:cs="宋体"/>
          <w:color w:val="auto"/>
          <w:sz w:val="32"/>
          <w:szCs w:val="32"/>
          <w:lang w:val="en-US" w:eastAsia="zh-CN"/>
        </w:rPr>
        <w:t>天宇华辰-竞谈（2025）12号</w:t>
      </w:r>
    </w:p>
    <w:p w14:paraId="64A24C2B">
      <w:pPr>
        <w:spacing w:line="360" w:lineRule="auto"/>
        <w:jc w:val="center"/>
        <w:rPr>
          <w:rFonts w:hint="eastAsia" w:ascii="宋体" w:hAnsi="宋体" w:cs="宋体"/>
          <w:color w:val="auto"/>
          <w:sz w:val="32"/>
          <w:szCs w:val="32"/>
          <w:lang w:val="en-US" w:eastAsia="zh-CN"/>
        </w:rPr>
      </w:pPr>
      <w:r>
        <w:rPr>
          <w:rFonts w:hint="eastAsia" w:ascii="宋体" w:hAnsi="宋体" w:cs="宋体"/>
          <w:b/>
          <w:bCs/>
          <w:color w:val="auto"/>
          <w:sz w:val="40"/>
          <w:szCs w:val="40"/>
          <w:lang w:val="en-US" w:eastAsia="zh-CN"/>
        </w:rPr>
        <w:t>项目名称</w:t>
      </w:r>
      <w:r>
        <w:rPr>
          <w:rFonts w:hint="eastAsia" w:ascii="宋体" w:hAnsi="宋体" w:cs="宋体"/>
          <w:color w:val="auto"/>
          <w:sz w:val="40"/>
          <w:szCs w:val="40"/>
          <w:lang w:val="en-US" w:eastAsia="zh-CN"/>
        </w:rPr>
        <w:t>：</w:t>
      </w:r>
      <w:r>
        <w:rPr>
          <w:rFonts w:hint="eastAsia" w:ascii="宋体" w:hAnsi="宋体" w:cs="宋体"/>
          <w:color w:val="auto"/>
          <w:sz w:val="32"/>
          <w:szCs w:val="32"/>
          <w:lang w:val="en-US" w:eastAsia="zh-CN"/>
        </w:rPr>
        <w:t>广元市防汛联合值班值守工作用房维修项目</w:t>
      </w:r>
      <w:r>
        <w:rPr>
          <w:rFonts w:hint="eastAsia" w:ascii="宋体" w:hAnsi="宋体" w:cs="宋体"/>
          <w:color w:val="auto"/>
          <w:sz w:val="32"/>
          <w:szCs w:val="32"/>
          <w:lang w:val="en-US" w:eastAsia="zh-CN"/>
        </w:rPr>
        <w:t>-监理服务</w:t>
      </w:r>
    </w:p>
    <w:p w14:paraId="25802349">
      <w:pPr>
        <w:pStyle w:val="57"/>
        <w:rPr>
          <w:rFonts w:hint="eastAsia" w:ascii="宋体" w:hAnsi="宋体" w:cs="宋体"/>
          <w:color w:val="auto"/>
          <w:sz w:val="32"/>
          <w:szCs w:val="32"/>
          <w:lang w:val="en-US" w:eastAsia="zh-CN"/>
        </w:rPr>
      </w:pPr>
    </w:p>
    <w:p w14:paraId="3B8378DD">
      <w:pPr>
        <w:pStyle w:val="57"/>
        <w:rPr>
          <w:rFonts w:hint="eastAsia" w:ascii="宋体" w:hAnsi="宋体" w:cs="宋体"/>
          <w:color w:val="auto"/>
          <w:sz w:val="32"/>
          <w:szCs w:val="32"/>
          <w:lang w:val="en-US" w:eastAsia="zh-CN"/>
        </w:rPr>
      </w:pPr>
    </w:p>
    <w:p w14:paraId="5011B647">
      <w:pPr>
        <w:spacing w:line="360" w:lineRule="auto"/>
        <w:jc w:val="center"/>
        <w:rPr>
          <w:rFonts w:hint="eastAsia" w:ascii="黑体" w:hAnsi="黑体" w:eastAsia="黑体" w:cs="黑体"/>
          <w:b/>
          <w:bCs/>
          <w:color w:val="auto"/>
          <w:sz w:val="48"/>
          <w:szCs w:val="48"/>
        </w:rPr>
      </w:pPr>
      <w:r>
        <w:rPr>
          <w:rFonts w:hint="eastAsia" w:ascii="黑体" w:hAnsi="黑体" w:eastAsia="黑体" w:cs="黑体"/>
          <w:b/>
          <w:bCs/>
          <w:color w:val="auto"/>
          <w:sz w:val="48"/>
          <w:szCs w:val="48"/>
        </w:rPr>
        <w:t>竞</w:t>
      </w:r>
    </w:p>
    <w:p w14:paraId="67F1B545">
      <w:pPr>
        <w:spacing w:line="360" w:lineRule="auto"/>
        <w:jc w:val="center"/>
        <w:rPr>
          <w:rFonts w:hint="eastAsia" w:ascii="黑体" w:hAnsi="黑体" w:eastAsia="黑体" w:cs="黑体"/>
          <w:b/>
          <w:bCs/>
          <w:color w:val="auto"/>
          <w:sz w:val="48"/>
          <w:szCs w:val="48"/>
        </w:rPr>
      </w:pPr>
      <w:r>
        <w:rPr>
          <w:rFonts w:hint="eastAsia" w:ascii="黑体" w:hAnsi="黑体" w:eastAsia="黑体" w:cs="黑体"/>
          <w:b/>
          <w:bCs/>
          <w:color w:val="auto"/>
          <w:sz w:val="48"/>
          <w:szCs w:val="48"/>
        </w:rPr>
        <w:t>争</w:t>
      </w:r>
    </w:p>
    <w:p w14:paraId="321605B3">
      <w:pPr>
        <w:spacing w:line="360" w:lineRule="auto"/>
        <w:jc w:val="center"/>
        <w:rPr>
          <w:rFonts w:hint="eastAsia" w:ascii="黑体" w:hAnsi="黑体" w:eastAsia="黑体" w:cs="黑体"/>
          <w:b/>
          <w:bCs/>
          <w:color w:val="auto"/>
          <w:sz w:val="48"/>
          <w:szCs w:val="48"/>
        </w:rPr>
      </w:pPr>
      <w:r>
        <w:rPr>
          <w:rFonts w:hint="eastAsia" w:ascii="黑体" w:hAnsi="黑体" w:eastAsia="黑体" w:cs="黑体"/>
          <w:b/>
          <w:bCs/>
          <w:color w:val="auto"/>
          <w:sz w:val="48"/>
          <w:szCs w:val="48"/>
        </w:rPr>
        <w:t>性</w:t>
      </w:r>
    </w:p>
    <w:p w14:paraId="4596ADE0">
      <w:pPr>
        <w:spacing w:line="360" w:lineRule="auto"/>
        <w:jc w:val="center"/>
        <w:rPr>
          <w:rFonts w:hint="eastAsia" w:ascii="黑体" w:hAnsi="黑体" w:eastAsia="黑体" w:cs="黑体"/>
          <w:b/>
          <w:bCs/>
          <w:color w:val="auto"/>
          <w:sz w:val="48"/>
          <w:szCs w:val="48"/>
        </w:rPr>
      </w:pPr>
      <w:r>
        <w:rPr>
          <w:rFonts w:hint="eastAsia" w:ascii="黑体" w:hAnsi="黑体" w:eastAsia="黑体" w:cs="黑体"/>
          <w:b/>
          <w:bCs/>
          <w:color w:val="auto"/>
          <w:sz w:val="48"/>
          <w:szCs w:val="48"/>
        </w:rPr>
        <w:t>谈</w:t>
      </w:r>
    </w:p>
    <w:p w14:paraId="4E909FD7">
      <w:pPr>
        <w:spacing w:line="360" w:lineRule="auto"/>
        <w:jc w:val="center"/>
        <w:rPr>
          <w:rFonts w:hint="eastAsia" w:ascii="黑体" w:hAnsi="黑体" w:eastAsia="黑体" w:cs="黑体"/>
          <w:b/>
          <w:bCs/>
          <w:color w:val="auto"/>
          <w:sz w:val="48"/>
          <w:szCs w:val="48"/>
        </w:rPr>
      </w:pPr>
      <w:r>
        <w:rPr>
          <w:rFonts w:hint="eastAsia" w:ascii="黑体" w:hAnsi="黑体" w:eastAsia="黑体" w:cs="黑体"/>
          <w:b/>
          <w:bCs/>
          <w:color w:val="auto"/>
          <w:sz w:val="48"/>
          <w:szCs w:val="48"/>
        </w:rPr>
        <w:t>判</w:t>
      </w:r>
    </w:p>
    <w:p w14:paraId="27003579">
      <w:pPr>
        <w:spacing w:line="360" w:lineRule="auto"/>
        <w:jc w:val="center"/>
        <w:rPr>
          <w:rFonts w:hint="eastAsia" w:ascii="黑体" w:hAnsi="黑体" w:eastAsia="黑体" w:cs="黑体"/>
          <w:b/>
          <w:bCs/>
          <w:color w:val="auto"/>
          <w:sz w:val="48"/>
          <w:szCs w:val="48"/>
        </w:rPr>
      </w:pPr>
      <w:r>
        <w:rPr>
          <w:rFonts w:hint="eastAsia" w:ascii="黑体" w:hAnsi="黑体" w:eastAsia="黑体" w:cs="黑体"/>
          <w:b/>
          <w:bCs/>
          <w:color w:val="auto"/>
          <w:sz w:val="48"/>
          <w:szCs w:val="48"/>
        </w:rPr>
        <w:t>文</w:t>
      </w:r>
    </w:p>
    <w:p w14:paraId="13AE6363">
      <w:pPr>
        <w:spacing w:line="360" w:lineRule="auto"/>
        <w:jc w:val="center"/>
        <w:rPr>
          <w:rFonts w:hint="eastAsia" w:ascii="黑体" w:hAnsi="黑体" w:eastAsia="黑体" w:cs="黑体"/>
          <w:b/>
          <w:bCs/>
          <w:color w:val="auto"/>
          <w:sz w:val="48"/>
          <w:szCs w:val="48"/>
        </w:rPr>
      </w:pPr>
      <w:r>
        <w:rPr>
          <w:rFonts w:hint="eastAsia" w:ascii="黑体" w:hAnsi="黑体" w:eastAsia="黑体" w:cs="黑体"/>
          <w:b/>
          <w:bCs/>
          <w:color w:val="auto"/>
          <w:sz w:val="48"/>
          <w:szCs w:val="48"/>
        </w:rPr>
        <w:t>件</w:t>
      </w:r>
    </w:p>
    <w:p w14:paraId="32194BEE">
      <w:pPr>
        <w:pStyle w:val="59"/>
        <w:rPr>
          <w:rFonts w:hint="eastAsia"/>
          <w:color w:val="auto"/>
        </w:rPr>
      </w:pPr>
    </w:p>
    <w:p w14:paraId="6BAB3D90">
      <w:pPr>
        <w:pStyle w:val="8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textAlignment w:val="auto"/>
        <w:outlineLvl w:val="9"/>
        <w:rPr>
          <w:rFonts w:hint="default" w:ascii="宋体" w:hAnsi="宋体" w:cs="宋体"/>
          <w:b/>
          <w:bCs/>
          <w:color w:val="auto"/>
          <w:sz w:val="32"/>
          <w:szCs w:val="32"/>
          <w:lang w:val="en-US" w:eastAsia="zh-CN"/>
        </w:rPr>
      </w:pPr>
      <w:bookmarkStart w:id="0" w:name="PO_采购人_1"/>
      <w:r>
        <w:rPr>
          <w:rFonts w:hint="eastAsia" w:ascii="宋体" w:hAnsi="宋体" w:eastAsia="宋体" w:cs="宋体"/>
          <w:b/>
          <w:bCs/>
          <w:color w:val="auto"/>
          <w:sz w:val="32"/>
          <w:szCs w:val="32"/>
        </w:rPr>
        <w:t>采购人</w:t>
      </w:r>
      <w:bookmarkEnd w:id="0"/>
      <w:r>
        <w:rPr>
          <w:rFonts w:hint="eastAsia" w:ascii="宋体" w:hAnsi="宋体" w:eastAsia="宋体" w:cs="宋体"/>
          <w:b/>
          <w:bCs/>
          <w:color w:val="auto"/>
          <w:sz w:val="32"/>
          <w:szCs w:val="32"/>
        </w:rPr>
        <w:t>：</w:t>
      </w:r>
      <w:r>
        <w:rPr>
          <w:rFonts w:hint="eastAsia" w:ascii="宋体" w:hAnsi="宋体" w:cs="宋体"/>
          <w:b/>
          <w:bCs/>
          <w:color w:val="auto"/>
          <w:sz w:val="32"/>
          <w:szCs w:val="32"/>
          <w:u w:val="single"/>
          <w:lang w:val="en-US" w:eastAsia="zh-CN"/>
        </w:rPr>
        <w:t xml:space="preserve">            </w:t>
      </w:r>
      <w:r>
        <w:rPr>
          <w:rFonts w:hint="eastAsia" w:ascii="宋体" w:hAnsi="宋体" w:cs="宋体"/>
          <w:color w:val="auto"/>
          <w:kern w:val="2"/>
          <w:sz w:val="32"/>
          <w:szCs w:val="32"/>
          <w:u w:val="single"/>
          <w:lang w:val="en-US" w:eastAsia="zh-CN" w:bidi="ar-SA"/>
        </w:rPr>
        <w:t>广元市水利局</w:t>
      </w:r>
      <w:r>
        <w:rPr>
          <w:rFonts w:hint="eastAsia" w:ascii="宋体" w:hAnsi="宋体" w:eastAsia="宋体" w:cs="宋体"/>
          <w:color w:val="auto"/>
          <w:kern w:val="2"/>
          <w:sz w:val="32"/>
          <w:szCs w:val="32"/>
          <w:u w:val="single"/>
          <w:lang w:val="en-US" w:eastAsia="zh-CN" w:bidi="ar-SA"/>
        </w:rPr>
        <w:t xml:space="preserve"> </w:t>
      </w:r>
      <w:r>
        <w:rPr>
          <w:rFonts w:hint="eastAsia" w:ascii="宋体" w:hAnsi="宋体" w:cs="宋体"/>
          <w:color w:val="auto"/>
          <w:kern w:val="2"/>
          <w:sz w:val="32"/>
          <w:szCs w:val="32"/>
          <w:u w:val="single"/>
          <w:lang w:val="en-US" w:eastAsia="zh-CN" w:bidi="ar-SA"/>
        </w:rPr>
        <w:t xml:space="preserve">            </w:t>
      </w:r>
    </w:p>
    <w:p w14:paraId="28062471">
      <w:pPr>
        <w:pStyle w:val="8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textAlignment w:val="auto"/>
        <w:outlineLvl w:val="9"/>
        <w:rPr>
          <w:rFonts w:hint="default" w:ascii="宋体" w:hAnsi="宋体" w:eastAsia="宋体" w:cs="宋体"/>
          <w:b/>
          <w:bCs/>
          <w:color w:val="auto"/>
          <w:sz w:val="32"/>
          <w:szCs w:val="32"/>
          <w:u w:val="single"/>
          <w:lang w:val="en-US"/>
        </w:rPr>
      </w:pPr>
      <w:r>
        <w:rPr>
          <w:rFonts w:hint="eastAsia" w:ascii="宋体" w:hAnsi="宋体" w:eastAsia="宋体" w:cs="宋体"/>
          <w:b/>
          <w:bCs/>
          <w:color w:val="auto"/>
          <w:sz w:val="32"/>
          <w:szCs w:val="32"/>
        </w:rPr>
        <w:t>采购代理机构：</w:t>
      </w:r>
      <w:r>
        <w:rPr>
          <w:rFonts w:hint="eastAsia" w:ascii="宋体" w:hAnsi="宋体" w:cs="宋体"/>
          <w:b/>
          <w:bCs/>
          <w:color w:val="auto"/>
          <w:sz w:val="32"/>
          <w:szCs w:val="32"/>
          <w:u w:val="single"/>
          <w:lang w:val="en-US" w:eastAsia="zh-CN"/>
        </w:rPr>
        <w:t xml:space="preserve"> </w:t>
      </w:r>
      <w:r>
        <w:rPr>
          <w:rFonts w:hint="eastAsia" w:ascii="宋体" w:hAnsi="宋体" w:cs="宋体"/>
          <w:color w:val="auto"/>
          <w:kern w:val="2"/>
          <w:sz w:val="32"/>
          <w:szCs w:val="32"/>
          <w:u w:val="single"/>
          <w:lang w:val="en-US" w:eastAsia="zh-CN" w:bidi="ar-SA"/>
        </w:rPr>
        <w:t>四川天宇华辰建设工程有限公司</w:t>
      </w:r>
      <w:r>
        <w:rPr>
          <w:rFonts w:hint="eastAsia" w:ascii="宋体" w:hAnsi="宋体" w:eastAsia="宋体" w:cs="宋体"/>
          <w:color w:val="auto"/>
          <w:kern w:val="2"/>
          <w:sz w:val="32"/>
          <w:szCs w:val="32"/>
          <w:u w:val="single"/>
          <w:lang w:val="en-US" w:eastAsia="zh-CN" w:bidi="ar-SA"/>
        </w:rPr>
        <w:t xml:space="preserve"> </w:t>
      </w:r>
      <w:r>
        <w:rPr>
          <w:rFonts w:hint="eastAsia" w:ascii="宋体" w:hAnsi="宋体" w:cs="宋体"/>
          <w:color w:val="auto"/>
          <w:kern w:val="2"/>
          <w:sz w:val="32"/>
          <w:szCs w:val="32"/>
          <w:u w:val="single"/>
          <w:lang w:val="en-US" w:eastAsia="zh-CN" w:bidi="ar-SA"/>
        </w:rPr>
        <w:t xml:space="preserve"> </w:t>
      </w:r>
    </w:p>
    <w:p w14:paraId="28D90774">
      <w:pPr>
        <w:spacing w:line="360" w:lineRule="auto"/>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共同编制</w:t>
      </w:r>
    </w:p>
    <w:p w14:paraId="60070505">
      <w:pPr>
        <w:pStyle w:val="8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outlineLvl w:val="9"/>
        <w:rPr>
          <w:rFonts w:hint="default" w:ascii="宋体" w:hAnsi="宋体" w:eastAsia="宋体" w:cs="宋体"/>
          <w:color w:val="auto"/>
          <w:sz w:val="24"/>
          <w:szCs w:val="24"/>
          <w:lang w:val="en-US"/>
        </w:rPr>
      </w:pPr>
      <w:r>
        <w:rPr>
          <w:rFonts w:hint="eastAsia" w:ascii="宋体" w:hAnsi="宋体" w:cs="宋体"/>
          <w:b/>
          <w:bCs/>
          <w:color w:val="auto"/>
          <w:sz w:val="36"/>
          <w:szCs w:val="36"/>
          <w:lang w:val="en-US" w:eastAsia="zh-CN"/>
        </w:rPr>
        <w:t>2025年11月</w:t>
      </w:r>
    </w:p>
    <w:p w14:paraId="67EE8496">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sdt>
      <w:sdtPr>
        <w:rPr>
          <w:rFonts w:ascii="宋体" w:hAnsi="宋体" w:eastAsia="宋体" w:cs="Times New Roman"/>
          <w:color w:val="auto"/>
          <w:kern w:val="2"/>
          <w:sz w:val="72"/>
          <w:szCs w:val="72"/>
          <w:lang w:val="en-US" w:eastAsia="zh-CN" w:bidi="ar-SA"/>
        </w:rPr>
        <w:id w:val="147470013"/>
        <w15:color w:val="DBDBDB"/>
        <w:docPartObj>
          <w:docPartGallery w:val="Table of Contents"/>
          <w:docPartUnique/>
        </w:docPartObj>
      </w:sdtPr>
      <w:sdtEndPr>
        <w:rPr>
          <w:rFonts w:hint="eastAsia" w:ascii="宋体" w:hAnsi="宋体" w:eastAsia="宋体" w:cs="宋体"/>
          <w:color w:val="auto"/>
          <w:kern w:val="2"/>
          <w:sz w:val="21"/>
          <w:szCs w:val="24"/>
          <w:lang w:val="en-US" w:eastAsia="zh-CN" w:bidi="ar-SA"/>
        </w:rPr>
      </w:sdtEndPr>
      <w:sdtContent>
        <w:p w14:paraId="0C7690CA">
          <w:pPr>
            <w:spacing w:before="0" w:beforeLines="0" w:after="0" w:afterLines="0" w:line="240" w:lineRule="auto"/>
            <w:ind w:left="0" w:leftChars="0" w:right="0" w:rightChars="0" w:firstLine="0" w:firstLineChars="0"/>
            <w:jc w:val="center"/>
            <w:rPr>
              <w:rFonts w:hint="eastAsia" w:asciiTheme="majorEastAsia" w:hAnsiTheme="majorEastAsia" w:eastAsiaTheme="majorEastAsia" w:cstheme="majorEastAsia"/>
              <w:color w:val="auto"/>
              <w:sz w:val="72"/>
              <w:szCs w:val="72"/>
            </w:rPr>
          </w:pPr>
          <w:r>
            <w:rPr>
              <w:rFonts w:hint="eastAsia" w:asciiTheme="majorEastAsia" w:hAnsiTheme="majorEastAsia" w:eastAsiaTheme="majorEastAsia" w:cstheme="majorEastAsia"/>
              <w:color w:val="auto"/>
              <w:sz w:val="72"/>
              <w:szCs w:val="72"/>
            </w:rPr>
            <w:t>目录</w:t>
          </w:r>
        </w:p>
        <w:p w14:paraId="59798C33">
          <w:pPr>
            <w:spacing w:before="0" w:beforeLines="0" w:after="0" w:afterLines="0" w:line="240" w:lineRule="auto"/>
            <w:ind w:left="0" w:leftChars="0" w:right="0" w:rightChars="0" w:firstLine="0" w:firstLineChars="0"/>
            <w:jc w:val="center"/>
            <w:rPr>
              <w:rFonts w:hint="eastAsia" w:asciiTheme="majorEastAsia" w:hAnsiTheme="majorEastAsia" w:eastAsiaTheme="majorEastAsia" w:cstheme="majorEastAsia"/>
              <w:color w:val="auto"/>
              <w:sz w:val="72"/>
              <w:szCs w:val="72"/>
            </w:rPr>
          </w:pPr>
        </w:p>
        <w:p w14:paraId="460EDA9F">
          <w:pPr>
            <w:pStyle w:val="30"/>
            <w:tabs>
              <w:tab w:val="right" w:leader="dot" w:pos="8307"/>
            </w:tabs>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TOC \o "1-1" \h \u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_Toc28758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40"/>
            </w:rPr>
            <w:t>第一章</w:t>
          </w:r>
          <w:r>
            <w:rPr>
              <w:rFonts w:hint="eastAsia" w:asciiTheme="majorEastAsia" w:hAnsiTheme="majorEastAsia" w:eastAsiaTheme="majorEastAsia" w:cstheme="majorEastAsia"/>
              <w:color w:val="auto"/>
              <w:sz w:val="24"/>
              <w:szCs w:val="40"/>
              <w:lang w:val="en-US" w:eastAsia="zh-CN"/>
            </w:rPr>
            <w:t xml:space="preserve">   </w:t>
          </w:r>
          <w:r>
            <w:rPr>
              <w:rFonts w:hint="eastAsia" w:asciiTheme="majorEastAsia" w:hAnsiTheme="majorEastAsia" w:eastAsiaTheme="majorEastAsia" w:cstheme="majorEastAsia"/>
              <w:color w:val="auto"/>
              <w:sz w:val="24"/>
              <w:szCs w:val="40"/>
            </w:rPr>
            <w:t>谈判邀请</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PAGEREF _Toc28758 \h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3</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fldChar w:fldCharType="end"/>
          </w:r>
        </w:p>
        <w:p w14:paraId="2B149EFB">
          <w:pPr>
            <w:pStyle w:val="30"/>
            <w:tabs>
              <w:tab w:val="right" w:leader="dot" w:pos="8307"/>
            </w:tabs>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_Toc23974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40"/>
            </w:rPr>
            <w:t>第二章</w:t>
          </w:r>
          <w:r>
            <w:rPr>
              <w:rFonts w:hint="eastAsia" w:asciiTheme="majorEastAsia" w:hAnsiTheme="majorEastAsia" w:eastAsiaTheme="majorEastAsia" w:cstheme="majorEastAsia"/>
              <w:color w:val="auto"/>
              <w:sz w:val="24"/>
              <w:szCs w:val="40"/>
              <w:lang w:val="en-US" w:eastAsia="zh-CN"/>
            </w:rPr>
            <w:t xml:space="preserve">  </w:t>
          </w:r>
          <w:r>
            <w:rPr>
              <w:rFonts w:hint="eastAsia" w:asciiTheme="majorEastAsia" w:hAnsiTheme="majorEastAsia" w:eastAsiaTheme="majorEastAsia" w:cstheme="majorEastAsia"/>
              <w:color w:val="auto"/>
              <w:sz w:val="24"/>
              <w:szCs w:val="40"/>
            </w:rPr>
            <w:t>谈判须知</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PAGEREF _Toc23974 \h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6</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fldChar w:fldCharType="end"/>
          </w:r>
        </w:p>
        <w:p w14:paraId="01A709BF">
          <w:pPr>
            <w:pStyle w:val="30"/>
            <w:tabs>
              <w:tab w:val="right" w:leader="dot" w:pos="8307"/>
            </w:tabs>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_Toc5260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36"/>
            </w:rPr>
            <w:t>第三章</w:t>
          </w:r>
          <w:r>
            <w:rPr>
              <w:rFonts w:hint="eastAsia" w:asciiTheme="majorEastAsia" w:hAnsiTheme="majorEastAsia" w:eastAsiaTheme="majorEastAsia" w:cstheme="majorEastAsia"/>
              <w:color w:val="auto"/>
              <w:sz w:val="24"/>
              <w:szCs w:val="36"/>
              <w:lang w:val="en-US" w:eastAsia="zh-CN"/>
            </w:rPr>
            <w:t xml:space="preserve">  </w:t>
          </w:r>
          <w:r>
            <w:rPr>
              <w:rFonts w:hint="eastAsia" w:asciiTheme="majorEastAsia" w:hAnsiTheme="majorEastAsia" w:eastAsiaTheme="majorEastAsia" w:cstheme="majorEastAsia"/>
              <w:color w:val="auto"/>
              <w:sz w:val="24"/>
              <w:szCs w:val="36"/>
            </w:rPr>
            <w:t>供应商应当提供的资格、资质性及其他类似效力要求的相关证明材料</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PAGEREF _Toc5260 \h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21</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fldChar w:fldCharType="end"/>
          </w:r>
        </w:p>
        <w:p w14:paraId="2C30D1F3">
          <w:pPr>
            <w:pStyle w:val="30"/>
            <w:tabs>
              <w:tab w:val="right" w:leader="dot" w:pos="8307"/>
            </w:tabs>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_Toc13257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bCs/>
              <w:color w:val="auto"/>
              <w:sz w:val="24"/>
              <w:szCs w:val="36"/>
            </w:rPr>
            <w:t xml:space="preserve">第四章 </w:t>
          </w:r>
          <w:r>
            <w:rPr>
              <w:rFonts w:hint="eastAsia" w:asciiTheme="majorEastAsia" w:hAnsiTheme="majorEastAsia" w:eastAsiaTheme="majorEastAsia" w:cstheme="majorEastAsia"/>
              <w:bCs/>
              <w:color w:val="auto"/>
              <w:sz w:val="24"/>
              <w:szCs w:val="36"/>
              <w:lang w:eastAsia="zh-CN"/>
            </w:rPr>
            <w:t>供应商</w:t>
          </w:r>
          <w:r>
            <w:rPr>
              <w:rFonts w:hint="eastAsia" w:asciiTheme="majorEastAsia" w:hAnsiTheme="majorEastAsia" w:eastAsiaTheme="majorEastAsia" w:cstheme="majorEastAsia"/>
              <w:bCs/>
              <w:color w:val="auto"/>
              <w:sz w:val="24"/>
              <w:szCs w:val="36"/>
            </w:rPr>
            <w:t>应当提供的资格、资质性及其他类似效力要求的相关证明材料</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PAGEREF _Toc13257 \h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22</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fldChar w:fldCharType="end"/>
          </w:r>
        </w:p>
        <w:p w14:paraId="65DCD014">
          <w:pPr>
            <w:pStyle w:val="30"/>
            <w:tabs>
              <w:tab w:val="right" w:leader="dot" w:pos="8307"/>
            </w:tabs>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_Toc2292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32"/>
            </w:rPr>
            <w:t>第五章 采购项目技术、服务、政府采购合同内容条款及其他商务要求</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PAGEREF _Toc2292 \h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24</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fldChar w:fldCharType="end"/>
          </w:r>
        </w:p>
        <w:p w14:paraId="7085EE35">
          <w:pPr>
            <w:pStyle w:val="30"/>
            <w:tabs>
              <w:tab w:val="right" w:leader="dot" w:pos="8307"/>
            </w:tabs>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_Toc13506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bCs/>
              <w:color w:val="auto"/>
              <w:kern w:val="2"/>
              <w:sz w:val="24"/>
              <w:szCs w:val="36"/>
              <w:lang w:val="en-US" w:eastAsia="zh-CN" w:bidi="ar-SA"/>
            </w:rPr>
            <w:t>第六章、谈判内容、谈判过程中可实质性变动的内容</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PAGEREF _Toc13506 \h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28</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fldChar w:fldCharType="end"/>
          </w:r>
        </w:p>
        <w:p w14:paraId="683978C8">
          <w:pPr>
            <w:pStyle w:val="30"/>
            <w:tabs>
              <w:tab w:val="right" w:leader="dot" w:pos="8307"/>
            </w:tabs>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_Toc9114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44"/>
            </w:rPr>
            <w:t>第</w:t>
          </w:r>
          <w:r>
            <w:rPr>
              <w:rFonts w:hint="eastAsia" w:asciiTheme="majorEastAsia" w:hAnsiTheme="majorEastAsia" w:eastAsiaTheme="majorEastAsia" w:cstheme="majorEastAsia"/>
              <w:color w:val="auto"/>
              <w:sz w:val="24"/>
              <w:szCs w:val="44"/>
              <w:lang w:eastAsia="zh-CN"/>
            </w:rPr>
            <w:t>七</w:t>
          </w:r>
          <w:r>
            <w:rPr>
              <w:rFonts w:hint="eastAsia" w:asciiTheme="majorEastAsia" w:hAnsiTheme="majorEastAsia" w:eastAsiaTheme="majorEastAsia" w:cstheme="majorEastAsia"/>
              <w:color w:val="auto"/>
              <w:sz w:val="24"/>
              <w:szCs w:val="44"/>
            </w:rPr>
            <w:t>章</w:t>
          </w:r>
          <w:r>
            <w:rPr>
              <w:rFonts w:hint="eastAsia" w:asciiTheme="majorEastAsia" w:hAnsiTheme="majorEastAsia" w:eastAsiaTheme="majorEastAsia" w:cstheme="majorEastAsia"/>
              <w:color w:val="auto"/>
              <w:sz w:val="24"/>
              <w:szCs w:val="44"/>
              <w:lang w:val="en-US" w:eastAsia="zh-CN"/>
            </w:rPr>
            <w:t xml:space="preserve">  </w:t>
          </w:r>
          <w:r>
            <w:rPr>
              <w:rFonts w:hint="eastAsia" w:asciiTheme="majorEastAsia" w:hAnsiTheme="majorEastAsia" w:eastAsiaTheme="majorEastAsia" w:cstheme="majorEastAsia"/>
              <w:color w:val="auto"/>
              <w:sz w:val="24"/>
              <w:szCs w:val="44"/>
            </w:rPr>
            <w:t>响应文件格式</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PAGEREF _Toc9114 \h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29</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fldChar w:fldCharType="end"/>
          </w:r>
        </w:p>
        <w:p w14:paraId="42BBDD6D">
          <w:pPr>
            <w:pStyle w:val="30"/>
            <w:tabs>
              <w:tab w:val="right" w:leader="dot" w:pos="8307"/>
            </w:tabs>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_Toc25532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36"/>
            </w:rPr>
            <w:t>第</w:t>
          </w:r>
          <w:r>
            <w:rPr>
              <w:rFonts w:hint="eastAsia" w:asciiTheme="majorEastAsia" w:hAnsiTheme="majorEastAsia" w:eastAsiaTheme="majorEastAsia" w:cstheme="majorEastAsia"/>
              <w:color w:val="auto"/>
              <w:sz w:val="24"/>
              <w:szCs w:val="36"/>
              <w:lang w:eastAsia="zh-CN"/>
            </w:rPr>
            <w:t>八</w:t>
          </w:r>
          <w:r>
            <w:rPr>
              <w:rFonts w:hint="eastAsia" w:asciiTheme="majorEastAsia" w:hAnsiTheme="majorEastAsia" w:eastAsiaTheme="majorEastAsia" w:cstheme="majorEastAsia"/>
              <w:color w:val="auto"/>
              <w:sz w:val="24"/>
              <w:szCs w:val="36"/>
            </w:rPr>
            <w:t>章  评审方法</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PAGEREF _Toc25532 \h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49</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fldChar w:fldCharType="end"/>
          </w:r>
        </w:p>
        <w:p w14:paraId="235E34C1">
          <w:pPr>
            <w:pStyle w:val="30"/>
            <w:tabs>
              <w:tab w:val="right" w:leader="dot" w:pos="8307"/>
            </w:tabs>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_Toc4873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36"/>
            </w:rPr>
            <w:t>第</w:t>
          </w:r>
          <w:r>
            <w:rPr>
              <w:rFonts w:hint="eastAsia" w:asciiTheme="majorEastAsia" w:hAnsiTheme="majorEastAsia" w:eastAsiaTheme="majorEastAsia" w:cstheme="majorEastAsia"/>
              <w:color w:val="auto"/>
              <w:sz w:val="24"/>
              <w:szCs w:val="36"/>
              <w:lang w:val="en-US" w:eastAsia="zh-CN"/>
            </w:rPr>
            <w:t>九</w:t>
          </w:r>
          <w:r>
            <w:rPr>
              <w:rFonts w:hint="eastAsia" w:asciiTheme="majorEastAsia" w:hAnsiTheme="majorEastAsia" w:eastAsiaTheme="majorEastAsia" w:cstheme="majorEastAsia"/>
              <w:color w:val="auto"/>
              <w:sz w:val="24"/>
              <w:szCs w:val="36"/>
            </w:rPr>
            <w:t>章</w:t>
          </w:r>
          <w:r>
            <w:rPr>
              <w:rFonts w:hint="eastAsia" w:asciiTheme="majorEastAsia" w:hAnsiTheme="majorEastAsia" w:eastAsiaTheme="majorEastAsia" w:cstheme="majorEastAsia"/>
              <w:color w:val="auto"/>
              <w:sz w:val="24"/>
              <w:szCs w:val="36"/>
              <w:lang w:val="en-US" w:eastAsia="zh-CN"/>
            </w:rPr>
            <w:t xml:space="preserve">   </w:t>
          </w:r>
          <w:r>
            <w:rPr>
              <w:rFonts w:hint="eastAsia" w:asciiTheme="majorEastAsia" w:hAnsiTheme="majorEastAsia" w:eastAsiaTheme="majorEastAsia" w:cstheme="majorEastAsia"/>
              <w:color w:val="auto"/>
              <w:sz w:val="24"/>
              <w:szCs w:val="36"/>
            </w:rPr>
            <w:t>政府采购合同（草案）</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PAGEREF _Toc4873 \h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57</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fldChar w:fldCharType="end"/>
          </w:r>
        </w:p>
        <w:p w14:paraId="3F69BEF1">
          <w:pPr>
            <w:widowControl/>
            <w:spacing w:line="360" w:lineRule="auto"/>
            <w:jc w:val="left"/>
            <w:rPr>
              <w:rFonts w:hint="eastAsia" w:ascii="宋体" w:hAnsi="宋体" w:eastAsia="宋体" w:cs="宋体"/>
              <w:color w:val="auto"/>
              <w:kern w:val="2"/>
              <w:sz w:val="21"/>
              <w:szCs w:val="24"/>
              <w:lang w:val="en-US" w:eastAsia="zh-CN" w:bidi="ar-SA"/>
            </w:rPr>
          </w:pPr>
          <w:r>
            <w:rPr>
              <w:rFonts w:hint="eastAsia" w:asciiTheme="majorEastAsia" w:hAnsiTheme="majorEastAsia" w:eastAsiaTheme="majorEastAsia" w:cstheme="majorEastAsia"/>
              <w:color w:val="auto"/>
              <w:sz w:val="21"/>
              <w:szCs w:val="24"/>
            </w:rPr>
            <w:fldChar w:fldCharType="end"/>
          </w:r>
        </w:p>
      </w:sdtContent>
    </w:sdt>
    <w:p w14:paraId="5AE37C8B">
      <w:pPr>
        <w:widowControl/>
        <w:spacing w:line="360" w:lineRule="auto"/>
        <w:jc w:val="left"/>
        <w:rPr>
          <w:rFonts w:hint="eastAsia" w:ascii="宋体" w:hAnsi="宋体" w:eastAsia="宋体" w:cs="宋体"/>
          <w:color w:val="auto"/>
          <w:kern w:val="2"/>
          <w:sz w:val="21"/>
          <w:szCs w:val="24"/>
          <w:lang w:val="en-US" w:eastAsia="zh-CN" w:bidi="ar-SA"/>
        </w:rPr>
      </w:pPr>
    </w:p>
    <w:p w14:paraId="1CC34C30">
      <w:pPr>
        <w:widowControl/>
        <w:spacing w:line="360" w:lineRule="auto"/>
        <w:jc w:val="left"/>
        <w:outlineLvl w:val="9"/>
        <w:rPr>
          <w:rFonts w:hint="eastAsia" w:ascii="宋体" w:hAnsi="宋体" w:eastAsia="宋体" w:cs="宋体"/>
          <w:color w:val="auto"/>
          <w:sz w:val="24"/>
          <w:szCs w:val="24"/>
        </w:rPr>
      </w:pPr>
    </w:p>
    <w:p w14:paraId="5FEB2C75">
      <w:pPr>
        <w:pStyle w:val="39"/>
        <w:outlineLvl w:val="9"/>
        <w:rPr>
          <w:rFonts w:hint="eastAsia" w:ascii="宋体" w:hAnsi="宋体" w:eastAsia="宋体" w:cs="宋体"/>
          <w:color w:val="auto"/>
          <w:sz w:val="24"/>
          <w:szCs w:val="24"/>
        </w:rPr>
      </w:pPr>
      <w:bookmarkStart w:id="1" w:name="_Toc509579140"/>
    </w:p>
    <w:p w14:paraId="55D9ADB7">
      <w:pPr>
        <w:pStyle w:val="39"/>
        <w:outlineLvl w:val="9"/>
        <w:rPr>
          <w:rFonts w:hint="eastAsia" w:ascii="宋体" w:hAnsi="宋体" w:eastAsia="宋体" w:cs="宋体"/>
          <w:color w:val="auto"/>
          <w:sz w:val="24"/>
          <w:szCs w:val="24"/>
        </w:rPr>
      </w:pPr>
    </w:p>
    <w:p w14:paraId="1FE6EC06">
      <w:pPr>
        <w:pStyle w:val="39"/>
        <w:outlineLvl w:val="9"/>
        <w:rPr>
          <w:rFonts w:hint="eastAsia" w:ascii="宋体" w:hAnsi="宋体" w:eastAsia="宋体" w:cs="宋体"/>
          <w:color w:val="auto"/>
          <w:sz w:val="24"/>
          <w:szCs w:val="24"/>
        </w:rPr>
      </w:pPr>
    </w:p>
    <w:p w14:paraId="46DB45EB">
      <w:pPr>
        <w:pStyle w:val="39"/>
        <w:outlineLvl w:val="9"/>
        <w:rPr>
          <w:rFonts w:hint="eastAsia" w:ascii="宋体" w:hAnsi="宋体" w:eastAsia="宋体" w:cs="宋体"/>
          <w:color w:val="auto"/>
          <w:sz w:val="24"/>
          <w:szCs w:val="24"/>
        </w:rPr>
      </w:pPr>
    </w:p>
    <w:p w14:paraId="5383C9B3">
      <w:pPr>
        <w:pStyle w:val="39"/>
        <w:outlineLvl w:val="9"/>
        <w:rPr>
          <w:rFonts w:hint="eastAsia" w:ascii="宋体" w:hAnsi="宋体" w:eastAsia="宋体" w:cs="宋体"/>
          <w:color w:val="auto"/>
          <w:sz w:val="24"/>
          <w:szCs w:val="24"/>
        </w:rPr>
      </w:pPr>
    </w:p>
    <w:p w14:paraId="37F16C6A">
      <w:pPr>
        <w:pStyle w:val="39"/>
        <w:outlineLvl w:val="9"/>
        <w:rPr>
          <w:rFonts w:hint="eastAsia" w:ascii="宋体" w:hAnsi="宋体" w:eastAsia="宋体" w:cs="宋体"/>
          <w:color w:val="auto"/>
          <w:sz w:val="24"/>
          <w:szCs w:val="24"/>
        </w:rPr>
      </w:pPr>
    </w:p>
    <w:p w14:paraId="1C789C03">
      <w:pPr>
        <w:pStyle w:val="39"/>
        <w:outlineLvl w:val="9"/>
        <w:rPr>
          <w:rFonts w:hint="eastAsia" w:ascii="宋体" w:hAnsi="宋体" w:eastAsia="宋体" w:cs="宋体"/>
          <w:color w:val="auto"/>
          <w:sz w:val="24"/>
          <w:szCs w:val="24"/>
        </w:rPr>
      </w:pPr>
    </w:p>
    <w:p w14:paraId="6030DA69">
      <w:pPr>
        <w:pStyle w:val="39"/>
        <w:outlineLvl w:val="9"/>
        <w:rPr>
          <w:rFonts w:hint="eastAsia" w:ascii="宋体" w:hAnsi="宋体" w:eastAsia="宋体" w:cs="宋体"/>
          <w:color w:val="auto"/>
          <w:sz w:val="24"/>
          <w:szCs w:val="24"/>
        </w:rPr>
      </w:pPr>
    </w:p>
    <w:p w14:paraId="57F44760">
      <w:pPr>
        <w:pStyle w:val="39"/>
        <w:rPr>
          <w:rFonts w:hint="eastAsia" w:ascii="宋体" w:hAnsi="宋体" w:eastAsia="宋体" w:cs="宋体"/>
          <w:color w:val="auto"/>
          <w:sz w:val="24"/>
          <w:szCs w:val="24"/>
        </w:rPr>
        <w:sectPr>
          <w:headerReference r:id="rId3" w:type="default"/>
          <w:footerReference r:id="rId4" w:type="default"/>
          <w:pgSz w:w="11907" w:h="16840"/>
          <w:pgMar w:top="1440" w:right="1800" w:bottom="1440" w:left="1800" w:header="851" w:footer="992" w:gutter="0"/>
          <w:pgNumType w:start="1"/>
          <w:cols w:space="425" w:num="1"/>
          <w:docGrid w:linePitch="312" w:charSpace="0"/>
        </w:sectPr>
      </w:pPr>
    </w:p>
    <w:p w14:paraId="36AC9598">
      <w:pPr>
        <w:pStyle w:val="39"/>
        <w:jc w:val="center"/>
        <w:outlineLvl w:val="0"/>
        <w:rPr>
          <w:rFonts w:hint="eastAsia" w:ascii="宋体" w:hAnsi="宋体" w:eastAsia="宋体" w:cs="宋体"/>
          <w:color w:val="auto"/>
          <w:sz w:val="40"/>
          <w:szCs w:val="40"/>
        </w:rPr>
      </w:pPr>
      <w:bookmarkStart w:id="2" w:name="_Toc28758"/>
      <w:bookmarkStart w:id="3" w:name="_Toc4884"/>
      <w:r>
        <w:rPr>
          <w:rFonts w:hint="eastAsia" w:ascii="宋体" w:hAnsi="宋体" w:eastAsia="宋体" w:cs="宋体"/>
          <w:color w:val="auto"/>
          <w:sz w:val="40"/>
          <w:szCs w:val="40"/>
        </w:rPr>
        <w:t>第一章</w:t>
      </w:r>
      <w:r>
        <w:rPr>
          <w:rFonts w:hint="eastAsia" w:ascii="宋体" w:hAnsi="宋体" w:cs="宋体"/>
          <w:color w:val="auto"/>
          <w:sz w:val="40"/>
          <w:szCs w:val="40"/>
          <w:lang w:val="en-US" w:eastAsia="zh-CN"/>
        </w:rPr>
        <w:t xml:space="preserve">   </w:t>
      </w:r>
      <w:r>
        <w:rPr>
          <w:rFonts w:hint="eastAsia" w:ascii="宋体" w:hAnsi="宋体" w:eastAsia="宋体" w:cs="宋体"/>
          <w:color w:val="auto"/>
          <w:sz w:val="40"/>
          <w:szCs w:val="40"/>
        </w:rPr>
        <w:t>谈判邀请</w:t>
      </w:r>
      <w:bookmarkEnd w:id="1"/>
      <w:bookmarkEnd w:id="2"/>
      <w:bookmarkEnd w:id="3"/>
    </w:p>
    <w:p w14:paraId="482694F8">
      <w:pPr>
        <w:spacing w:line="360" w:lineRule="auto"/>
        <w:ind w:firstLine="720" w:firstLineChars="300"/>
        <w:jc w:val="left"/>
        <w:rPr>
          <w:rFonts w:hint="eastAsia" w:ascii="宋体" w:hAnsi="宋体" w:eastAsia="宋体" w:cs="宋体"/>
          <w:color w:val="auto"/>
          <w:sz w:val="24"/>
          <w:szCs w:val="24"/>
        </w:rPr>
      </w:pPr>
    </w:p>
    <w:p w14:paraId="41692232">
      <w:pPr>
        <w:pStyle w:val="8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00" w:firstLineChars="250"/>
        <w:textAlignment w:val="auto"/>
        <w:outlineLvl w:val="9"/>
        <w:rPr>
          <w:rFonts w:hint="eastAsia" w:ascii="宋体" w:hAnsi="宋体" w:eastAsia="宋体" w:cs="宋体"/>
          <w:color w:val="auto"/>
          <w:sz w:val="24"/>
          <w:szCs w:val="24"/>
        </w:rPr>
      </w:pPr>
      <w:r>
        <w:rPr>
          <w:rStyle w:val="170"/>
          <w:rFonts w:hint="eastAsia" w:ascii="宋体" w:hAnsi="宋体" w:cs="宋体"/>
          <w:b w:val="0"/>
          <w:bCs/>
          <w:i w:val="0"/>
          <w:caps w:val="0"/>
          <w:color w:val="auto"/>
          <w:spacing w:val="0"/>
          <w:w w:val="100"/>
          <w:sz w:val="24"/>
          <w:szCs w:val="24"/>
          <w:u w:val="single"/>
          <w:lang w:val="en-US" w:eastAsia="zh-CN"/>
        </w:rPr>
        <w:t xml:space="preserve">四川天宇华辰建设工程有限公司 </w:t>
      </w:r>
      <w:r>
        <w:rPr>
          <w:rFonts w:hint="eastAsia" w:ascii="宋体" w:hAnsi="宋体" w:eastAsia="宋体" w:cs="宋体"/>
          <w:color w:val="auto"/>
          <w:sz w:val="24"/>
          <w:szCs w:val="24"/>
        </w:rPr>
        <w:t>受</w:t>
      </w:r>
      <w:r>
        <w:rPr>
          <w:rFonts w:hint="eastAsia" w:ascii="宋体" w:hAnsi="宋体" w:cs="宋体"/>
          <w:color w:val="auto"/>
          <w:sz w:val="24"/>
          <w:szCs w:val="24"/>
          <w:u w:val="single"/>
          <w:lang w:val="en-US" w:eastAsia="zh-CN"/>
        </w:rPr>
        <w:t xml:space="preserve">  广元市水利局  </w:t>
      </w:r>
      <w:r>
        <w:rPr>
          <w:rFonts w:hint="eastAsia" w:ascii="宋体" w:hAnsi="宋体" w:eastAsia="宋体" w:cs="宋体"/>
          <w:color w:val="auto"/>
          <w:sz w:val="24"/>
          <w:szCs w:val="24"/>
        </w:rPr>
        <w:t>委托，拟对</w:t>
      </w:r>
      <w:bookmarkStart w:id="4" w:name="PO_默认文件内容_1"/>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lang w:eastAsia="zh-CN"/>
        </w:rPr>
        <w:t>广元市防汛联合值班值守工作用房维</w:t>
      </w:r>
      <w:r>
        <w:rPr>
          <w:rFonts w:hint="eastAsia" w:ascii="宋体" w:hAnsi="宋体" w:cs="宋体"/>
          <w:color w:val="auto"/>
          <w:sz w:val="24"/>
          <w:szCs w:val="24"/>
          <w:u w:val="single"/>
          <w:lang w:eastAsia="zh-CN"/>
        </w:rPr>
        <w:t>修项目</w:t>
      </w:r>
      <w:r>
        <w:rPr>
          <w:rFonts w:hint="eastAsia" w:ascii="宋体" w:hAnsi="宋体" w:cs="宋体"/>
          <w:color w:val="auto"/>
          <w:sz w:val="24"/>
          <w:szCs w:val="24"/>
          <w:u w:val="single"/>
          <w:lang w:val="en-US" w:eastAsia="zh-CN"/>
        </w:rPr>
        <w:t>-</w:t>
      </w:r>
      <w:r>
        <w:rPr>
          <w:rFonts w:hint="eastAsia" w:ascii="宋体" w:hAnsi="宋体" w:cs="宋体"/>
          <w:color w:val="auto"/>
          <w:sz w:val="24"/>
          <w:szCs w:val="24"/>
          <w:u w:val="single"/>
          <w:lang w:eastAsia="zh-CN"/>
        </w:rPr>
        <w:t>监理服务</w:t>
      </w:r>
      <w:r>
        <w:rPr>
          <w:rFonts w:hint="eastAsia" w:ascii="宋体" w:hAnsi="宋体" w:eastAsia="宋体" w:cs="宋体"/>
          <w:color w:val="auto"/>
          <w:sz w:val="24"/>
          <w:szCs w:val="24"/>
        </w:rPr>
        <w:t>采用竞争性谈判方式进行采购，特邀请符合本次采购要求的供应商参加本项目的竞争性谈判。</w:t>
      </w:r>
      <w:bookmarkEnd w:id="4"/>
    </w:p>
    <w:p w14:paraId="033D7F56">
      <w:pPr>
        <w:keepNext w:val="0"/>
        <w:keepLines w:val="0"/>
        <w:pageBreakBefore w:val="0"/>
        <w:widowControl w:val="0"/>
        <w:kinsoku/>
        <w:wordWrap/>
        <w:overflowPunct/>
        <w:topLinePunct w:val="0"/>
        <w:autoSpaceDE/>
        <w:autoSpaceDN/>
        <w:bidi w:val="0"/>
        <w:adjustRightInd/>
        <w:snapToGrid w:val="0"/>
        <w:spacing w:line="480" w:lineRule="auto"/>
        <w:ind w:firstLine="442" w:firstLineChars="200"/>
        <w:textAlignment w:val="auto"/>
        <w:rPr>
          <w:rFonts w:hint="eastAsia" w:ascii="宋体" w:hAnsi="宋体" w:eastAsia="宋体" w:cs="宋体"/>
          <w:b/>
          <w:color w:val="auto"/>
          <w:sz w:val="22"/>
          <w:szCs w:val="22"/>
          <w:u w:val="single"/>
        </w:rPr>
      </w:pPr>
      <w:r>
        <w:rPr>
          <w:rFonts w:hint="eastAsia" w:ascii="宋体" w:hAnsi="宋体" w:eastAsia="宋体" w:cs="宋体"/>
          <w:b/>
          <w:color w:val="auto"/>
          <w:sz w:val="22"/>
          <w:szCs w:val="22"/>
        </w:rPr>
        <w:t>一、项目基本情况</w:t>
      </w:r>
    </w:p>
    <w:p w14:paraId="79736B6D">
      <w:pPr>
        <w:keepNext w:val="0"/>
        <w:keepLines w:val="0"/>
        <w:pageBreakBefore w:val="0"/>
        <w:widowControl w:val="0"/>
        <w:kinsoku/>
        <w:wordWrap/>
        <w:overflowPunct/>
        <w:topLinePunct w:val="0"/>
        <w:autoSpaceDE/>
        <w:autoSpaceDN/>
        <w:bidi w:val="0"/>
        <w:adjustRightInd/>
        <w:snapToGrid w:val="0"/>
        <w:spacing w:line="480" w:lineRule="auto"/>
        <w:ind w:firstLine="442" w:firstLineChars="200"/>
        <w:jc w:val="left"/>
        <w:textAlignment w:val="auto"/>
        <w:rPr>
          <w:rFonts w:hint="default" w:ascii="宋体" w:hAnsi="宋体" w:eastAsia="宋体" w:cs="宋体"/>
          <w:color w:val="auto"/>
          <w:sz w:val="22"/>
          <w:szCs w:val="22"/>
          <w:u w:val="single"/>
          <w:lang w:val="en-US" w:eastAsia="zh-CN"/>
        </w:rPr>
      </w:pPr>
      <w:r>
        <w:rPr>
          <w:rFonts w:hint="eastAsia" w:ascii="宋体" w:hAnsi="宋体" w:eastAsia="宋体" w:cs="宋体"/>
          <w:b/>
          <w:color w:val="auto"/>
          <w:sz w:val="22"/>
          <w:szCs w:val="22"/>
        </w:rPr>
        <w:t>1.项目名称</w:t>
      </w:r>
      <w:r>
        <w:rPr>
          <w:rFonts w:hint="eastAsia" w:ascii="宋体" w:hAnsi="宋体" w:eastAsia="宋体" w:cs="宋体"/>
          <w:color w:val="auto"/>
          <w:sz w:val="22"/>
          <w:szCs w:val="22"/>
        </w:rPr>
        <w:t>：</w:t>
      </w:r>
      <w:r>
        <w:rPr>
          <w:rFonts w:hint="eastAsia" w:ascii="宋体" w:hAnsi="宋体" w:cs="宋体"/>
          <w:color w:val="auto"/>
          <w:sz w:val="22"/>
          <w:szCs w:val="22"/>
          <w:u w:val="single"/>
          <w:lang w:eastAsia="zh-CN"/>
        </w:rPr>
        <w:t>广元市防汛联合值班值守工作用房维修项</w:t>
      </w:r>
      <w:r>
        <w:rPr>
          <w:rFonts w:hint="eastAsia" w:ascii="宋体" w:hAnsi="宋体" w:cs="宋体"/>
          <w:color w:val="auto"/>
          <w:sz w:val="22"/>
          <w:szCs w:val="22"/>
          <w:u w:val="single"/>
          <w:lang w:eastAsia="zh-CN"/>
        </w:rPr>
        <w:t>目</w:t>
      </w:r>
      <w:r>
        <w:rPr>
          <w:rFonts w:hint="eastAsia" w:ascii="宋体" w:hAnsi="宋体" w:cs="宋体"/>
          <w:color w:val="auto"/>
          <w:sz w:val="22"/>
          <w:szCs w:val="22"/>
          <w:u w:val="single"/>
          <w:lang w:val="en-US" w:eastAsia="zh-CN"/>
        </w:rPr>
        <w:t>-</w:t>
      </w:r>
      <w:r>
        <w:rPr>
          <w:rFonts w:hint="eastAsia" w:ascii="宋体" w:hAnsi="宋体" w:cs="宋体"/>
          <w:color w:val="auto"/>
          <w:sz w:val="22"/>
          <w:szCs w:val="22"/>
          <w:u w:val="single"/>
          <w:lang w:eastAsia="zh-CN"/>
        </w:rPr>
        <w:t>监理服务</w:t>
      </w:r>
    </w:p>
    <w:p w14:paraId="54D6DB13">
      <w:pPr>
        <w:keepNext w:val="0"/>
        <w:keepLines w:val="0"/>
        <w:pageBreakBefore w:val="0"/>
        <w:widowControl w:val="0"/>
        <w:kinsoku/>
        <w:wordWrap/>
        <w:overflowPunct/>
        <w:topLinePunct w:val="0"/>
        <w:autoSpaceDE/>
        <w:autoSpaceDN/>
        <w:bidi w:val="0"/>
        <w:adjustRightInd/>
        <w:snapToGrid w:val="0"/>
        <w:spacing w:line="480" w:lineRule="auto"/>
        <w:ind w:firstLine="442" w:firstLineChars="200"/>
        <w:textAlignment w:val="auto"/>
        <w:rPr>
          <w:rFonts w:hint="eastAsia" w:ascii="宋体" w:hAnsi="宋体" w:cs="宋体"/>
          <w:b/>
          <w:color w:val="auto"/>
          <w:sz w:val="22"/>
          <w:szCs w:val="22"/>
          <w:lang w:val="en-US" w:eastAsia="zh-CN"/>
        </w:rPr>
      </w:pPr>
      <w:r>
        <w:rPr>
          <w:rFonts w:hint="eastAsia" w:ascii="宋体" w:hAnsi="宋体" w:cs="宋体"/>
          <w:b/>
          <w:color w:val="auto"/>
          <w:sz w:val="22"/>
          <w:szCs w:val="22"/>
          <w:lang w:val="en-US" w:eastAsia="zh-CN"/>
        </w:rPr>
        <w:t>2.项目编号：</w:t>
      </w:r>
      <w:r>
        <w:rPr>
          <w:rFonts w:hint="eastAsia" w:ascii="宋体" w:hAnsi="宋体" w:cs="宋体"/>
          <w:color w:val="auto"/>
          <w:sz w:val="22"/>
          <w:szCs w:val="22"/>
          <w:u w:val="single"/>
          <w:lang w:val="en-US" w:eastAsia="zh-CN"/>
        </w:rPr>
        <w:t>天宇华辰-竞谈（2025）12号</w:t>
      </w:r>
    </w:p>
    <w:p w14:paraId="0E55B70F">
      <w:pPr>
        <w:keepNext w:val="0"/>
        <w:keepLines w:val="0"/>
        <w:pageBreakBefore w:val="0"/>
        <w:widowControl w:val="0"/>
        <w:kinsoku/>
        <w:wordWrap/>
        <w:overflowPunct/>
        <w:topLinePunct w:val="0"/>
        <w:autoSpaceDE/>
        <w:autoSpaceDN/>
        <w:bidi w:val="0"/>
        <w:adjustRightInd/>
        <w:snapToGrid w:val="0"/>
        <w:spacing w:line="480" w:lineRule="auto"/>
        <w:ind w:firstLine="442" w:firstLineChars="200"/>
        <w:textAlignment w:val="auto"/>
        <w:rPr>
          <w:rFonts w:hint="eastAsia" w:ascii="宋体" w:hAnsi="宋体" w:eastAsia="宋体" w:cs="宋体"/>
          <w:color w:val="auto"/>
          <w:sz w:val="22"/>
          <w:szCs w:val="22"/>
          <w:u w:val="single"/>
          <w:lang w:eastAsia="zh-CN"/>
        </w:rPr>
      </w:pPr>
      <w:r>
        <w:rPr>
          <w:rFonts w:hint="eastAsia" w:ascii="宋体" w:hAnsi="宋体" w:cs="宋体"/>
          <w:b/>
          <w:color w:val="auto"/>
          <w:sz w:val="22"/>
          <w:szCs w:val="22"/>
          <w:lang w:val="en-US" w:eastAsia="zh-CN"/>
        </w:rPr>
        <w:t>2</w:t>
      </w:r>
      <w:r>
        <w:rPr>
          <w:rFonts w:hint="eastAsia" w:ascii="宋体" w:hAnsi="宋体" w:eastAsia="宋体" w:cs="宋体"/>
          <w:b/>
          <w:color w:val="auto"/>
          <w:sz w:val="22"/>
          <w:szCs w:val="22"/>
        </w:rPr>
        <w:t>.项目业主：</w:t>
      </w:r>
      <w:r>
        <w:rPr>
          <w:rFonts w:hint="eastAsia" w:ascii="宋体" w:hAnsi="宋体" w:cs="宋体"/>
          <w:color w:val="auto"/>
          <w:sz w:val="24"/>
          <w:szCs w:val="24"/>
          <w:u w:val="single"/>
          <w:lang w:val="en-US" w:eastAsia="zh-CN"/>
        </w:rPr>
        <w:t xml:space="preserve"> 广元市水利局 </w:t>
      </w:r>
      <w:r>
        <w:rPr>
          <w:rFonts w:hint="eastAsia" w:ascii="宋体" w:hAnsi="宋体" w:cs="宋体"/>
          <w:color w:val="auto"/>
          <w:sz w:val="22"/>
          <w:szCs w:val="22"/>
          <w:u w:val="single"/>
          <w:lang w:eastAsia="zh-CN"/>
        </w:rPr>
        <w:t xml:space="preserve"> </w:t>
      </w:r>
    </w:p>
    <w:p w14:paraId="7FAED2D9">
      <w:pPr>
        <w:keepNext w:val="0"/>
        <w:keepLines w:val="0"/>
        <w:pageBreakBefore w:val="0"/>
        <w:widowControl w:val="0"/>
        <w:kinsoku/>
        <w:wordWrap/>
        <w:overflowPunct/>
        <w:topLinePunct w:val="0"/>
        <w:autoSpaceDE/>
        <w:autoSpaceDN/>
        <w:bidi w:val="0"/>
        <w:adjustRightInd/>
        <w:snapToGrid w:val="0"/>
        <w:spacing w:line="480" w:lineRule="auto"/>
        <w:ind w:firstLine="442" w:firstLineChars="200"/>
        <w:textAlignment w:val="auto"/>
        <w:rPr>
          <w:rFonts w:hint="default"/>
          <w:color w:val="auto"/>
          <w:lang w:val="en-US" w:eastAsia="zh-CN"/>
        </w:rPr>
      </w:pPr>
      <w:r>
        <w:rPr>
          <w:rFonts w:hint="eastAsia" w:ascii="宋体" w:hAnsi="宋体" w:cs="宋体"/>
          <w:b/>
          <w:color w:val="auto"/>
          <w:sz w:val="22"/>
          <w:szCs w:val="22"/>
          <w:lang w:val="en-US" w:eastAsia="zh-CN"/>
        </w:rPr>
        <w:t>3</w:t>
      </w:r>
      <w:r>
        <w:rPr>
          <w:rFonts w:hint="eastAsia" w:ascii="宋体" w:hAnsi="宋体" w:eastAsia="宋体" w:cs="宋体"/>
          <w:b/>
          <w:color w:val="auto"/>
          <w:sz w:val="22"/>
          <w:szCs w:val="22"/>
        </w:rPr>
        <w:t>.代理机构：</w:t>
      </w:r>
      <w:r>
        <w:rPr>
          <w:rFonts w:hint="eastAsia" w:ascii="宋体" w:hAnsi="宋体" w:cs="宋体"/>
          <w:color w:val="auto"/>
          <w:sz w:val="24"/>
          <w:szCs w:val="24"/>
          <w:u w:val="single"/>
          <w:lang w:val="en-US" w:eastAsia="zh-CN"/>
        </w:rPr>
        <w:t>四川天宇华辰建设工程有限公司</w:t>
      </w:r>
    </w:p>
    <w:p w14:paraId="0314668C">
      <w:pPr>
        <w:snapToGrid w:val="0"/>
        <w:spacing w:after="120" w:line="360" w:lineRule="auto"/>
        <w:ind w:firstLine="442" w:firstLineChars="200"/>
        <w:rPr>
          <w:rFonts w:hint="eastAsia" w:ascii="宋体" w:hAnsi="宋体" w:eastAsia="宋体" w:cs="宋体"/>
          <w:b/>
          <w:color w:val="auto"/>
          <w:sz w:val="22"/>
          <w:szCs w:val="22"/>
        </w:rPr>
      </w:pPr>
      <w:r>
        <w:rPr>
          <w:rFonts w:hint="eastAsia" w:ascii="宋体" w:hAnsi="宋体" w:cs="宋体"/>
          <w:b/>
          <w:bCs/>
          <w:color w:val="auto"/>
          <w:sz w:val="22"/>
          <w:szCs w:val="22"/>
          <w:lang w:eastAsia="zh-CN"/>
        </w:rPr>
        <w:t>二</w:t>
      </w:r>
      <w:r>
        <w:rPr>
          <w:rFonts w:hint="eastAsia" w:ascii="宋体" w:hAnsi="宋体" w:eastAsia="宋体" w:cs="宋体"/>
          <w:b/>
          <w:bCs/>
          <w:color w:val="auto"/>
          <w:sz w:val="22"/>
          <w:szCs w:val="22"/>
        </w:rPr>
        <w:t>、</w:t>
      </w:r>
      <w:r>
        <w:rPr>
          <w:rFonts w:hint="eastAsia" w:ascii="宋体" w:hAnsi="宋体" w:cs="宋体"/>
          <w:b/>
          <w:bCs/>
          <w:color w:val="auto"/>
          <w:sz w:val="22"/>
          <w:szCs w:val="22"/>
          <w:lang w:eastAsia="zh-CN"/>
        </w:rPr>
        <w:t>采购</w:t>
      </w:r>
      <w:r>
        <w:rPr>
          <w:rFonts w:hint="eastAsia" w:ascii="宋体" w:hAnsi="宋体" w:eastAsia="宋体" w:cs="宋体"/>
          <w:b/>
          <w:color w:val="auto"/>
          <w:sz w:val="22"/>
          <w:szCs w:val="22"/>
        </w:rPr>
        <w:t>项目简介：</w:t>
      </w:r>
    </w:p>
    <w:p w14:paraId="6FDD53E1">
      <w:pPr>
        <w:keepNext w:val="0"/>
        <w:keepLines w:val="0"/>
        <w:widowControl/>
        <w:suppressLineNumbers w:val="0"/>
        <w:ind w:firstLine="482" w:firstLineChars="200"/>
        <w:jc w:val="left"/>
        <w:rPr>
          <w:rFonts w:hint="eastAsia" w:ascii="宋体" w:hAnsi="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项目</w:t>
      </w:r>
      <w:r>
        <w:rPr>
          <w:rFonts w:hint="eastAsia" w:ascii="宋体" w:hAnsi="宋体" w:eastAsia="宋体" w:cs="宋体"/>
          <w:b/>
          <w:bCs/>
          <w:color w:val="auto"/>
          <w:kern w:val="2"/>
          <w:sz w:val="24"/>
          <w:szCs w:val="24"/>
          <w:highlight w:val="none"/>
          <w:lang w:val="en-US" w:eastAsia="zh-CN" w:bidi="ar-SA"/>
        </w:rPr>
        <w:t>预算金额：</w:t>
      </w:r>
      <w:r>
        <w:rPr>
          <w:rFonts w:hint="eastAsia" w:ascii="宋体" w:hAnsi="宋体" w:cs="宋体"/>
          <w:b/>
          <w:bCs/>
          <w:color w:val="auto"/>
          <w:kern w:val="2"/>
          <w:sz w:val="24"/>
          <w:szCs w:val="24"/>
          <w:highlight w:val="none"/>
          <w:lang w:val="en-US" w:eastAsia="zh-CN" w:bidi="ar-SA"/>
        </w:rPr>
        <w:t>35.29</w:t>
      </w:r>
      <w:r>
        <w:rPr>
          <w:rFonts w:hint="eastAsia" w:ascii="宋体" w:hAnsi="宋体" w:eastAsia="宋体" w:cs="宋体"/>
          <w:b/>
          <w:bCs/>
          <w:color w:val="auto"/>
          <w:kern w:val="2"/>
          <w:sz w:val="24"/>
          <w:szCs w:val="24"/>
          <w:highlight w:val="none"/>
          <w:lang w:val="en-US" w:eastAsia="zh-CN" w:bidi="ar-SA"/>
        </w:rPr>
        <w:t>万元</w:t>
      </w:r>
      <w:r>
        <w:rPr>
          <w:rFonts w:hint="eastAsia" w:ascii="宋体" w:hAnsi="宋体" w:cs="宋体"/>
          <w:b/>
          <w:bCs/>
          <w:color w:val="auto"/>
          <w:kern w:val="2"/>
          <w:sz w:val="24"/>
          <w:szCs w:val="24"/>
          <w:highlight w:val="none"/>
          <w:lang w:val="en-US" w:eastAsia="zh-CN" w:bidi="ar-SA"/>
        </w:rPr>
        <w:t>；监理服务费</w:t>
      </w:r>
      <w:r>
        <w:rPr>
          <w:rFonts w:hint="eastAsia" w:ascii="宋体" w:hAnsi="宋体" w:cs="宋体"/>
          <w:b/>
          <w:bCs/>
          <w:color w:val="auto"/>
          <w:kern w:val="2"/>
          <w:sz w:val="24"/>
          <w:szCs w:val="24"/>
          <w:highlight w:val="none"/>
          <w:lang w:val="en-US" w:eastAsia="zh-CN" w:bidi="ar-SA"/>
        </w:rPr>
        <w:t>0.9898万元</w:t>
      </w:r>
      <w:r>
        <w:rPr>
          <w:rFonts w:hint="eastAsia" w:ascii="宋体" w:hAnsi="宋体" w:cs="宋体"/>
          <w:b/>
          <w:bCs/>
          <w:color w:val="auto"/>
          <w:kern w:val="2"/>
          <w:sz w:val="24"/>
          <w:szCs w:val="24"/>
          <w:highlight w:val="none"/>
          <w:lang w:val="en-US" w:eastAsia="zh-CN" w:bidi="ar-SA"/>
        </w:rPr>
        <w:t>。</w:t>
      </w:r>
    </w:p>
    <w:p w14:paraId="0B057DC2">
      <w:pPr>
        <w:pStyle w:val="57"/>
        <w:rPr>
          <w:rFonts w:hint="default"/>
          <w:color w:val="auto"/>
          <w:lang w:val="en-US" w:eastAsia="zh-CN"/>
        </w:rPr>
      </w:pPr>
    </w:p>
    <w:p w14:paraId="3874A8C8">
      <w:pPr>
        <w:snapToGrid w:val="0"/>
        <w:spacing w:after="120" w:line="360" w:lineRule="auto"/>
        <w:ind w:firstLine="442" w:firstLineChars="200"/>
        <w:rPr>
          <w:rFonts w:hint="eastAsia" w:ascii="宋体" w:hAnsi="宋体" w:eastAsia="宋体" w:cs="宋体"/>
          <w:b/>
          <w:bCs/>
          <w:color w:val="auto"/>
          <w:sz w:val="22"/>
          <w:szCs w:val="22"/>
        </w:rPr>
      </w:pPr>
      <w:r>
        <w:rPr>
          <w:rFonts w:hint="eastAsia" w:ascii="宋体" w:hAnsi="宋体" w:cs="宋体"/>
          <w:b/>
          <w:bCs/>
          <w:color w:val="auto"/>
          <w:sz w:val="22"/>
          <w:szCs w:val="22"/>
          <w:lang w:eastAsia="zh-CN"/>
        </w:rPr>
        <w:t>三</w:t>
      </w:r>
      <w:r>
        <w:rPr>
          <w:rFonts w:hint="eastAsia" w:ascii="宋体" w:hAnsi="宋体" w:eastAsia="宋体" w:cs="宋体"/>
          <w:b/>
          <w:bCs/>
          <w:color w:val="auto"/>
          <w:sz w:val="22"/>
          <w:szCs w:val="22"/>
        </w:rPr>
        <w:t>、供应商邀请方式</w:t>
      </w:r>
    </w:p>
    <w:p w14:paraId="6C28DC26">
      <w:pPr>
        <w:keepNext w:val="0"/>
        <w:keepLines w:val="0"/>
        <w:pageBreakBefore w:val="0"/>
        <w:widowControl w:val="0"/>
        <w:kinsoku/>
        <w:wordWrap w:val="0"/>
        <w:overflowPunct/>
        <w:topLinePunct/>
        <w:autoSpaceDE/>
        <w:autoSpaceDN/>
        <w:bidi w:val="0"/>
        <w:adjustRightInd/>
        <w:snapToGrid w:val="0"/>
        <w:spacing w:line="48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公告方式：本次谈判邀请在广元市水利局官网（http://water.cngy.gov.cn/index.html)以公告形式发布。</w:t>
      </w:r>
    </w:p>
    <w:p w14:paraId="15BB0EF4">
      <w:pPr>
        <w:spacing w:after="120" w:line="360" w:lineRule="auto"/>
        <w:ind w:firstLine="482" w:firstLineChars="200"/>
        <w:rPr>
          <w:rFonts w:hint="eastAsia" w:ascii="宋体" w:hAnsi="宋体" w:eastAsia="宋体" w:cs="宋体"/>
          <w:b/>
          <w:bCs/>
          <w:color w:val="auto"/>
          <w:sz w:val="24"/>
          <w:szCs w:val="24"/>
        </w:rPr>
      </w:pPr>
      <w:r>
        <w:rPr>
          <w:rFonts w:hint="eastAsia" w:ascii="宋体" w:hAnsi="宋体" w:cs="宋体"/>
          <w:b/>
          <w:bCs/>
          <w:color w:val="auto"/>
          <w:sz w:val="24"/>
          <w:szCs w:val="24"/>
          <w:lang w:eastAsia="zh-CN"/>
        </w:rPr>
        <w:t>四</w:t>
      </w:r>
      <w:r>
        <w:rPr>
          <w:rFonts w:hint="eastAsia" w:ascii="宋体" w:hAnsi="宋体" w:eastAsia="宋体" w:cs="宋体"/>
          <w:b/>
          <w:bCs/>
          <w:color w:val="auto"/>
          <w:sz w:val="24"/>
          <w:szCs w:val="24"/>
        </w:rPr>
        <w:t>、供应商参加本次政府采购活动应具备下列条件</w:t>
      </w:r>
    </w:p>
    <w:p w14:paraId="706717AB">
      <w:pPr>
        <w:tabs>
          <w:tab w:val="left" w:pos="7665"/>
        </w:tabs>
        <w:spacing w:line="360" w:lineRule="auto"/>
        <w:ind w:firstLine="480" w:firstLineChars="200"/>
        <w:rPr>
          <w:rFonts w:hint="eastAsia" w:ascii="宋体" w:hAnsi="宋体" w:eastAsia="宋体" w:cs="宋体"/>
          <w:color w:val="auto"/>
          <w:sz w:val="24"/>
          <w:szCs w:val="24"/>
          <w:lang w:val="en-US" w:eastAsia="zh-CN"/>
        </w:rPr>
      </w:pPr>
      <w:bookmarkStart w:id="5" w:name="PO_供应商资格条件_1"/>
      <w:r>
        <w:rPr>
          <w:rFonts w:hint="eastAsia" w:ascii="宋体" w:hAnsi="宋体" w:eastAsia="宋体" w:cs="宋体"/>
          <w:color w:val="auto"/>
          <w:sz w:val="24"/>
          <w:szCs w:val="24"/>
          <w:lang w:val="en-US" w:eastAsia="zh-CN"/>
        </w:rPr>
        <w:t>1.具有独立承担民事责任的能力；</w:t>
      </w:r>
    </w:p>
    <w:p w14:paraId="7B464CAF">
      <w:pPr>
        <w:tabs>
          <w:tab w:val="left" w:pos="7665"/>
        </w:tabs>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2.具有良好的商业信誉和健全的财务会计制度；</w:t>
      </w:r>
    </w:p>
    <w:p w14:paraId="62A5F20B">
      <w:pPr>
        <w:tabs>
          <w:tab w:val="left" w:pos="7665"/>
        </w:tabs>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3.具有履行合同所必须的设备和专业技术能力；</w:t>
      </w:r>
    </w:p>
    <w:p w14:paraId="47C9EC38">
      <w:pPr>
        <w:tabs>
          <w:tab w:val="left" w:pos="7665"/>
        </w:tabs>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4.具有依法缴纳税收和社会保障资金的良好记录；</w:t>
      </w:r>
    </w:p>
    <w:p w14:paraId="3D278BAD">
      <w:pPr>
        <w:tabs>
          <w:tab w:val="left" w:pos="7665"/>
        </w:tabs>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5.参加本次政府采购活动前三年内，在经营活动中没有重大违法记录；</w:t>
      </w:r>
    </w:p>
    <w:p w14:paraId="3196FCD4">
      <w:pPr>
        <w:tabs>
          <w:tab w:val="left" w:pos="7665"/>
        </w:tabs>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6.法律、行政法规规定的其他条件；</w:t>
      </w:r>
    </w:p>
    <w:p w14:paraId="394F3484">
      <w:pPr>
        <w:tabs>
          <w:tab w:val="left" w:pos="7665"/>
        </w:tabs>
        <w:spacing w:line="360" w:lineRule="auto"/>
        <w:ind w:firstLine="480" w:firstLineChars="200"/>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7.采购人根据采购项目提出的特殊条件</w:t>
      </w:r>
      <w:r>
        <w:rPr>
          <w:rFonts w:hint="eastAsia" w:ascii="宋体" w:hAnsi="宋体" w:cs="宋体"/>
          <w:color w:val="auto"/>
          <w:sz w:val="24"/>
          <w:szCs w:val="24"/>
          <w:lang w:val="en-US" w:eastAsia="zh-CN"/>
        </w:rPr>
        <w:t>：</w:t>
      </w:r>
    </w:p>
    <w:p w14:paraId="16E36B84">
      <w:pPr>
        <w:tabs>
          <w:tab w:val="left" w:pos="7665"/>
        </w:tabs>
        <w:spacing w:line="360" w:lineRule="auto"/>
        <w:ind w:left="479" w:leftChars="228" w:firstLine="0" w:firstLineChars="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（1）</w:t>
      </w:r>
      <w:r>
        <w:rPr>
          <w:rFonts w:hint="eastAsia" w:asciiTheme="minorEastAsia" w:hAnsiTheme="minorEastAsia" w:eastAsiaTheme="minorEastAsia" w:cstheme="minorEastAsia"/>
          <w:color w:val="auto"/>
        </w:rPr>
        <w:t>供应商须具备国家建设行政主管部门颁发的房屋建筑工程监理乙级及以上资质</w:t>
      </w:r>
      <w:r>
        <w:rPr>
          <w:rFonts w:hint="eastAsia" w:asciiTheme="minorEastAsia" w:hAnsiTheme="minorEastAsia" w:eastAsiaTheme="minorEastAsia" w:cstheme="minorEastAsia"/>
          <w:color w:val="auto"/>
          <w:lang w:val="en-US" w:eastAsia="zh-CN"/>
        </w:rPr>
        <w:t>；</w:t>
      </w:r>
    </w:p>
    <w:p w14:paraId="4E99A81E">
      <w:pPr>
        <w:tabs>
          <w:tab w:val="left" w:pos="7665"/>
        </w:tabs>
        <w:spacing w:line="360" w:lineRule="auto"/>
        <w:ind w:left="479" w:leftChars="228" w:firstLine="0" w:firstLineChars="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（2）</w:t>
      </w:r>
      <w:r>
        <w:rPr>
          <w:rFonts w:hint="eastAsia" w:asciiTheme="minorEastAsia" w:hAnsiTheme="minorEastAsia" w:eastAsiaTheme="minorEastAsia" w:cstheme="minorEastAsia"/>
          <w:color w:val="auto"/>
        </w:rPr>
        <w:t>总监理工程师1名</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具有全国注册监理工程师（房屋建筑工程专业）资格</w:t>
      </w:r>
      <w:r>
        <w:rPr>
          <w:rFonts w:hint="eastAsia" w:asciiTheme="minorEastAsia" w:hAnsiTheme="minorEastAsia" w:eastAsiaTheme="minorEastAsia" w:cstheme="minorEastAsia"/>
          <w:color w:val="auto"/>
          <w:lang w:val="en-US" w:eastAsia="zh-CN"/>
        </w:rPr>
        <w:t>；</w:t>
      </w:r>
    </w:p>
    <w:p w14:paraId="1423407A">
      <w:pPr>
        <w:tabs>
          <w:tab w:val="left" w:pos="7665"/>
        </w:tabs>
        <w:spacing w:line="360" w:lineRule="auto"/>
        <w:ind w:left="479" w:leftChars="228" w:firstLine="0" w:firstLineChars="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（3）</w:t>
      </w:r>
      <w:r>
        <w:rPr>
          <w:rFonts w:hint="eastAsia" w:asciiTheme="minorEastAsia" w:hAnsiTheme="minorEastAsia" w:eastAsiaTheme="minorEastAsia" w:cstheme="minorEastAsia"/>
          <w:color w:val="auto"/>
        </w:rPr>
        <w:t>专业监理工程师1名：具有全国注册监理工程师（房屋建筑工程）</w:t>
      </w:r>
      <w:r>
        <w:rPr>
          <w:rFonts w:hint="eastAsia" w:asciiTheme="minorEastAsia" w:hAnsiTheme="minorEastAsia" w:eastAsiaTheme="minorEastAsia" w:cstheme="minorEastAsia"/>
          <w:color w:val="auto"/>
          <w:lang w:val="en-US" w:eastAsia="zh-CN"/>
        </w:rPr>
        <w:t>；</w:t>
      </w:r>
    </w:p>
    <w:p w14:paraId="76091D21">
      <w:pPr>
        <w:tabs>
          <w:tab w:val="left" w:pos="7665"/>
        </w:tabs>
        <w:spacing w:line="360" w:lineRule="auto"/>
        <w:ind w:firstLine="42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rPr>
        <w:t>注：以上所有人员不得重复计算，人员注册证书必须在本单位注册且在有效期内，须附证书相关平台等网页查询截图，否则不予认可。</w:t>
      </w:r>
    </w:p>
    <w:p w14:paraId="13D76B56">
      <w:pPr>
        <w:tabs>
          <w:tab w:val="left" w:pos="7665"/>
        </w:tabs>
        <w:spacing w:line="360" w:lineRule="auto"/>
        <w:ind w:firstLine="420" w:firstLineChars="200"/>
        <w:rPr>
          <w:rFonts w:hint="default"/>
          <w:color w:val="auto"/>
          <w:lang w:val="en-US" w:eastAsia="zh-CN"/>
        </w:rPr>
      </w:pPr>
      <w:r>
        <w:rPr>
          <w:rFonts w:hint="eastAsia" w:asciiTheme="minorEastAsia" w:hAnsiTheme="minorEastAsia" w:eastAsiaTheme="minorEastAsia" w:cstheme="minorEastAsia"/>
          <w:color w:val="auto"/>
          <w:lang w:val="en-US" w:eastAsia="zh-CN"/>
        </w:rPr>
        <w:t>（4）企业注册地不在四川省行政区域内的外地企业，必须提供在有效期内的《四川省省外建筑企业入川承揽业务验证登记证》或《四川省省外施工、监理入川承揽业务信息录入证》。</w:t>
      </w:r>
      <w:r>
        <w:rPr>
          <w:rFonts w:hint="eastAsia" w:ascii="宋体" w:hAnsi="宋体" w:cs="宋体"/>
          <w:color w:val="auto"/>
          <w:sz w:val="24"/>
          <w:szCs w:val="24"/>
          <w:highlight w:val="none"/>
          <w:lang w:val="en-US" w:eastAsia="zh-CN"/>
        </w:rPr>
        <w:t>如未办理</w:t>
      </w:r>
      <w:r>
        <w:rPr>
          <w:rFonts w:hint="eastAsia" w:ascii="宋体" w:hAnsi="宋体" w:eastAsia="宋体" w:cs="宋体"/>
          <w:color w:val="auto"/>
          <w:sz w:val="24"/>
          <w:szCs w:val="24"/>
          <w:highlight w:val="none"/>
          <w:lang w:val="en-US" w:eastAsia="zh-CN"/>
        </w:rPr>
        <w:t>入川承揽业务验证登记证</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lang w:val="en-US" w:eastAsia="zh-CN"/>
        </w:rPr>
        <w:t>入川承揽业务信息录入证</w:t>
      </w:r>
      <w:r>
        <w:rPr>
          <w:rFonts w:hint="eastAsia" w:ascii="宋体" w:hAnsi="宋体" w:cs="宋体"/>
          <w:color w:val="auto"/>
          <w:sz w:val="24"/>
          <w:szCs w:val="24"/>
          <w:highlight w:val="none"/>
          <w:lang w:val="en-US" w:eastAsia="zh-CN"/>
        </w:rPr>
        <w:t>的，提供在成交公告发布后10个工作日内办理的承诺函。</w:t>
      </w:r>
    </w:p>
    <w:p w14:paraId="476EA755">
      <w:pPr>
        <w:tabs>
          <w:tab w:val="left" w:pos="7665"/>
        </w:tabs>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8.本项目不允许联合体参加。</w:t>
      </w:r>
      <w:bookmarkEnd w:id="5"/>
      <w:bookmarkStart w:id="115" w:name="_GoBack"/>
      <w:bookmarkEnd w:id="115"/>
    </w:p>
    <w:p w14:paraId="0A31CBA9">
      <w:pPr>
        <w:tabs>
          <w:tab w:val="left" w:pos="7665"/>
        </w:tabs>
        <w:spacing w:line="360" w:lineRule="auto"/>
        <w:ind w:firstLine="480" w:firstLineChars="200"/>
        <w:rPr>
          <w:rFonts w:hint="eastAsia" w:ascii="宋体" w:hAnsi="宋体" w:cs="宋体"/>
          <w:b/>
          <w:bCs/>
          <w:color w:val="auto"/>
          <w:sz w:val="24"/>
          <w:szCs w:val="24"/>
          <w:lang w:eastAsia="zh-CN"/>
        </w:rPr>
      </w:pPr>
      <w:r>
        <w:rPr>
          <w:rFonts w:hint="eastAsia" w:ascii="宋体" w:hAnsi="宋体" w:eastAsia="宋体" w:cs="宋体"/>
          <w:color w:val="auto"/>
          <w:sz w:val="24"/>
          <w:szCs w:val="24"/>
          <w:lang w:val="en-US" w:eastAsia="zh-CN"/>
        </w:rPr>
        <w:t>9.本项目专门面向中小企业采购。</w:t>
      </w:r>
    </w:p>
    <w:p w14:paraId="5E1C8297">
      <w:pPr>
        <w:spacing w:line="360" w:lineRule="auto"/>
        <w:ind w:firstLine="482" w:firstLineChars="200"/>
        <w:rPr>
          <w:rFonts w:hint="eastAsia" w:ascii="宋体" w:hAnsi="宋体" w:eastAsia="宋体" w:cs="宋体"/>
          <w:b/>
          <w:bCs/>
          <w:color w:val="auto"/>
          <w:sz w:val="24"/>
          <w:szCs w:val="24"/>
        </w:rPr>
      </w:pPr>
      <w:r>
        <w:rPr>
          <w:rFonts w:hint="eastAsia" w:ascii="宋体" w:hAnsi="宋体" w:cs="宋体"/>
          <w:b/>
          <w:bCs/>
          <w:color w:val="auto"/>
          <w:sz w:val="24"/>
          <w:szCs w:val="24"/>
          <w:lang w:eastAsia="zh-CN"/>
        </w:rPr>
        <w:t>五</w:t>
      </w:r>
      <w:r>
        <w:rPr>
          <w:rFonts w:hint="eastAsia" w:ascii="宋体" w:hAnsi="宋体" w:eastAsia="宋体" w:cs="宋体"/>
          <w:b/>
          <w:bCs/>
          <w:color w:val="auto"/>
          <w:sz w:val="24"/>
          <w:szCs w:val="24"/>
        </w:rPr>
        <w:t>、禁止参加本次采购活动的供应商</w:t>
      </w:r>
    </w:p>
    <w:p w14:paraId="2C7A03BB">
      <w:pPr>
        <w:tabs>
          <w:tab w:val="left" w:pos="7665"/>
        </w:tabs>
        <w:spacing w:line="360" w:lineRule="auto"/>
        <w:ind w:firstLine="480" w:firstLineChars="200"/>
        <w:rPr>
          <w:rFonts w:hint="eastAsia" w:ascii="宋体" w:hAnsi="宋体" w:eastAsia="宋体" w:cs="宋体"/>
          <w:color w:val="auto"/>
          <w:sz w:val="24"/>
          <w:szCs w:val="24"/>
          <w:lang w:val="en-US" w:eastAsia="zh-CN"/>
        </w:rPr>
      </w:pPr>
      <w:bookmarkStart w:id="6" w:name="PO_默认文件内容_4"/>
      <w:r>
        <w:rPr>
          <w:rFonts w:hint="eastAsia" w:ascii="宋体" w:hAnsi="宋体" w:eastAsia="宋体" w:cs="宋体"/>
          <w:color w:val="auto"/>
          <w:sz w:val="24"/>
          <w:szCs w:val="24"/>
          <w:lang w:val="en-US" w:eastAsia="zh-CN"/>
        </w:rPr>
        <w:t>根据《关于在政府采购活动中查询及使用信用记录有关问题的通知》（财库〔2016〕125号）的要求，采购人/采购代理机构将通过“信用中国”网站（www.creditchina.gov.cn）、“中国政府采购网”网站（www.ccgp.gov.cn）等渠道查询供应商的信用记录并保存信用记录结果网页截图，拒绝列入失信被执行人名单、重大税收违法案件当事人名单、政府采购严重违法失信行为记录名单中的供应商参加本项目的采购活动（以联合体形式参加本项目采购活动，联合体成员存在不良信用记录的，视同联合体存在不良信用记录）。</w:t>
      </w:r>
    </w:p>
    <w:p w14:paraId="489EC3D8">
      <w:pPr>
        <w:numPr>
          <w:ilvl w:val="0"/>
          <w:numId w:val="0"/>
        </w:numPr>
        <w:spacing w:line="360" w:lineRule="auto"/>
        <w:ind w:leftChars="228"/>
        <w:rPr>
          <w:rFonts w:hint="eastAsia" w:ascii="宋体" w:hAnsi="宋体" w:eastAsia="宋体" w:cs="宋体"/>
          <w:b/>
          <w:bCs/>
          <w:color w:val="auto"/>
          <w:sz w:val="24"/>
          <w:szCs w:val="24"/>
        </w:rPr>
      </w:pPr>
      <w:r>
        <w:rPr>
          <w:rFonts w:hint="eastAsia" w:ascii="宋体" w:hAnsi="宋体" w:cs="宋体"/>
          <w:b/>
          <w:bCs/>
          <w:color w:val="auto"/>
          <w:sz w:val="24"/>
          <w:szCs w:val="24"/>
          <w:lang w:eastAsia="zh-CN"/>
        </w:rPr>
        <w:t>六</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采购文件获取方式、时间、地点：</w:t>
      </w:r>
    </w:p>
    <w:p w14:paraId="291830D6">
      <w:pPr>
        <w:tabs>
          <w:tab w:val="left" w:pos="7665"/>
        </w:tabs>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1.竞争性谈判文件自2025年1</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月</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日至2025年12月</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日上午09:00-12:00，下午14:30-17:00（北京时间，法定节假日除外）在四川天宇华辰建设工程有限公司获取竞争性谈判文件。</w:t>
      </w:r>
    </w:p>
    <w:p w14:paraId="680CCC0B">
      <w:pPr>
        <w:tabs>
          <w:tab w:val="left" w:pos="7665"/>
        </w:tabs>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2、竟谈文件获取方式：收到广元市水利局官网发布谈判邀请后，</w:t>
      </w:r>
      <w:r>
        <w:rPr>
          <w:rFonts w:hint="eastAsia" w:ascii="宋体" w:hAnsi="宋体" w:eastAsia="宋体" w:cs="宋体"/>
          <w:color w:val="auto"/>
          <w:sz w:val="24"/>
          <w:szCs w:val="24"/>
          <w:lang w:val="en-US" w:eastAsia="zh-CN"/>
        </w:rPr>
        <w:t>按照报名方式报名后，通过邮箱形式</w:t>
      </w:r>
      <w:r>
        <w:rPr>
          <w:rFonts w:hint="eastAsia" w:ascii="宋体" w:hAnsi="宋体" w:cs="宋体"/>
          <w:color w:val="auto"/>
          <w:sz w:val="24"/>
          <w:szCs w:val="24"/>
          <w:lang w:val="en-US" w:eastAsia="zh-CN"/>
        </w:rPr>
        <w:t>获取</w:t>
      </w:r>
      <w:r>
        <w:rPr>
          <w:rFonts w:hint="eastAsia" w:ascii="宋体" w:hAnsi="宋体" w:eastAsia="宋体" w:cs="宋体"/>
          <w:color w:val="auto"/>
          <w:sz w:val="24"/>
          <w:szCs w:val="24"/>
          <w:lang w:val="en-US" w:eastAsia="zh-CN"/>
        </w:rPr>
        <w:t>竞争性谈判文件。</w:t>
      </w:r>
    </w:p>
    <w:p w14:paraId="2375DC85">
      <w:pPr>
        <w:tabs>
          <w:tab w:val="left" w:pos="7665"/>
        </w:tabs>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3、报名方式：①网络报名：将单位介绍信、营业执照复印件、法人身份证复印件、经办人身份证复印件加盖鲜章后扫描成PDF格式文档发送至邮箱297288226@qq.com（邮件标题：公司名称+项目名称+联系电话）</w:t>
      </w:r>
    </w:p>
    <w:p w14:paraId="416D8ED5">
      <w:pPr>
        <w:pStyle w:val="60"/>
        <w:rPr>
          <w:rFonts w:hint="eastAsia"/>
          <w:color w:val="auto"/>
          <w:lang w:val="en-US" w:eastAsia="zh-CN"/>
        </w:rPr>
      </w:pPr>
    </w:p>
    <w:bookmarkEnd w:id="6"/>
    <w:p w14:paraId="5322E675">
      <w:pPr>
        <w:spacing w:after="120" w:line="360" w:lineRule="auto"/>
        <w:ind w:firstLine="482" w:firstLineChars="200"/>
        <w:rPr>
          <w:rFonts w:hint="eastAsia" w:ascii="宋体" w:hAnsi="宋体" w:eastAsia="宋体" w:cs="宋体"/>
          <w:color w:val="auto"/>
          <w:sz w:val="24"/>
          <w:szCs w:val="24"/>
          <w:lang w:val="en-US" w:eastAsia="zh-CN"/>
        </w:rPr>
      </w:pPr>
      <w:r>
        <w:rPr>
          <w:rFonts w:hint="eastAsia" w:ascii="宋体" w:hAnsi="宋体" w:cs="宋体"/>
          <w:b/>
          <w:bCs/>
          <w:color w:val="auto"/>
          <w:sz w:val="24"/>
          <w:szCs w:val="24"/>
          <w:lang w:val="en-US" w:eastAsia="zh-CN"/>
        </w:rPr>
        <w:t>七</w:t>
      </w:r>
      <w:r>
        <w:rPr>
          <w:rFonts w:hint="eastAsia" w:ascii="宋体" w:hAnsi="宋体" w:cs="宋体"/>
          <w:b/>
          <w:bCs/>
          <w:color w:val="auto"/>
          <w:sz w:val="24"/>
          <w:szCs w:val="24"/>
          <w:lang w:val="en-US" w:eastAsia="zh-CN"/>
        </w:rPr>
        <w:t>、</w:t>
      </w:r>
      <w:r>
        <w:rPr>
          <w:rFonts w:hint="eastAsia" w:ascii="宋体" w:hAnsi="宋体" w:eastAsia="宋体" w:cs="宋体"/>
          <w:b/>
          <w:bCs/>
          <w:color w:val="auto"/>
          <w:sz w:val="24"/>
          <w:szCs w:val="24"/>
          <w:lang w:val="en-US" w:eastAsia="zh-CN"/>
        </w:rPr>
        <w:t>递交响应文件截止时间</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2025年 12月5日 9:00</w:t>
      </w:r>
      <w:r>
        <w:rPr>
          <w:rFonts w:hint="eastAsia" w:ascii="宋体" w:hAnsi="宋体" w:eastAsia="宋体" w:cs="宋体"/>
          <w:color w:val="auto"/>
          <w:sz w:val="24"/>
          <w:szCs w:val="24"/>
          <w:lang w:val="en-US" w:eastAsia="zh-CN"/>
        </w:rPr>
        <w:t>（北京时间)。</w:t>
      </w:r>
    </w:p>
    <w:p w14:paraId="0D5E0363">
      <w:pPr>
        <w:spacing w:after="120" w:line="360" w:lineRule="auto"/>
        <w:ind w:firstLine="482" w:firstLineChars="200"/>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eastAsia="zh-CN"/>
        </w:rPr>
        <w:t>八</w:t>
      </w:r>
      <w:r>
        <w:rPr>
          <w:rFonts w:hint="eastAsia" w:ascii="宋体" w:hAnsi="宋体" w:eastAsia="宋体" w:cs="宋体"/>
          <w:b/>
          <w:bCs/>
          <w:color w:val="auto"/>
          <w:sz w:val="24"/>
          <w:szCs w:val="24"/>
        </w:rPr>
        <w:t>、递交响应文件地点：</w:t>
      </w:r>
      <w:bookmarkStart w:id="7" w:name="PO_默认文件内容_7"/>
      <w:r>
        <w:rPr>
          <w:rFonts w:hint="eastAsia" w:ascii="宋体" w:hAnsi="宋体" w:cs="宋体"/>
          <w:color w:val="auto"/>
          <w:sz w:val="24"/>
          <w:szCs w:val="24"/>
          <w:u w:val="single"/>
          <w:lang w:val="en-US" w:eastAsia="zh-CN"/>
        </w:rPr>
        <w:t>四川省广元市利州区恒业锦城3期11楼3号</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lang w:val="en-US" w:eastAsia="zh-CN"/>
        </w:rPr>
        <w:t>响应文件必须在递交响应文件截止时间前送达谈判地点。逾期送达或没有密封的响应文件恕不接收。本次采购不接收邮寄的响应文件。</w:t>
      </w:r>
      <w:bookmarkEnd w:id="7"/>
    </w:p>
    <w:p w14:paraId="209060D0">
      <w:pPr>
        <w:spacing w:after="120" w:line="360" w:lineRule="auto"/>
        <w:ind w:firstLine="482" w:firstLineChars="200"/>
        <w:rPr>
          <w:rFonts w:hint="eastAsia" w:ascii="宋体" w:hAnsi="宋体" w:eastAsia="宋体" w:cs="宋体"/>
          <w:color w:val="auto"/>
          <w:sz w:val="24"/>
          <w:szCs w:val="24"/>
          <w:lang w:val="en-US" w:eastAsia="zh-CN"/>
        </w:rPr>
      </w:pPr>
      <w:r>
        <w:rPr>
          <w:rFonts w:hint="eastAsia" w:ascii="宋体" w:hAnsi="宋体" w:cs="宋体"/>
          <w:b/>
          <w:bCs/>
          <w:color w:val="auto"/>
          <w:sz w:val="24"/>
          <w:szCs w:val="24"/>
          <w:lang w:eastAsia="zh-CN"/>
        </w:rPr>
        <w:t>九</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rPr>
        <w:t>响应文件开启时间：</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2025年 12月5日 9:00</w:t>
      </w:r>
      <w:r>
        <w:rPr>
          <w:rFonts w:hint="eastAsia" w:ascii="宋体" w:hAnsi="宋体" w:eastAsia="宋体" w:cs="宋体"/>
          <w:color w:val="auto"/>
          <w:sz w:val="24"/>
          <w:szCs w:val="24"/>
          <w:lang w:val="en-US" w:eastAsia="zh-CN"/>
        </w:rPr>
        <w:t>（北京时间）</w:t>
      </w:r>
      <w:r>
        <w:rPr>
          <w:rFonts w:hint="eastAsia" w:ascii="宋体" w:hAnsi="宋体" w:eastAsia="宋体" w:cs="宋体"/>
          <w:color w:val="auto"/>
          <w:sz w:val="24"/>
          <w:szCs w:val="24"/>
          <w:lang w:val="en-US" w:eastAsia="zh-CN"/>
        </w:rPr>
        <w:t>在谈判地</w:t>
      </w:r>
      <w:r>
        <w:rPr>
          <w:rFonts w:hint="eastAsia" w:ascii="宋体" w:hAnsi="宋体" w:eastAsia="宋体" w:cs="宋体"/>
          <w:color w:val="auto"/>
          <w:sz w:val="24"/>
          <w:szCs w:val="24"/>
          <w:lang w:val="en-US" w:eastAsia="zh-CN"/>
        </w:rPr>
        <w:t>点开启。</w:t>
      </w:r>
    </w:p>
    <w:p w14:paraId="12EACA52">
      <w:pPr>
        <w:numPr>
          <w:ilvl w:val="0"/>
          <w:numId w:val="0"/>
        </w:numPr>
        <w:spacing w:before="139" w:line="364" w:lineRule="auto"/>
        <w:ind w:right="228" w:rightChars="0" w:firstLine="482" w:firstLineChars="200"/>
        <w:jc w:val="both"/>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rPr>
        <w:t>十、谈判地点：</w:t>
      </w:r>
      <w:r>
        <w:rPr>
          <w:rFonts w:hint="eastAsia" w:ascii="宋体" w:hAnsi="宋体" w:cs="宋体"/>
          <w:color w:val="auto"/>
          <w:sz w:val="24"/>
          <w:szCs w:val="24"/>
          <w:u w:val="single"/>
          <w:lang w:val="en-US" w:eastAsia="zh-CN"/>
        </w:rPr>
        <w:t xml:space="preserve">四川省广元市利州区恒业锦城3期11楼3号 </w:t>
      </w:r>
      <w:r>
        <w:rPr>
          <w:rFonts w:hint="eastAsia" w:ascii="宋体" w:hAnsi="宋体" w:eastAsia="宋体" w:cs="宋体"/>
          <w:color w:val="auto"/>
          <w:sz w:val="24"/>
          <w:szCs w:val="24"/>
          <w:lang w:val="en-US" w:eastAsia="zh-CN"/>
        </w:rPr>
        <w:t>。</w:t>
      </w:r>
    </w:p>
    <w:p w14:paraId="32EB94F5">
      <w:pPr>
        <w:pStyle w:val="85"/>
        <w:ind w:firstLine="31680"/>
        <w:rPr>
          <w:rFonts w:hint="eastAsia" w:ascii="宋体" w:hAnsi="宋体" w:eastAsia="宋体" w:cs="宋体"/>
          <w:color w:val="auto"/>
          <w:kern w:val="2"/>
          <w:sz w:val="24"/>
          <w:szCs w:val="24"/>
          <w:lang w:val="en-US" w:eastAsia="zh-CN" w:bidi="ar-SA"/>
        </w:rPr>
      </w:pPr>
    </w:p>
    <w:p w14:paraId="1E63540C">
      <w:pPr>
        <w:pStyle w:val="85"/>
        <w:numPr>
          <w:ilvl w:val="0"/>
          <w:numId w:val="0"/>
        </w:numPr>
        <w:ind w:firstLine="482" w:firstLineChars="200"/>
        <w:rPr>
          <w:rFonts w:hint="eastAsia" w:ascii="宋体" w:hAnsi="宋体" w:eastAsia="宋体" w:cs="宋体"/>
          <w:b/>
          <w:bCs/>
          <w:color w:val="auto"/>
          <w:sz w:val="24"/>
          <w:szCs w:val="24"/>
        </w:rPr>
      </w:pPr>
      <w:r>
        <w:rPr>
          <w:rFonts w:hint="eastAsia" w:ascii="宋体" w:hAnsi="宋体" w:cs="宋体"/>
          <w:b/>
          <w:bCs/>
          <w:color w:val="auto"/>
          <w:sz w:val="24"/>
          <w:szCs w:val="24"/>
          <w:lang w:eastAsia="zh-CN"/>
        </w:rPr>
        <w:t>十一、</w:t>
      </w:r>
      <w:r>
        <w:rPr>
          <w:rFonts w:hint="eastAsia" w:ascii="宋体" w:hAnsi="宋体" w:eastAsia="宋体" w:cs="宋体"/>
          <w:b/>
          <w:bCs/>
          <w:color w:val="auto"/>
          <w:sz w:val="24"/>
          <w:szCs w:val="24"/>
        </w:rPr>
        <w:t>联系方式</w:t>
      </w:r>
    </w:p>
    <w:p w14:paraId="292CD4D0">
      <w:pPr>
        <w:pStyle w:val="85"/>
        <w:numPr>
          <w:ilvl w:val="0"/>
          <w:numId w:val="0"/>
        </w:numPr>
        <w:rPr>
          <w:rFonts w:hint="eastAsia" w:ascii="宋体" w:hAnsi="宋体" w:eastAsia="宋体" w:cs="宋体"/>
          <w:b/>
          <w:bCs/>
          <w:color w:val="auto"/>
          <w:sz w:val="24"/>
          <w:szCs w:val="24"/>
        </w:rPr>
      </w:pPr>
    </w:p>
    <w:p w14:paraId="2B62EDA8">
      <w:pPr>
        <w:pStyle w:val="85"/>
        <w:ind w:firstLine="31680"/>
        <w:rPr>
          <w:rFonts w:hint="eastAsia" w:ascii="宋体" w:hAnsi="宋体" w:cs="宋体"/>
          <w:color w:val="auto"/>
          <w:kern w:val="2"/>
          <w:sz w:val="24"/>
          <w:szCs w:val="24"/>
          <w:lang w:val="zh-CN" w:eastAsia="zh-CN" w:bidi="ar-SA"/>
        </w:rPr>
      </w:pPr>
      <w:bookmarkStart w:id="8" w:name="_Toc217446031"/>
      <w:bookmarkStart w:id="9" w:name="_Toc509579141"/>
      <w:bookmarkStart w:id="10" w:name="_Toc213397009"/>
      <w:bookmarkStart w:id="11" w:name="_Toc213396945"/>
      <w:bookmarkStart w:id="12" w:name="_Toc213396759"/>
      <w:bookmarkStart w:id="13" w:name="_Toc213496267"/>
      <w:r>
        <w:rPr>
          <w:rFonts w:hint="eastAsia" w:ascii="宋体" w:hAnsi="宋体" w:eastAsia="宋体" w:cs="宋体"/>
          <w:b/>
          <w:bCs/>
          <w:color w:val="auto"/>
          <w:sz w:val="24"/>
          <w:szCs w:val="24"/>
        </w:rPr>
        <w:t>采购人：</w:t>
      </w:r>
      <w:r>
        <w:rPr>
          <w:rFonts w:hint="eastAsia" w:ascii="宋体" w:hAnsi="宋体" w:cs="宋体"/>
          <w:color w:val="auto"/>
          <w:kern w:val="2"/>
          <w:sz w:val="24"/>
          <w:szCs w:val="24"/>
          <w:lang w:val="zh-CN" w:eastAsia="zh-CN" w:bidi="ar-SA"/>
        </w:rPr>
        <w:t xml:space="preserve"> 广元市水利局 </w:t>
      </w:r>
    </w:p>
    <w:p w14:paraId="5D3D43BC">
      <w:pPr>
        <w:pStyle w:val="85"/>
        <w:ind w:firstLine="316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通讯地址：</w:t>
      </w:r>
      <w:r>
        <w:rPr>
          <w:rFonts w:hint="eastAsia" w:ascii="宋体" w:hAnsi="宋体" w:cs="宋体"/>
          <w:color w:val="auto"/>
          <w:kern w:val="2"/>
          <w:sz w:val="24"/>
          <w:szCs w:val="24"/>
          <w:lang w:val="en-US" w:eastAsia="zh-CN" w:bidi="ar-SA"/>
        </w:rPr>
        <w:t>广元市利州区利州东路一段659号</w:t>
      </w:r>
    </w:p>
    <w:p w14:paraId="7695071F">
      <w:pPr>
        <w:pStyle w:val="85"/>
        <w:ind w:firstLine="316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联系人：</w:t>
      </w:r>
      <w:r>
        <w:rPr>
          <w:rFonts w:hint="eastAsia" w:ascii="宋体" w:hAnsi="宋体" w:cs="宋体"/>
          <w:color w:val="auto"/>
          <w:kern w:val="2"/>
          <w:sz w:val="24"/>
          <w:szCs w:val="24"/>
          <w:lang w:val="en-US" w:eastAsia="zh-CN" w:bidi="ar-SA"/>
        </w:rPr>
        <w:t>刘先生</w:t>
      </w:r>
      <w:r>
        <w:rPr>
          <w:rFonts w:hint="eastAsia" w:ascii="宋体" w:hAnsi="宋体" w:eastAsia="宋体" w:cs="宋体"/>
          <w:color w:val="auto"/>
          <w:kern w:val="2"/>
          <w:sz w:val="24"/>
          <w:szCs w:val="24"/>
          <w:lang w:val="en-US" w:eastAsia="zh-CN" w:bidi="ar-SA"/>
        </w:rPr>
        <w:t xml:space="preserve"> </w:t>
      </w:r>
    </w:p>
    <w:p w14:paraId="3CB1E298">
      <w:pPr>
        <w:pStyle w:val="85"/>
        <w:ind w:firstLine="31680"/>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联系电话：</w:t>
      </w:r>
      <w:r>
        <w:rPr>
          <w:rFonts w:hint="eastAsia" w:ascii="宋体" w:hAnsi="宋体" w:cs="宋体"/>
          <w:color w:val="auto"/>
          <w:kern w:val="2"/>
          <w:sz w:val="24"/>
          <w:szCs w:val="24"/>
          <w:lang w:val="en-US" w:eastAsia="zh-CN" w:bidi="ar-SA"/>
        </w:rPr>
        <w:t>0839-3262969</w:t>
      </w:r>
    </w:p>
    <w:p w14:paraId="4BD1F386">
      <w:pPr>
        <w:pStyle w:val="85"/>
        <w:ind w:firstLine="31680"/>
        <w:rPr>
          <w:rFonts w:hint="eastAsia" w:ascii="宋体" w:hAnsi="宋体" w:eastAsia="宋体" w:cs="宋体"/>
          <w:color w:val="auto"/>
          <w:kern w:val="2"/>
          <w:sz w:val="24"/>
          <w:szCs w:val="24"/>
          <w:lang w:val="zh-CN" w:eastAsia="zh-CN" w:bidi="ar-SA"/>
        </w:rPr>
      </w:pPr>
      <w:r>
        <w:rPr>
          <w:rFonts w:hint="eastAsia" w:ascii="宋体" w:hAnsi="宋体" w:eastAsia="宋体" w:cs="宋体"/>
          <w:b/>
          <w:bCs/>
          <w:color w:val="auto"/>
          <w:sz w:val="24"/>
          <w:szCs w:val="24"/>
        </w:rPr>
        <w:t>采购代理机构：</w:t>
      </w:r>
      <w:r>
        <w:rPr>
          <w:rFonts w:hint="eastAsia" w:ascii="宋体" w:hAnsi="宋体" w:cs="宋体"/>
          <w:color w:val="auto"/>
          <w:kern w:val="2"/>
          <w:sz w:val="24"/>
          <w:szCs w:val="24"/>
          <w:lang w:val="zh-CN" w:eastAsia="zh-CN" w:bidi="ar-SA"/>
        </w:rPr>
        <w:t>四川天宇华辰建设工程有限公司</w:t>
      </w:r>
      <w:r>
        <w:rPr>
          <w:rFonts w:hint="eastAsia" w:ascii="宋体" w:hAnsi="宋体" w:eastAsia="宋体" w:cs="宋体"/>
          <w:color w:val="auto"/>
          <w:kern w:val="2"/>
          <w:sz w:val="24"/>
          <w:szCs w:val="24"/>
          <w:lang w:val="zh-CN" w:eastAsia="zh-CN" w:bidi="ar-SA"/>
        </w:rPr>
        <w:t xml:space="preserve"> </w:t>
      </w:r>
    </w:p>
    <w:p w14:paraId="171DB616">
      <w:pPr>
        <w:pStyle w:val="85"/>
        <w:ind w:firstLine="31680"/>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t>通讯地址：</w:t>
      </w:r>
      <w:r>
        <w:rPr>
          <w:rFonts w:hint="eastAsia" w:ascii="宋体" w:hAnsi="宋体" w:cs="宋体"/>
          <w:color w:val="auto"/>
          <w:kern w:val="2"/>
          <w:sz w:val="24"/>
          <w:szCs w:val="24"/>
          <w:lang w:val="zh-CN" w:eastAsia="zh-CN" w:bidi="ar-SA"/>
        </w:rPr>
        <w:t>旺苍县东河镇环城西路圆沱巷1栋</w:t>
      </w:r>
    </w:p>
    <w:p w14:paraId="4B8B415F">
      <w:pPr>
        <w:pStyle w:val="85"/>
        <w:ind w:firstLine="316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zh-CN" w:eastAsia="zh-CN" w:bidi="ar-SA"/>
        </w:rPr>
        <w:t>联系人：</w:t>
      </w:r>
      <w:r>
        <w:rPr>
          <w:rFonts w:hint="eastAsia" w:ascii="宋体" w:hAnsi="宋体" w:cs="宋体"/>
          <w:color w:val="auto"/>
          <w:kern w:val="2"/>
          <w:sz w:val="24"/>
          <w:szCs w:val="24"/>
          <w:lang w:val="en-US" w:eastAsia="zh-CN" w:bidi="ar-SA"/>
        </w:rPr>
        <w:t>王艳女士</w:t>
      </w:r>
    </w:p>
    <w:p w14:paraId="7A5697A3">
      <w:pPr>
        <w:pStyle w:val="85"/>
        <w:ind w:firstLine="316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zh-CN" w:eastAsia="zh-CN" w:bidi="ar-SA"/>
        </w:rPr>
        <w:t>联系电话：</w:t>
      </w:r>
      <w:r>
        <w:rPr>
          <w:rFonts w:hint="eastAsia" w:ascii="宋体" w:hAnsi="宋体" w:cs="宋体"/>
          <w:color w:val="auto"/>
          <w:kern w:val="2"/>
          <w:sz w:val="24"/>
          <w:szCs w:val="24"/>
          <w:lang w:val="en-US" w:eastAsia="zh-CN" w:bidi="ar-SA"/>
        </w:rPr>
        <w:t>15196100206</w:t>
      </w:r>
    </w:p>
    <w:p w14:paraId="6E8625F1">
      <w:pPr>
        <w:pStyle w:val="85"/>
        <w:ind w:firstLine="950" w:firstLineChars="396"/>
        <w:rPr>
          <w:rFonts w:hint="eastAsia" w:ascii="宋体" w:hAnsi="宋体" w:eastAsia="宋体" w:cs="宋体"/>
          <w:color w:val="auto"/>
          <w:kern w:val="0"/>
          <w:sz w:val="24"/>
          <w:szCs w:val="24"/>
        </w:rPr>
      </w:pPr>
    </w:p>
    <w:p w14:paraId="6DC2B5E0">
      <w:pPr>
        <w:pStyle w:val="85"/>
        <w:ind w:left="0" w:leftChars="0" w:firstLine="0" w:firstLineChars="0"/>
        <w:rPr>
          <w:rFonts w:hint="eastAsia" w:ascii="宋体" w:hAnsi="宋体" w:eastAsia="宋体" w:cs="宋体"/>
          <w:color w:val="auto"/>
          <w:kern w:val="0"/>
          <w:sz w:val="24"/>
          <w:szCs w:val="24"/>
        </w:rPr>
      </w:pPr>
    </w:p>
    <w:p w14:paraId="322989FF">
      <w:pPr>
        <w:rPr>
          <w:rFonts w:hint="eastAsia" w:ascii="宋体" w:hAnsi="宋体" w:eastAsia="宋体" w:cs="宋体"/>
          <w:color w:val="auto"/>
          <w:sz w:val="40"/>
          <w:szCs w:val="40"/>
        </w:rPr>
      </w:pPr>
      <w:r>
        <w:rPr>
          <w:rFonts w:hint="eastAsia" w:ascii="宋体" w:hAnsi="宋体" w:eastAsia="宋体" w:cs="宋体"/>
          <w:color w:val="auto"/>
          <w:sz w:val="40"/>
          <w:szCs w:val="40"/>
        </w:rPr>
        <w:br w:type="page"/>
      </w:r>
    </w:p>
    <w:p w14:paraId="618D0298">
      <w:pPr>
        <w:pStyle w:val="39"/>
        <w:outlineLvl w:val="0"/>
        <w:rPr>
          <w:rFonts w:hint="eastAsia" w:ascii="宋体" w:hAnsi="宋体" w:eastAsia="宋体" w:cs="宋体"/>
          <w:color w:val="auto"/>
          <w:sz w:val="40"/>
          <w:szCs w:val="40"/>
        </w:rPr>
      </w:pPr>
      <w:bookmarkStart w:id="14" w:name="_Toc23974"/>
      <w:bookmarkStart w:id="15" w:name="_Toc15386"/>
      <w:r>
        <w:rPr>
          <w:rFonts w:hint="eastAsia" w:ascii="宋体" w:hAnsi="宋体" w:eastAsia="宋体" w:cs="宋体"/>
          <w:color w:val="auto"/>
          <w:sz w:val="40"/>
          <w:szCs w:val="40"/>
        </w:rPr>
        <w:t>第二章</w:t>
      </w:r>
      <w:r>
        <w:rPr>
          <w:rFonts w:hint="eastAsia" w:ascii="宋体" w:hAnsi="宋体" w:cs="宋体"/>
          <w:color w:val="auto"/>
          <w:sz w:val="40"/>
          <w:szCs w:val="40"/>
          <w:lang w:val="en-US" w:eastAsia="zh-CN"/>
        </w:rPr>
        <w:t xml:space="preserve">  </w:t>
      </w:r>
      <w:r>
        <w:rPr>
          <w:rFonts w:hint="eastAsia" w:ascii="宋体" w:hAnsi="宋体" w:eastAsia="宋体" w:cs="宋体"/>
          <w:color w:val="auto"/>
          <w:sz w:val="40"/>
          <w:szCs w:val="40"/>
        </w:rPr>
        <w:t>谈判须知</w:t>
      </w:r>
      <w:bookmarkEnd w:id="8"/>
      <w:bookmarkEnd w:id="9"/>
      <w:bookmarkEnd w:id="10"/>
      <w:bookmarkEnd w:id="11"/>
      <w:bookmarkEnd w:id="12"/>
      <w:bookmarkEnd w:id="13"/>
      <w:bookmarkEnd w:id="14"/>
      <w:bookmarkEnd w:id="15"/>
    </w:p>
    <w:p w14:paraId="4AE6E65B">
      <w:pPr>
        <w:keepNext w:val="0"/>
        <w:keepLines w:val="0"/>
        <w:spacing w:line="240" w:lineRule="auto"/>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一、供应商须知附表</w:t>
      </w:r>
    </w:p>
    <w:tbl>
      <w:tblPr>
        <w:tblStyle w:val="44"/>
        <w:tblW w:w="950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2287"/>
        <w:gridCol w:w="6206"/>
      </w:tblGrid>
      <w:tr w14:paraId="4548654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1013" w:type="dxa"/>
            <w:tcBorders>
              <w:top w:val="single" w:color="auto" w:sz="18" w:space="0"/>
            </w:tcBorders>
            <w:vAlign w:val="center"/>
          </w:tcPr>
          <w:p w14:paraId="354B427C">
            <w:pPr>
              <w:pStyle w:val="87"/>
              <w:spacing w:line="360" w:lineRule="auto"/>
              <w:ind w:left="9"/>
              <w:jc w:val="center"/>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序号</w:t>
            </w:r>
          </w:p>
        </w:tc>
        <w:tc>
          <w:tcPr>
            <w:tcW w:w="2287" w:type="dxa"/>
            <w:tcBorders>
              <w:top w:val="single" w:color="auto" w:sz="18" w:space="0"/>
            </w:tcBorders>
            <w:vAlign w:val="center"/>
          </w:tcPr>
          <w:p w14:paraId="08A1CE72">
            <w:pPr>
              <w:pStyle w:val="87"/>
              <w:spacing w:line="360" w:lineRule="auto"/>
              <w:ind w:left="38"/>
              <w:jc w:val="center"/>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应知事项</w:t>
            </w:r>
          </w:p>
        </w:tc>
        <w:tc>
          <w:tcPr>
            <w:tcW w:w="6206" w:type="dxa"/>
            <w:tcBorders>
              <w:top w:val="single" w:color="auto" w:sz="18" w:space="0"/>
            </w:tcBorders>
            <w:vAlign w:val="center"/>
          </w:tcPr>
          <w:p w14:paraId="33EC6AF5">
            <w:pPr>
              <w:pStyle w:val="87"/>
              <w:spacing w:line="360" w:lineRule="auto"/>
              <w:jc w:val="center"/>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说明和要求</w:t>
            </w:r>
          </w:p>
        </w:tc>
      </w:tr>
      <w:tr w14:paraId="38F9BC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3" w:hRule="atLeast"/>
          <w:jc w:val="center"/>
        </w:trPr>
        <w:tc>
          <w:tcPr>
            <w:tcW w:w="1013" w:type="dxa"/>
            <w:tcBorders>
              <w:bottom w:val="single" w:color="auto" w:sz="4" w:space="0"/>
            </w:tcBorders>
            <w:vAlign w:val="center"/>
          </w:tcPr>
          <w:p w14:paraId="4658AE83">
            <w:pPr>
              <w:pStyle w:val="87"/>
              <w:spacing w:line="360" w:lineRule="auto"/>
              <w:ind w:right="230"/>
              <w:jc w:val="center"/>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w:t>
            </w:r>
          </w:p>
        </w:tc>
        <w:tc>
          <w:tcPr>
            <w:tcW w:w="2287" w:type="dxa"/>
            <w:tcBorders>
              <w:bottom w:val="single" w:color="auto" w:sz="4" w:space="0"/>
            </w:tcBorders>
            <w:vAlign w:val="center"/>
          </w:tcPr>
          <w:p w14:paraId="3A491E99">
            <w:pPr>
              <w:pStyle w:val="87"/>
              <w:spacing w:line="360" w:lineRule="auto"/>
              <w:ind w:left="38"/>
              <w:jc w:val="center"/>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定向采购</w:t>
            </w:r>
          </w:p>
        </w:tc>
        <w:tc>
          <w:tcPr>
            <w:tcW w:w="6206" w:type="dxa"/>
            <w:tcBorders>
              <w:bottom w:val="single" w:color="auto" w:sz="4" w:space="0"/>
            </w:tcBorders>
          </w:tcPr>
          <w:p w14:paraId="68F15B14">
            <w:pPr>
              <w:pStyle w:val="87"/>
              <w:spacing w:line="360" w:lineRule="auto"/>
              <w:ind w:firstLine="240" w:firstLineChars="100"/>
              <w:jc w:val="both"/>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本项目专门面向中小企业采购</w:t>
            </w:r>
          </w:p>
        </w:tc>
      </w:tr>
      <w:tr w14:paraId="4FD3FE1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5" w:hRule="atLeast"/>
          <w:jc w:val="center"/>
        </w:trPr>
        <w:tc>
          <w:tcPr>
            <w:tcW w:w="1013" w:type="dxa"/>
            <w:tcBorders>
              <w:top w:val="single" w:color="auto" w:sz="4" w:space="0"/>
            </w:tcBorders>
            <w:vAlign w:val="center"/>
          </w:tcPr>
          <w:p w14:paraId="163F7BAA">
            <w:pPr>
              <w:pStyle w:val="87"/>
              <w:spacing w:line="360" w:lineRule="auto"/>
              <w:ind w:right="230"/>
              <w:jc w:val="center"/>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p>
        </w:tc>
        <w:tc>
          <w:tcPr>
            <w:tcW w:w="2287" w:type="dxa"/>
            <w:tcBorders>
              <w:top w:val="single" w:color="auto" w:sz="4" w:space="0"/>
            </w:tcBorders>
            <w:vAlign w:val="center"/>
          </w:tcPr>
          <w:p w14:paraId="3036542F">
            <w:pPr>
              <w:pStyle w:val="87"/>
              <w:spacing w:line="360" w:lineRule="auto"/>
              <w:ind w:left="38"/>
              <w:jc w:val="center"/>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采购预算</w:t>
            </w:r>
          </w:p>
          <w:p w14:paraId="404CBDB3">
            <w:pPr>
              <w:pStyle w:val="87"/>
              <w:spacing w:line="360" w:lineRule="auto"/>
              <w:ind w:left="38"/>
              <w:jc w:val="center"/>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（实质性要求）</w:t>
            </w:r>
          </w:p>
        </w:tc>
        <w:tc>
          <w:tcPr>
            <w:tcW w:w="6206" w:type="dxa"/>
            <w:tcBorders>
              <w:top w:val="single" w:color="auto" w:sz="4" w:space="0"/>
            </w:tcBorders>
          </w:tcPr>
          <w:p w14:paraId="79DDFB90">
            <w:pPr>
              <w:pStyle w:val="87"/>
              <w:spacing w:line="360" w:lineRule="auto"/>
              <w:ind w:firstLine="240" w:firstLineChars="100"/>
              <w:jc w:val="both"/>
              <w:outlineLvl w:val="9"/>
              <w:rPr>
                <w:rFonts w:hint="eastAsia" w:ascii="宋体" w:hAnsi="宋体" w:eastAsia="宋体" w:cs="宋体"/>
                <w:color w:val="auto"/>
                <w:sz w:val="24"/>
                <w:szCs w:val="24"/>
                <w:lang w:val="en-US" w:eastAsia="zh-CN"/>
              </w:rPr>
            </w:pPr>
          </w:p>
          <w:p w14:paraId="0CC70350">
            <w:pPr>
              <w:pStyle w:val="87"/>
              <w:spacing w:line="360" w:lineRule="auto"/>
              <w:ind w:firstLine="240" w:firstLineChars="100"/>
              <w:jc w:val="both"/>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lang w:val="zh-CN"/>
              </w:rPr>
              <w:t>预算：</w:t>
            </w:r>
            <w:r>
              <w:rPr>
                <w:rFonts w:hint="eastAsia" w:cs="宋体"/>
                <w:b w:val="0"/>
                <w:bCs w:val="0"/>
                <w:color w:val="auto"/>
                <w:kern w:val="2"/>
                <w:sz w:val="24"/>
                <w:szCs w:val="24"/>
                <w:u w:val="single"/>
                <w:lang w:val="en-US" w:eastAsia="zh-CN" w:bidi="ar-SA"/>
              </w:rPr>
              <w:t>0.9898万元</w:t>
            </w: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zh-CN" w:eastAsia="zh-CN"/>
              </w:rPr>
              <w:t>超过</w:t>
            </w:r>
            <w:r>
              <w:rPr>
                <w:rFonts w:hint="eastAsia" w:ascii="宋体" w:hAnsi="宋体" w:eastAsia="宋体" w:cs="宋体"/>
                <w:color w:val="auto"/>
                <w:sz w:val="24"/>
                <w:szCs w:val="24"/>
                <w:lang w:val="en-US" w:eastAsia="zh-CN"/>
              </w:rPr>
              <w:t>此金额</w:t>
            </w:r>
            <w:r>
              <w:rPr>
                <w:rFonts w:hint="eastAsia" w:ascii="宋体" w:hAnsi="宋体" w:eastAsia="宋体" w:cs="宋体"/>
                <w:color w:val="auto"/>
                <w:sz w:val="24"/>
                <w:szCs w:val="24"/>
                <w:lang w:val="zh-CN" w:eastAsia="zh-CN"/>
              </w:rPr>
              <w:t>的报价无效。</w:t>
            </w:r>
          </w:p>
        </w:tc>
      </w:tr>
      <w:tr w14:paraId="713424C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78329B71">
            <w:pPr>
              <w:pStyle w:val="87"/>
              <w:spacing w:line="360" w:lineRule="auto"/>
              <w:ind w:right="230"/>
              <w:jc w:val="center"/>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w:t>
            </w:r>
          </w:p>
        </w:tc>
        <w:tc>
          <w:tcPr>
            <w:tcW w:w="2287" w:type="dxa"/>
            <w:vAlign w:val="center"/>
          </w:tcPr>
          <w:p w14:paraId="0A3B862F">
            <w:pPr>
              <w:pStyle w:val="87"/>
              <w:spacing w:line="360" w:lineRule="auto"/>
              <w:ind w:left="38"/>
              <w:jc w:val="center"/>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最高限价</w:t>
            </w:r>
          </w:p>
          <w:p w14:paraId="3B97AD6A">
            <w:pPr>
              <w:pStyle w:val="87"/>
              <w:spacing w:line="360" w:lineRule="auto"/>
              <w:ind w:left="38"/>
              <w:jc w:val="center"/>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（实质性要求）</w:t>
            </w:r>
          </w:p>
        </w:tc>
        <w:tc>
          <w:tcPr>
            <w:tcW w:w="6206" w:type="dxa"/>
            <w:vAlign w:val="center"/>
          </w:tcPr>
          <w:p w14:paraId="1A9130A2">
            <w:pPr>
              <w:pStyle w:val="87"/>
              <w:spacing w:line="360" w:lineRule="auto"/>
              <w:ind w:firstLine="240" w:firstLineChars="100"/>
              <w:jc w:val="both"/>
              <w:outlineLvl w:val="9"/>
              <w:rPr>
                <w:rFonts w:hint="eastAsia" w:ascii="宋体" w:hAnsi="宋体" w:eastAsia="宋体" w:cs="宋体"/>
                <w:color w:val="auto"/>
                <w:sz w:val="24"/>
                <w:szCs w:val="24"/>
                <w:lang w:val="zh-CN"/>
              </w:rPr>
            </w:pPr>
            <w:bookmarkStart w:id="16" w:name="PO_默认文件内容_8"/>
            <w:r>
              <w:rPr>
                <w:rFonts w:hint="eastAsia" w:ascii="宋体" w:hAnsi="宋体" w:eastAsia="宋体" w:cs="宋体"/>
                <w:color w:val="auto"/>
                <w:sz w:val="24"/>
                <w:szCs w:val="24"/>
                <w:lang w:val="zh-CN"/>
              </w:rPr>
              <w:t>最高限价：</w:t>
            </w:r>
            <w:r>
              <w:rPr>
                <w:rFonts w:hint="eastAsia" w:cs="宋体"/>
                <w:b w:val="0"/>
                <w:bCs w:val="0"/>
                <w:color w:val="auto"/>
                <w:kern w:val="2"/>
                <w:sz w:val="24"/>
                <w:szCs w:val="24"/>
                <w:u w:val="single"/>
                <w:lang w:val="en-US" w:eastAsia="zh-CN" w:bidi="ar-SA"/>
              </w:rPr>
              <w:t>0.9898万元</w:t>
            </w: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zh-CN" w:eastAsia="zh-CN"/>
              </w:rPr>
              <w:t>超过</w:t>
            </w:r>
            <w:r>
              <w:rPr>
                <w:rFonts w:hint="eastAsia" w:ascii="宋体" w:hAnsi="宋体" w:eastAsia="宋体" w:cs="宋体"/>
                <w:color w:val="auto"/>
                <w:sz w:val="24"/>
                <w:szCs w:val="24"/>
                <w:lang w:val="en-US" w:eastAsia="zh-CN"/>
              </w:rPr>
              <w:t>此金额</w:t>
            </w:r>
            <w:r>
              <w:rPr>
                <w:rFonts w:hint="eastAsia" w:ascii="宋体" w:hAnsi="宋体" w:eastAsia="宋体" w:cs="宋体"/>
                <w:color w:val="auto"/>
                <w:sz w:val="24"/>
                <w:szCs w:val="24"/>
                <w:lang w:val="zh-CN" w:eastAsia="zh-CN"/>
              </w:rPr>
              <w:t>的报价无效</w:t>
            </w:r>
            <w:r>
              <w:rPr>
                <w:rFonts w:hint="eastAsia" w:ascii="宋体" w:hAnsi="宋体" w:eastAsia="宋体" w:cs="宋体"/>
                <w:color w:val="auto"/>
                <w:sz w:val="24"/>
                <w:szCs w:val="24"/>
                <w:lang w:val="zh-CN"/>
              </w:rPr>
              <w:t>。</w:t>
            </w:r>
            <w:bookmarkEnd w:id="16"/>
          </w:p>
        </w:tc>
      </w:tr>
      <w:tr w14:paraId="504BF8B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69EA25AD">
            <w:pPr>
              <w:pStyle w:val="87"/>
              <w:spacing w:line="360" w:lineRule="auto"/>
              <w:ind w:right="230"/>
              <w:jc w:val="center"/>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w:t>
            </w:r>
          </w:p>
        </w:tc>
        <w:tc>
          <w:tcPr>
            <w:tcW w:w="2287" w:type="dxa"/>
            <w:vAlign w:val="center"/>
          </w:tcPr>
          <w:p w14:paraId="5342A79D">
            <w:pPr>
              <w:pStyle w:val="87"/>
              <w:spacing w:line="360" w:lineRule="auto"/>
              <w:ind w:left="38"/>
              <w:jc w:val="center"/>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本国工程</w:t>
            </w:r>
          </w:p>
          <w:p w14:paraId="1AAC92EE">
            <w:pPr>
              <w:pStyle w:val="87"/>
              <w:spacing w:line="360" w:lineRule="auto"/>
              <w:ind w:left="38"/>
              <w:jc w:val="center"/>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（实质性要求）</w:t>
            </w:r>
          </w:p>
        </w:tc>
        <w:tc>
          <w:tcPr>
            <w:tcW w:w="6206" w:type="dxa"/>
            <w:vAlign w:val="center"/>
          </w:tcPr>
          <w:p w14:paraId="202929B4">
            <w:pPr>
              <w:pStyle w:val="87"/>
              <w:spacing w:line="360" w:lineRule="auto"/>
              <w:ind w:firstLine="240" w:firstLineChars="100"/>
              <w:jc w:val="both"/>
              <w:outlineLvl w:val="9"/>
              <w:rPr>
                <w:rFonts w:hint="eastAsia" w:ascii="宋体" w:hAnsi="宋体" w:eastAsia="宋体" w:cs="宋体"/>
                <w:color w:val="auto"/>
                <w:sz w:val="24"/>
                <w:szCs w:val="24"/>
                <w:lang w:val="zh-CN"/>
              </w:rPr>
            </w:pPr>
            <w:bookmarkStart w:id="17" w:name="PO_默认文件内容_10"/>
            <w:r>
              <w:rPr>
                <w:rFonts w:hint="eastAsia" w:ascii="宋体" w:hAnsi="宋体" w:eastAsia="宋体" w:cs="宋体"/>
                <w:color w:val="auto"/>
                <w:sz w:val="24"/>
                <w:szCs w:val="24"/>
              </w:rPr>
              <w:t>根据《中华人民共和国政府采购法》第十条的规定，本项目采购本国工程。</w:t>
            </w:r>
            <w:bookmarkEnd w:id="17"/>
          </w:p>
        </w:tc>
      </w:tr>
      <w:tr w14:paraId="6CF0E1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1" w:hRule="atLeast"/>
          <w:jc w:val="center"/>
        </w:trPr>
        <w:tc>
          <w:tcPr>
            <w:tcW w:w="1013" w:type="dxa"/>
            <w:vAlign w:val="center"/>
          </w:tcPr>
          <w:p w14:paraId="25B27CF5">
            <w:pPr>
              <w:pStyle w:val="87"/>
              <w:spacing w:line="360" w:lineRule="auto"/>
              <w:ind w:right="230"/>
              <w:jc w:val="center"/>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w:t>
            </w:r>
          </w:p>
        </w:tc>
        <w:tc>
          <w:tcPr>
            <w:tcW w:w="2287" w:type="dxa"/>
            <w:vAlign w:val="center"/>
          </w:tcPr>
          <w:p w14:paraId="1C9F5025">
            <w:pPr>
              <w:pStyle w:val="87"/>
              <w:spacing w:line="360" w:lineRule="auto"/>
              <w:ind w:left="38"/>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低于成本价</w:t>
            </w:r>
          </w:p>
          <w:p w14:paraId="4432A151">
            <w:pPr>
              <w:pStyle w:val="87"/>
              <w:spacing w:line="360" w:lineRule="auto"/>
              <w:ind w:left="38"/>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不正当竞争预防措施</w:t>
            </w:r>
          </w:p>
          <w:p w14:paraId="30CB6EEC">
            <w:pPr>
              <w:pStyle w:val="87"/>
              <w:spacing w:line="360" w:lineRule="auto"/>
              <w:ind w:left="38"/>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（实质性要求）</w:t>
            </w:r>
          </w:p>
        </w:tc>
        <w:tc>
          <w:tcPr>
            <w:tcW w:w="6206" w:type="dxa"/>
            <w:vAlign w:val="center"/>
          </w:tcPr>
          <w:p w14:paraId="19DD6D9B">
            <w:pPr>
              <w:spacing w:line="360" w:lineRule="auto"/>
              <w:ind w:left="105" w:leftChars="50" w:right="105" w:rightChars="50" w:firstLine="240" w:firstLineChars="100"/>
              <w:jc w:val="left"/>
              <w:outlineLvl w:val="9"/>
              <w:rPr>
                <w:rFonts w:hint="eastAsia" w:ascii="宋体" w:hAnsi="宋体" w:eastAsia="宋体" w:cs="宋体"/>
                <w:color w:val="auto"/>
                <w:kern w:val="0"/>
                <w:sz w:val="24"/>
                <w:szCs w:val="24"/>
              </w:rPr>
            </w:pPr>
            <w:bookmarkStart w:id="18" w:name="PO_默认文件内容_111"/>
            <w:r>
              <w:rPr>
                <w:rFonts w:hint="eastAsia" w:ascii="宋体" w:hAnsi="宋体" w:eastAsia="宋体" w:cs="宋体"/>
                <w:color w:val="auto"/>
                <w:kern w:val="0"/>
                <w:sz w:val="24"/>
                <w:szCs w:val="24"/>
              </w:rPr>
              <w:t>1、</w:t>
            </w:r>
            <w:r>
              <w:rPr>
                <w:rFonts w:hint="eastAsia" w:ascii="宋体" w:hAnsi="宋体" w:cs="宋体"/>
                <w:color w:val="auto"/>
                <w:kern w:val="0"/>
                <w:sz w:val="24"/>
                <w:szCs w:val="24"/>
                <w:lang w:val="en-US" w:eastAsia="zh-CN"/>
              </w:rPr>
              <w:t>评审组认为</w:t>
            </w:r>
            <w:r>
              <w:rPr>
                <w:rFonts w:hint="eastAsia" w:ascii="宋体" w:hAnsi="宋体" w:eastAsia="宋体" w:cs="宋体"/>
                <w:color w:val="auto"/>
                <w:kern w:val="0"/>
                <w:sz w:val="24"/>
                <w:szCs w:val="24"/>
              </w:rPr>
              <w:t>供应商报价有可能影响工程质量或者不能诚信履约的，应当要求其在评审现场合理的时间内提供书面说明，必要时提交相关证明材料；供应商不能证明其报价合理性的，谈判小组应当将其响应文件作为无效处理。供应商的书面说明材料应当按照国家财务会计制度的规定要求，逐项就供应商提供的工程及其有关的货物、服务的主营业务成本、税金及附加、销售费用、管理费用、财务费用等成本构成事项详细陈述。</w:t>
            </w:r>
            <w:bookmarkEnd w:id="18"/>
          </w:p>
          <w:p w14:paraId="68B22C27">
            <w:pPr>
              <w:spacing w:line="360" w:lineRule="auto"/>
              <w:ind w:left="105" w:leftChars="50" w:right="105" w:rightChars="50" w:firstLine="240" w:firstLineChars="100"/>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2、供应商书面说明应当签字确认或者加盖公章，否则无效。书面说明应由其法定代表人/主要负责人或者其授权代表签字确认。</w:t>
            </w:r>
          </w:p>
          <w:p w14:paraId="3B4D7E56">
            <w:pPr>
              <w:spacing w:line="360" w:lineRule="auto"/>
              <w:ind w:left="105" w:leftChars="50" w:right="105" w:rightChars="50" w:firstLine="240" w:firstLineChars="100"/>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rPr>
              <w:t>3、供应商提供书面说明后，谈判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谈判小组应当将其响应文件作为无效处理。</w:t>
            </w:r>
          </w:p>
        </w:tc>
      </w:tr>
      <w:tr w14:paraId="6CA7CC9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21" w:hRule="atLeast"/>
          <w:jc w:val="center"/>
        </w:trPr>
        <w:tc>
          <w:tcPr>
            <w:tcW w:w="1013" w:type="dxa"/>
            <w:vAlign w:val="center"/>
          </w:tcPr>
          <w:p w14:paraId="5A1DF0D8">
            <w:pPr>
              <w:pStyle w:val="87"/>
              <w:spacing w:line="360" w:lineRule="auto"/>
              <w:ind w:right="230"/>
              <w:jc w:val="center"/>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w:t>
            </w:r>
          </w:p>
          <w:p w14:paraId="2B1B9532">
            <w:pPr>
              <w:pStyle w:val="87"/>
              <w:spacing w:line="360" w:lineRule="auto"/>
              <w:ind w:right="230"/>
              <w:jc w:val="center"/>
              <w:outlineLvl w:val="9"/>
              <w:rPr>
                <w:rFonts w:hint="eastAsia" w:ascii="宋体" w:hAnsi="宋体" w:eastAsia="宋体" w:cs="宋体"/>
                <w:color w:val="auto"/>
                <w:sz w:val="24"/>
                <w:szCs w:val="24"/>
                <w:lang w:val="zh-CN"/>
              </w:rPr>
            </w:pPr>
          </w:p>
        </w:tc>
        <w:tc>
          <w:tcPr>
            <w:tcW w:w="2287" w:type="dxa"/>
            <w:vAlign w:val="center"/>
          </w:tcPr>
          <w:p w14:paraId="50F947B6">
            <w:pPr>
              <w:pStyle w:val="87"/>
              <w:spacing w:line="360" w:lineRule="auto"/>
              <w:ind w:left="38"/>
              <w:jc w:val="center"/>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小微企业（监狱企业、残疾人福利性单位视同小微企业</w:t>
            </w:r>
          </w:p>
          <w:p w14:paraId="3B4AE6DD">
            <w:pPr>
              <w:pStyle w:val="87"/>
              <w:spacing w:line="360" w:lineRule="auto"/>
              <w:ind w:left="38"/>
              <w:jc w:val="center"/>
              <w:outlineLvl w:val="9"/>
              <w:rPr>
                <w:rFonts w:hint="eastAsia" w:ascii="宋体" w:hAnsi="宋体" w:eastAsia="宋体" w:cs="宋体"/>
                <w:color w:val="auto"/>
                <w:sz w:val="24"/>
                <w:szCs w:val="24"/>
                <w:lang w:val="zh-CN"/>
              </w:rPr>
            </w:pPr>
          </w:p>
        </w:tc>
        <w:tc>
          <w:tcPr>
            <w:tcW w:w="6206" w:type="dxa"/>
          </w:tcPr>
          <w:p w14:paraId="2E0FA814">
            <w:pPr>
              <w:pStyle w:val="87"/>
              <w:spacing w:line="360" w:lineRule="auto"/>
              <w:ind w:firstLine="240" w:firstLineChars="100"/>
              <w:jc w:val="both"/>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一、小微企业（监狱企业、残疾人福利性单位视同小微企业）价格扣除</w:t>
            </w:r>
          </w:p>
          <w:p w14:paraId="4564F8B3">
            <w:pPr>
              <w:pStyle w:val="87"/>
              <w:spacing w:line="360" w:lineRule="auto"/>
              <w:ind w:firstLine="240" w:firstLineChars="100"/>
              <w:jc w:val="both"/>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1.根据《政府采购促进中小企业发展管理办法》（财库[2020]46号）的规定，对小型和微型企业产品的价格给予10%的价格扣除，用扣除后的价格参与评审。</w:t>
            </w:r>
          </w:p>
          <w:p w14:paraId="61EAE99F">
            <w:pPr>
              <w:pStyle w:val="87"/>
              <w:spacing w:line="360" w:lineRule="auto"/>
              <w:ind w:firstLine="240" w:firstLineChars="100"/>
              <w:jc w:val="both"/>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2.参加政府采购活动的中小企业应当提供《中小企业声明函》原件。监狱企业应当提供《监狱企业证明》原件。残疾人福利性单位应当提供《残疾人福利性单位声明函》原件。</w:t>
            </w:r>
          </w:p>
          <w:p w14:paraId="22F43472">
            <w:pPr>
              <w:pStyle w:val="87"/>
              <w:spacing w:line="360" w:lineRule="auto"/>
              <w:ind w:firstLine="241" w:firstLineChars="100"/>
              <w:jc w:val="both"/>
              <w:outlineLvl w:val="9"/>
              <w:rPr>
                <w:rFonts w:hint="default" w:ascii="宋体" w:hAnsi="宋体" w:eastAsia="宋体" w:cs="宋体"/>
                <w:color w:val="auto"/>
                <w:sz w:val="24"/>
                <w:szCs w:val="24"/>
                <w:lang w:val="en-US" w:eastAsia="zh-CN"/>
              </w:rPr>
            </w:pPr>
            <w:r>
              <w:rPr>
                <w:rFonts w:hint="eastAsia" w:cs="宋体"/>
                <w:b/>
                <w:bCs/>
                <w:color w:val="auto"/>
                <w:sz w:val="24"/>
                <w:szCs w:val="24"/>
                <w:lang w:val="en-US" w:eastAsia="zh-CN"/>
              </w:rPr>
              <w:t>注：本项目专门面向中小企业采购，不再进行价格扣除。</w:t>
            </w:r>
          </w:p>
        </w:tc>
      </w:tr>
      <w:tr w14:paraId="57F3345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57A026FE">
            <w:pPr>
              <w:pStyle w:val="87"/>
              <w:spacing w:line="360" w:lineRule="auto"/>
              <w:ind w:right="230"/>
              <w:jc w:val="center"/>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7</w:t>
            </w:r>
          </w:p>
        </w:tc>
        <w:tc>
          <w:tcPr>
            <w:tcW w:w="2287" w:type="dxa"/>
            <w:vAlign w:val="center"/>
          </w:tcPr>
          <w:p w14:paraId="04578956">
            <w:pPr>
              <w:pStyle w:val="87"/>
              <w:spacing w:line="360" w:lineRule="auto"/>
              <w:ind w:left="38"/>
              <w:jc w:val="center"/>
              <w:outlineLvl w:val="9"/>
              <w:rPr>
                <w:rFonts w:hint="eastAsia" w:ascii="宋体" w:hAnsi="宋体" w:eastAsia="宋体" w:cs="宋体"/>
                <w:color w:val="auto"/>
                <w:sz w:val="24"/>
                <w:szCs w:val="24"/>
                <w:lang w:val="zh-CN"/>
              </w:rPr>
            </w:pPr>
            <w:r>
              <w:rPr>
                <w:rFonts w:hint="eastAsia" w:ascii="宋体" w:hAnsi="宋体" w:eastAsia="宋体" w:cs="宋体"/>
                <w:color w:val="auto"/>
                <w:kern w:val="2"/>
                <w:sz w:val="24"/>
                <w:szCs w:val="24"/>
              </w:rPr>
              <w:t>节能、环保及无线局域网产品政府采购政策</w:t>
            </w:r>
          </w:p>
        </w:tc>
        <w:tc>
          <w:tcPr>
            <w:tcW w:w="6206" w:type="dxa"/>
            <w:vAlign w:val="center"/>
          </w:tcPr>
          <w:p w14:paraId="7E2E759E">
            <w:pPr>
              <w:spacing w:line="340" w:lineRule="exact"/>
              <w:ind w:right="105" w:rightChars="50"/>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一、节能、环保产品政府采购政策：</w:t>
            </w:r>
          </w:p>
          <w:p w14:paraId="15F929C5">
            <w:pPr>
              <w:pStyle w:val="87"/>
              <w:spacing w:line="360" w:lineRule="auto"/>
              <w:ind w:firstLine="240" w:firstLineChars="100"/>
              <w:jc w:val="both"/>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财政部发展改革委生态环境部市场监管总局关于调整优化节能产品、环境标志产品政府采购执行机制的通知》（财库〔2019〕9号）相关要求，依据品目清单和认证证书实施政府优先采购和强制采购。本项目采购的产品属于品目清单范围的，依据国家确定的认证机构出具的、处于有效期之内的节能产品、环境标志产品认证信息，对通过认证的的产品实施政府优先采购或强制采购。</w:t>
            </w:r>
          </w:p>
          <w:p w14:paraId="3A922C07">
            <w:pPr>
              <w:pStyle w:val="87"/>
              <w:spacing w:line="360" w:lineRule="auto"/>
              <w:ind w:firstLine="240" w:firstLineChars="100"/>
              <w:jc w:val="both"/>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采购的产品属于品目清单强制采购范围的，供应商应当在响应文件中提供国家确定的认证机构的认证结果信息发布平台公布的该产品认证信息截图或者打印资料并加盖供应商公章（鲜章），否则其响应文件按无效处理。（实质性要求）--强制节能产品：不涉及</w:t>
            </w:r>
          </w:p>
          <w:p w14:paraId="7636EC52">
            <w:pPr>
              <w:pStyle w:val="87"/>
              <w:spacing w:line="360" w:lineRule="auto"/>
              <w:ind w:firstLine="240" w:firstLineChars="100"/>
              <w:jc w:val="both"/>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本项目采购的产品属于品目清单优先采购范围的，对获得证书的产品实施政府优先采购。---节能环境产品：不涉及</w:t>
            </w:r>
          </w:p>
          <w:p w14:paraId="56B2D1CB">
            <w:pPr>
              <w:pStyle w:val="87"/>
              <w:spacing w:line="360" w:lineRule="auto"/>
              <w:ind w:firstLine="240" w:firstLineChars="100"/>
              <w:jc w:val="both"/>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注：对政府采购节能产品、环境标志产品实施品目清单管理。财政部、发展改革委、生态环境部等部门确定实施政府优先采购和强制采购的产品类别，以品目清单的形式发布并适时调整。</w:t>
            </w:r>
          </w:p>
          <w:p w14:paraId="116221E0">
            <w:pPr>
              <w:spacing w:line="340" w:lineRule="exact"/>
              <w:ind w:right="105" w:rightChars="50"/>
              <w:outlineLvl w:val="9"/>
              <w:rPr>
                <w:rFonts w:hint="eastAsia" w:ascii="宋体" w:hAnsi="宋体" w:eastAsia="宋体" w:cs="宋体"/>
                <w:color w:val="auto"/>
                <w:sz w:val="24"/>
                <w:szCs w:val="24"/>
                <w:lang w:val="zh-CN"/>
              </w:rPr>
            </w:pPr>
            <w:r>
              <w:rPr>
                <w:rFonts w:hint="eastAsia" w:ascii="宋体" w:hAnsi="宋体" w:eastAsia="宋体" w:cs="宋体"/>
                <w:b/>
                <w:bCs/>
                <w:color w:val="auto"/>
                <w:sz w:val="24"/>
                <w:szCs w:val="24"/>
              </w:rPr>
              <w:t>二、无线局域网产品政府采购政策：</w:t>
            </w:r>
            <w:r>
              <w:rPr>
                <w:rFonts w:hint="eastAsia" w:ascii="宋体" w:hAnsi="宋体" w:cs="宋体"/>
                <w:b/>
                <w:bCs/>
                <w:color w:val="auto"/>
                <w:sz w:val="24"/>
                <w:szCs w:val="24"/>
                <w:lang w:val="en-US" w:eastAsia="zh-CN"/>
              </w:rPr>
              <w:t>无</w:t>
            </w:r>
            <w:r>
              <w:rPr>
                <w:rFonts w:hint="eastAsia" w:ascii="宋体" w:hAnsi="宋体" w:eastAsia="宋体" w:cs="宋体"/>
                <w:color w:val="auto"/>
                <w:kern w:val="2"/>
                <w:sz w:val="24"/>
                <w:szCs w:val="24"/>
                <w:lang w:val="en-US" w:eastAsia="zh-CN" w:bidi="ar-SA"/>
              </w:rPr>
              <w:t>。</w:t>
            </w:r>
          </w:p>
        </w:tc>
      </w:tr>
      <w:tr w14:paraId="60D88A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65DBFC38">
            <w:pPr>
              <w:pStyle w:val="87"/>
              <w:spacing w:line="360" w:lineRule="auto"/>
              <w:ind w:right="230"/>
              <w:jc w:val="center"/>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8</w:t>
            </w:r>
          </w:p>
        </w:tc>
        <w:tc>
          <w:tcPr>
            <w:tcW w:w="2287" w:type="dxa"/>
            <w:vAlign w:val="center"/>
          </w:tcPr>
          <w:p w14:paraId="6FF95B13">
            <w:pPr>
              <w:pStyle w:val="87"/>
              <w:spacing w:line="360" w:lineRule="auto"/>
              <w:ind w:left="38"/>
              <w:jc w:val="center"/>
              <w:outlineLvl w:val="9"/>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谈判情况公告</w:t>
            </w:r>
          </w:p>
        </w:tc>
        <w:tc>
          <w:tcPr>
            <w:tcW w:w="6206" w:type="dxa"/>
            <w:vAlign w:val="center"/>
          </w:tcPr>
          <w:p w14:paraId="452438F3">
            <w:pPr>
              <w:keepNext w:val="0"/>
              <w:keepLines w:val="0"/>
              <w:widowControl/>
              <w:suppressLineNumbers w:val="0"/>
              <w:jc w:val="left"/>
              <w:outlineLvl w:val="9"/>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供应商谈判资格要求、</w:t>
            </w:r>
            <w:r>
              <w:rPr>
                <w:rFonts w:hint="eastAsia" w:ascii="宋体" w:hAnsi="宋体" w:eastAsia="宋体" w:cs="宋体"/>
                <w:color w:val="auto"/>
                <w:kern w:val="0"/>
                <w:sz w:val="24"/>
                <w:szCs w:val="24"/>
                <w:lang w:val="en-US" w:eastAsia="zh-CN" w:bidi="ar-SA"/>
              </w:rPr>
              <w:t>报名方式</w:t>
            </w:r>
            <w:r>
              <w:rPr>
                <w:rFonts w:hint="eastAsia" w:ascii="宋体" w:hAnsi="宋体" w:eastAsia="宋体" w:cs="宋体"/>
                <w:color w:val="auto"/>
                <w:kern w:val="0"/>
                <w:sz w:val="24"/>
                <w:szCs w:val="24"/>
                <w:lang w:val="zh-CN" w:eastAsia="zh-CN" w:bidi="ar-SA"/>
              </w:rPr>
              <w:t>、</w:t>
            </w:r>
            <w:r>
              <w:rPr>
                <w:rFonts w:hint="eastAsia" w:ascii="宋体" w:hAnsi="宋体" w:eastAsia="宋体" w:cs="宋体"/>
                <w:color w:val="auto"/>
                <w:kern w:val="0"/>
                <w:sz w:val="24"/>
                <w:szCs w:val="24"/>
                <w:lang w:val="en-US" w:eastAsia="zh-CN" w:bidi="ar-SA"/>
              </w:rPr>
              <w:t>谈判</w:t>
            </w:r>
            <w:r>
              <w:rPr>
                <w:rFonts w:hint="eastAsia" w:ascii="宋体" w:hAnsi="宋体" w:eastAsia="宋体" w:cs="宋体"/>
                <w:color w:val="auto"/>
                <w:kern w:val="0"/>
                <w:sz w:val="24"/>
                <w:szCs w:val="24"/>
                <w:lang w:val="zh-CN" w:eastAsia="zh-CN" w:bidi="ar-SA"/>
              </w:rPr>
              <w:t>结果</w:t>
            </w:r>
            <w:r>
              <w:rPr>
                <w:rFonts w:hint="eastAsia" w:ascii="宋体" w:hAnsi="宋体" w:eastAsia="宋体" w:cs="宋体"/>
                <w:color w:val="auto"/>
                <w:kern w:val="0"/>
                <w:sz w:val="24"/>
                <w:szCs w:val="24"/>
                <w:lang w:val="en-US" w:eastAsia="zh-CN" w:bidi="ar-SA"/>
              </w:rPr>
              <w:t>等在</w:t>
            </w:r>
            <w:r>
              <w:rPr>
                <w:rFonts w:hint="eastAsia" w:ascii="宋体" w:hAnsi="宋体" w:eastAsia="宋体" w:cs="宋体"/>
                <w:b w:val="0"/>
                <w:bCs w:val="0"/>
                <w:color w:val="auto"/>
                <w:kern w:val="2"/>
                <w:sz w:val="24"/>
                <w:szCs w:val="24"/>
                <w:lang w:val="en-US" w:eastAsia="zh-CN" w:bidi="ar-SA"/>
              </w:rPr>
              <w:t>广元市水利局官网（http://water.cngy.gov.cn/index.html)</w:t>
            </w:r>
            <w:r>
              <w:rPr>
                <w:rFonts w:hint="eastAsia" w:ascii="宋体" w:hAnsi="宋体" w:eastAsia="宋体" w:cs="宋体"/>
                <w:color w:val="auto"/>
                <w:kern w:val="0"/>
                <w:sz w:val="24"/>
                <w:szCs w:val="24"/>
                <w:lang w:val="en-US" w:eastAsia="zh-CN" w:bidi="ar-SA"/>
              </w:rPr>
              <w:t>中予以公告</w:t>
            </w:r>
          </w:p>
        </w:tc>
      </w:tr>
      <w:tr w14:paraId="7DB55DE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6" w:hRule="atLeast"/>
          <w:jc w:val="center"/>
        </w:trPr>
        <w:tc>
          <w:tcPr>
            <w:tcW w:w="1013" w:type="dxa"/>
            <w:vAlign w:val="center"/>
          </w:tcPr>
          <w:p w14:paraId="5ECACC8A">
            <w:pPr>
              <w:pStyle w:val="87"/>
              <w:spacing w:line="360" w:lineRule="auto"/>
              <w:ind w:right="230"/>
              <w:jc w:val="center"/>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9 </w:t>
            </w:r>
          </w:p>
        </w:tc>
        <w:tc>
          <w:tcPr>
            <w:tcW w:w="2287" w:type="dxa"/>
            <w:vAlign w:val="center"/>
          </w:tcPr>
          <w:p w14:paraId="31C38909">
            <w:pPr>
              <w:pStyle w:val="87"/>
              <w:spacing w:line="360" w:lineRule="auto"/>
              <w:ind w:firstLine="720" w:firstLineChars="300"/>
              <w:jc w:val="both"/>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履约保证金</w:t>
            </w:r>
          </w:p>
        </w:tc>
        <w:tc>
          <w:tcPr>
            <w:tcW w:w="6206" w:type="dxa"/>
            <w:vAlign w:val="center"/>
          </w:tcPr>
          <w:p w14:paraId="42B35357">
            <w:pPr>
              <w:pStyle w:val="87"/>
              <w:spacing w:line="360" w:lineRule="auto"/>
              <w:ind w:firstLine="240" w:firstLineChars="100"/>
              <w:jc w:val="both"/>
              <w:outlineLvl w:val="9"/>
              <w:rPr>
                <w:rFonts w:hint="eastAsia" w:ascii="宋体" w:hAnsi="宋体" w:eastAsia="宋体" w:cs="宋体"/>
                <w:color w:val="auto"/>
                <w:sz w:val="24"/>
                <w:szCs w:val="24"/>
                <w:lang w:val="en-US" w:eastAsia="zh-CN"/>
              </w:rPr>
            </w:pPr>
            <w:r>
              <w:rPr>
                <w:rFonts w:hint="eastAsia" w:cs="宋体"/>
                <w:color w:val="auto"/>
                <w:sz w:val="24"/>
                <w:szCs w:val="24"/>
                <w:lang w:val="en-US" w:eastAsia="zh-CN"/>
              </w:rPr>
              <w:t>无</w:t>
            </w:r>
          </w:p>
        </w:tc>
      </w:tr>
      <w:tr w14:paraId="16279A7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5" w:hRule="atLeast"/>
          <w:jc w:val="center"/>
        </w:trPr>
        <w:tc>
          <w:tcPr>
            <w:tcW w:w="1013" w:type="dxa"/>
            <w:vAlign w:val="center"/>
          </w:tcPr>
          <w:p w14:paraId="1D8E448E">
            <w:pPr>
              <w:pStyle w:val="87"/>
              <w:spacing w:line="360" w:lineRule="auto"/>
              <w:ind w:right="230"/>
              <w:jc w:val="center"/>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10</w:t>
            </w:r>
          </w:p>
        </w:tc>
        <w:tc>
          <w:tcPr>
            <w:tcW w:w="2287" w:type="dxa"/>
            <w:vAlign w:val="center"/>
          </w:tcPr>
          <w:p w14:paraId="3B582017">
            <w:pPr>
              <w:pStyle w:val="87"/>
              <w:spacing w:line="360" w:lineRule="auto"/>
              <w:ind w:left="38"/>
              <w:jc w:val="center"/>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rPr>
              <w:t>谈判</w:t>
            </w:r>
            <w:r>
              <w:rPr>
                <w:rFonts w:hint="eastAsia" w:ascii="宋体" w:hAnsi="宋体" w:eastAsia="宋体" w:cs="宋体"/>
                <w:color w:val="auto"/>
                <w:sz w:val="24"/>
                <w:szCs w:val="24"/>
                <w:lang w:val="zh-CN"/>
              </w:rPr>
              <w:t>文件咨询</w:t>
            </w:r>
          </w:p>
        </w:tc>
        <w:tc>
          <w:tcPr>
            <w:tcW w:w="6206" w:type="dxa"/>
            <w:vAlign w:val="center"/>
          </w:tcPr>
          <w:p w14:paraId="27D28FB6">
            <w:pPr>
              <w:pStyle w:val="87"/>
              <w:spacing w:line="360" w:lineRule="auto"/>
              <w:ind w:firstLine="240" w:firstLineChars="100"/>
              <w:jc w:val="both"/>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联系人：</w:t>
            </w:r>
            <w:r>
              <w:rPr>
                <w:rFonts w:hint="eastAsia" w:cs="宋体"/>
                <w:color w:val="auto"/>
                <w:sz w:val="24"/>
                <w:szCs w:val="24"/>
                <w:lang w:val="en-US" w:eastAsia="zh-CN"/>
              </w:rPr>
              <w:t>王艳女士</w:t>
            </w:r>
            <w:r>
              <w:rPr>
                <w:rFonts w:hint="eastAsia" w:ascii="宋体" w:hAnsi="宋体" w:eastAsia="宋体" w:cs="宋体"/>
                <w:color w:val="auto"/>
                <w:sz w:val="24"/>
                <w:szCs w:val="24"/>
                <w:lang w:val="zh-CN"/>
              </w:rPr>
              <w:t>。</w:t>
            </w:r>
          </w:p>
          <w:p w14:paraId="3675B569">
            <w:pPr>
              <w:pStyle w:val="87"/>
              <w:spacing w:line="360" w:lineRule="auto"/>
              <w:ind w:firstLine="240" w:firstLineChars="100"/>
              <w:jc w:val="both"/>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联系电话：</w:t>
            </w:r>
            <w:r>
              <w:rPr>
                <w:rFonts w:hint="eastAsia" w:cs="宋体"/>
                <w:color w:val="auto"/>
                <w:sz w:val="24"/>
                <w:szCs w:val="24"/>
                <w:lang w:val="en-US" w:eastAsia="zh-CN"/>
              </w:rPr>
              <w:t>15196100206</w:t>
            </w:r>
            <w:r>
              <w:rPr>
                <w:rFonts w:hint="eastAsia" w:ascii="宋体" w:hAnsi="宋体" w:eastAsia="宋体" w:cs="宋体"/>
                <w:color w:val="auto"/>
                <w:sz w:val="24"/>
                <w:szCs w:val="24"/>
                <w:lang w:val="zh-CN"/>
              </w:rPr>
              <w:t>。</w:t>
            </w:r>
          </w:p>
        </w:tc>
      </w:tr>
      <w:tr w14:paraId="3ED837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04264D9F">
            <w:pPr>
              <w:pStyle w:val="87"/>
              <w:spacing w:line="360" w:lineRule="auto"/>
              <w:ind w:right="230"/>
              <w:jc w:val="center"/>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11</w:t>
            </w:r>
          </w:p>
        </w:tc>
        <w:tc>
          <w:tcPr>
            <w:tcW w:w="2287" w:type="dxa"/>
            <w:vAlign w:val="center"/>
          </w:tcPr>
          <w:p w14:paraId="51DBFAC6">
            <w:pPr>
              <w:pStyle w:val="87"/>
              <w:spacing w:line="360" w:lineRule="auto"/>
              <w:ind w:left="38"/>
              <w:jc w:val="center"/>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谈判过程、结果咨询</w:t>
            </w:r>
          </w:p>
        </w:tc>
        <w:tc>
          <w:tcPr>
            <w:tcW w:w="6206" w:type="dxa"/>
            <w:vAlign w:val="center"/>
          </w:tcPr>
          <w:p w14:paraId="39554C9B">
            <w:pPr>
              <w:pStyle w:val="87"/>
              <w:spacing w:line="360" w:lineRule="auto"/>
              <w:ind w:firstLine="240" w:firstLineChars="100"/>
              <w:jc w:val="both"/>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联系人：</w:t>
            </w:r>
            <w:r>
              <w:rPr>
                <w:rFonts w:hint="eastAsia" w:cs="宋体"/>
                <w:color w:val="auto"/>
                <w:sz w:val="24"/>
                <w:szCs w:val="24"/>
                <w:lang w:val="en-US" w:eastAsia="zh-CN"/>
              </w:rPr>
              <w:t>王艳女士</w:t>
            </w:r>
            <w:r>
              <w:rPr>
                <w:rFonts w:hint="eastAsia" w:ascii="宋体" w:hAnsi="宋体" w:eastAsia="宋体" w:cs="宋体"/>
                <w:color w:val="auto"/>
                <w:sz w:val="24"/>
                <w:szCs w:val="24"/>
                <w:lang w:val="zh-CN"/>
              </w:rPr>
              <w:t>。</w:t>
            </w:r>
          </w:p>
          <w:p w14:paraId="6FFA92B2">
            <w:pPr>
              <w:pStyle w:val="87"/>
              <w:spacing w:line="360" w:lineRule="auto"/>
              <w:ind w:firstLine="240" w:firstLineChars="100"/>
              <w:jc w:val="both"/>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联系电话：</w:t>
            </w:r>
            <w:r>
              <w:rPr>
                <w:rFonts w:hint="eastAsia" w:cs="宋体"/>
                <w:color w:val="auto"/>
                <w:sz w:val="24"/>
                <w:szCs w:val="24"/>
                <w:lang w:val="en-US" w:eastAsia="zh-CN"/>
              </w:rPr>
              <w:t>15196100206</w:t>
            </w:r>
            <w:r>
              <w:rPr>
                <w:rFonts w:hint="eastAsia" w:ascii="宋体" w:hAnsi="宋体" w:eastAsia="宋体" w:cs="宋体"/>
                <w:color w:val="auto"/>
                <w:sz w:val="24"/>
                <w:szCs w:val="24"/>
                <w:lang w:val="zh-CN"/>
              </w:rPr>
              <w:t>。</w:t>
            </w:r>
          </w:p>
        </w:tc>
      </w:tr>
      <w:tr w14:paraId="50F123A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42" w:hRule="atLeast"/>
          <w:jc w:val="center"/>
        </w:trPr>
        <w:tc>
          <w:tcPr>
            <w:tcW w:w="1013" w:type="dxa"/>
            <w:vAlign w:val="center"/>
          </w:tcPr>
          <w:p w14:paraId="0AB2214B">
            <w:pPr>
              <w:pStyle w:val="87"/>
              <w:spacing w:line="360" w:lineRule="auto"/>
              <w:ind w:right="230"/>
              <w:jc w:val="center"/>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12</w:t>
            </w:r>
          </w:p>
        </w:tc>
        <w:tc>
          <w:tcPr>
            <w:tcW w:w="2287" w:type="dxa"/>
            <w:vAlign w:val="center"/>
          </w:tcPr>
          <w:p w14:paraId="3900AF8C">
            <w:pPr>
              <w:pStyle w:val="87"/>
              <w:spacing w:line="360" w:lineRule="auto"/>
              <w:ind w:left="38"/>
              <w:jc w:val="center"/>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成交通知书领取</w:t>
            </w:r>
          </w:p>
        </w:tc>
        <w:tc>
          <w:tcPr>
            <w:tcW w:w="6206" w:type="dxa"/>
            <w:vAlign w:val="center"/>
          </w:tcPr>
          <w:p w14:paraId="2A14A173">
            <w:pPr>
              <w:pStyle w:val="87"/>
              <w:spacing w:line="360" w:lineRule="auto"/>
              <w:ind w:left="60" w:leftChars="-200" w:hanging="480" w:hangingChars="200"/>
              <w:jc w:val="left"/>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采</w:t>
            </w:r>
            <w:r>
              <w:rPr>
                <w:rFonts w:hint="eastAsia" w:cs="宋体"/>
                <w:color w:val="auto"/>
                <w:sz w:val="24"/>
                <w:szCs w:val="24"/>
                <w:lang w:val="en-US" w:eastAsia="zh-CN"/>
              </w:rPr>
              <w:t xml:space="preserve">  </w:t>
            </w:r>
            <w:r>
              <w:rPr>
                <w:rFonts w:hint="eastAsia" w:ascii="宋体" w:hAnsi="宋体" w:eastAsia="宋体" w:cs="宋体"/>
                <w:color w:val="auto"/>
                <w:sz w:val="24"/>
                <w:szCs w:val="24"/>
                <w:lang w:val="zh-CN" w:eastAsia="zh-CN"/>
              </w:rPr>
              <w:t>成交结果公告在</w:t>
            </w:r>
            <w:r>
              <w:rPr>
                <w:rFonts w:hint="eastAsia" w:ascii="宋体" w:hAnsi="宋体" w:eastAsia="宋体" w:cs="宋体"/>
                <w:b w:val="0"/>
                <w:bCs w:val="0"/>
                <w:color w:val="auto"/>
                <w:kern w:val="2"/>
                <w:sz w:val="24"/>
                <w:szCs w:val="24"/>
                <w:lang w:val="en-US" w:eastAsia="zh-CN" w:bidi="ar-SA"/>
              </w:rPr>
              <w:t>广元市水利局官网（http://water.cngy.gov.cn/index.html)</w:t>
            </w:r>
            <w:r>
              <w:rPr>
                <w:rFonts w:hint="eastAsia" w:ascii="宋体" w:hAnsi="宋体" w:eastAsia="宋体" w:cs="宋体"/>
                <w:color w:val="auto"/>
                <w:sz w:val="24"/>
                <w:szCs w:val="24"/>
                <w:lang w:val="zh-CN" w:eastAsia="zh-CN"/>
              </w:rPr>
              <w:t>发布后，请成交供应商凭有效身份证明证件到</w:t>
            </w:r>
            <w:r>
              <w:rPr>
                <w:rFonts w:hint="eastAsia" w:cs="宋体"/>
                <w:color w:val="auto"/>
                <w:sz w:val="24"/>
                <w:szCs w:val="24"/>
                <w:lang w:val="zh-CN" w:eastAsia="zh-CN"/>
              </w:rPr>
              <w:t>四川天宇华辰建设工程有限公司</w:t>
            </w:r>
            <w:r>
              <w:rPr>
                <w:rFonts w:hint="eastAsia" w:ascii="宋体" w:hAnsi="宋体" w:eastAsia="宋体" w:cs="宋体"/>
                <w:color w:val="auto"/>
                <w:sz w:val="24"/>
                <w:szCs w:val="24"/>
                <w:lang w:val="zh-CN" w:eastAsia="zh-CN"/>
              </w:rPr>
              <w:t>领取成交通知书。</w:t>
            </w:r>
          </w:p>
          <w:p w14:paraId="6D027ABC">
            <w:pPr>
              <w:pStyle w:val="87"/>
              <w:spacing w:line="360" w:lineRule="auto"/>
              <w:ind w:left="60" w:leftChars="-200" w:hanging="480" w:hangingChars="200"/>
              <w:jc w:val="left"/>
              <w:outlineLvl w:val="9"/>
              <w:rPr>
                <w:rFonts w:hint="eastAsia" w:ascii="宋体" w:hAnsi="宋体" w:eastAsia="宋体" w:cs="宋体"/>
                <w:color w:val="auto"/>
                <w:sz w:val="24"/>
                <w:szCs w:val="24"/>
                <w:lang w:val="zh-CN"/>
              </w:rPr>
            </w:pPr>
          </w:p>
        </w:tc>
      </w:tr>
      <w:tr w14:paraId="278DE05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5A689813">
            <w:pPr>
              <w:pStyle w:val="87"/>
              <w:spacing w:line="360" w:lineRule="auto"/>
              <w:ind w:right="230"/>
              <w:jc w:val="center"/>
              <w:outlineLvl w:val="9"/>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lang w:val="en-US" w:eastAsia="zh-CN"/>
              </w:rPr>
              <w:t>3</w:t>
            </w:r>
          </w:p>
        </w:tc>
        <w:tc>
          <w:tcPr>
            <w:tcW w:w="2287" w:type="dxa"/>
            <w:vAlign w:val="center"/>
          </w:tcPr>
          <w:p w14:paraId="7B8D76E3">
            <w:pPr>
              <w:pStyle w:val="87"/>
              <w:spacing w:line="360" w:lineRule="auto"/>
              <w:ind w:left="96"/>
              <w:jc w:val="center"/>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供应商询问和质疑</w:t>
            </w:r>
          </w:p>
        </w:tc>
        <w:tc>
          <w:tcPr>
            <w:tcW w:w="6206" w:type="dxa"/>
            <w:vAlign w:val="center"/>
          </w:tcPr>
          <w:p w14:paraId="57394CA7">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line="360" w:lineRule="auto"/>
              <w:ind w:left="0" w:right="-256" w:firstLine="240" w:firstLineChars="100"/>
              <w:outlineLvl w:val="9"/>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对竞争性谈判文件技术指标、参数，资质要求，以及其他采购需求提出的询问和质疑向采购人提出，由</w:t>
            </w:r>
            <w:r>
              <w:rPr>
                <w:rFonts w:hint="eastAsia" w:ascii="宋体" w:hAnsi="宋体" w:eastAsia="宋体" w:cs="宋体"/>
                <w:color w:val="auto"/>
                <w:sz w:val="24"/>
                <w:szCs w:val="24"/>
                <w:lang w:val="zh-CN" w:eastAsia="zh-CN"/>
              </w:rPr>
              <w:t>采购人按照相关规定作出答复。</w:t>
            </w:r>
          </w:p>
          <w:p w14:paraId="697B944F">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line="360" w:lineRule="auto"/>
              <w:ind w:left="0" w:right="-256" w:firstLine="240" w:firstLineChars="1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（1）提出质疑时间：报名成功并获取采购文件之日起七个工作日内。</w:t>
            </w:r>
          </w:p>
          <w:p w14:paraId="0CD56EA9">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line="360" w:lineRule="auto"/>
              <w:ind w:left="0" w:right="-256" w:firstLine="240" w:firstLineChars="1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（2）质疑函接收方式：供应商的质疑函应以书面形式现场或邮寄递交.</w:t>
            </w:r>
          </w:p>
          <w:p w14:paraId="4F349996">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line="360" w:lineRule="auto"/>
              <w:ind w:left="0" w:right="-256" w:firstLine="240" w:firstLineChars="1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（3）递交地址：</w:t>
            </w:r>
            <w:r>
              <w:rPr>
                <w:rFonts w:hint="eastAsia" w:ascii="宋体" w:hAnsi="宋体" w:cs="宋体"/>
                <w:color w:val="auto"/>
                <w:sz w:val="24"/>
                <w:szCs w:val="24"/>
                <w:lang w:val="en-US" w:eastAsia="zh-CN"/>
              </w:rPr>
              <w:t>广元市利州区利州东路一段659号</w:t>
            </w:r>
          </w:p>
          <w:p w14:paraId="6B75D25F">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line="360" w:lineRule="auto"/>
              <w:ind w:left="0" w:right="-256" w:firstLine="240" w:firstLineChars="1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2.对采购过程和采购结果的询问和质疑向采购代理机构提出，由采购代理机构按照相关规定作出答复。</w:t>
            </w:r>
          </w:p>
          <w:p w14:paraId="70A87882">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line="360" w:lineRule="auto"/>
              <w:ind w:left="0" w:right="-256" w:firstLine="240" w:firstLineChars="1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（1）对采购过程提出质疑时间：为各采购程序环节结束之日起七个工作日内。</w:t>
            </w:r>
          </w:p>
          <w:p w14:paraId="12599C7C">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line="360" w:lineRule="auto"/>
              <w:ind w:left="0" w:right="-256" w:firstLine="240" w:firstLineChars="1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（2）对采购结果提出质疑时间：为成交结果公告发布次日后七个工作日内。</w:t>
            </w:r>
          </w:p>
          <w:p w14:paraId="76A3851E">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line="360" w:lineRule="auto"/>
              <w:ind w:left="0" w:right="-256" w:firstLine="240" w:firstLineChars="1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质疑函接收方式：供应商的质疑函应以书面形式现场或邮寄递交</w:t>
            </w:r>
          </w:p>
          <w:p w14:paraId="3E196C3E">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line="360" w:lineRule="auto"/>
              <w:ind w:left="0" w:right="-256" w:firstLine="240" w:firstLineChars="100"/>
              <w:outlineLvl w:val="9"/>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递交地址：</w:t>
            </w:r>
            <w:r>
              <w:rPr>
                <w:rFonts w:hint="eastAsia" w:ascii="宋体" w:hAnsi="宋体" w:cs="宋体"/>
                <w:color w:val="auto"/>
                <w:sz w:val="24"/>
                <w:szCs w:val="24"/>
                <w:lang w:val="zh-CN" w:eastAsia="zh-CN"/>
              </w:rPr>
              <w:t>四川天宇华辰建设工程有限公司</w:t>
            </w:r>
          </w:p>
          <w:p w14:paraId="5F2FC05D">
            <w:pPr>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line="360" w:lineRule="auto"/>
              <w:ind w:right="-256"/>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注：</w:t>
            </w:r>
            <w:r>
              <w:rPr>
                <w:rFonts w:hint="eastAsia" w:ascii="宋体" w:hAnsi="宋体" w:eastAsia="宋体" w:cs="宋体"/>
                <w:color w:val="auto"/>
                <w:kern w:val="0"/>
                <w:sz w:val="24"/>
                <w:szCs w:val="24"/>
                <w:lang w:val="zh-CN" w:eastAsia="zh-CN" w:bidi="ar-SA"/>
              </w:rPr>
              <w:t>根据《中华人民共和国政府采购法》的规定，供应商质疑不得超出竞争性谈判文件、采购过程、采购结果的范围。供应商针对同一采购程序环节的质疑应在法定质疑期内一次性提出。</w:t>
            </w:r>
          </w:p>
        </w:tc>
      </w:tr>
      <w:tr w14:paraId="0238DF8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324DEABC">
            <w:pPr>
              <w:pStyle w:val="87"/>
              <w:spacing w:line="360" w:lineRule="auto"/>
              <w:ind w:right="230"/>
              <w:jc w:val="center"/>
              <w:outlineLvl w:val="9"/>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1</w:t>
            </w:r>
            <w:r>
              <w:rPr>
                <w:rFonts w:hint="eastAsia" w:cs="宋体"/>
                <w:color w:val="auto"/>
                <w:sz w:val="24"/>
                <w:szCs w:val="24"/>
                <w:lang w:val="en-US" w:eastAsia="zh-CN"/>
              </w:rPr>
              <w:t>4</w:t>
            </w:r>
          </w:p>
        </w:tc>
        <w:tc>
          <w:tcPr>
            <w:tcW w:w="2287" w:type="dxa"/>
            <w:vAlign w:val="center"/>
          </w:tcPr>
          <w:p w14:paraId="43512C70">
            <w:pPr>
              <w:pStyle w:val="87"/>
              <w:spacing w:line="360" w:lineRule="auto"/>
              <w:ind w:left="96"/>
              <w:jc w:val="center"/>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代理服务费</w:t>
            </w:r>
          </w:p>
        </w:tc>
        <w:tc>
          <w:tcPr>
            <w:tcW w:w="6206" w:type="dxa"/>
            <w:vAlign w:val="center"/>
          </w:tcPr>
          <w:p w14:paraId="27789826">
            <w:pPr>
              <w:pStyle w:val="87"/>
              <w:spacing w:line="360" w:lineRule="auto"/>
              <w:ind w:left="155" w:leftChars="74" w:firstLine="64" w:firstLineChars="27"/>
              <w:jc w:val="both"/>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招标代理服务费参考 &lt;国家计委关于印发《招标代理服务收费管理暂行办法》的通知&gt;计价格(2002〕1980号计算相应费用,并按下浮</w:t>
            </w:r>
            <w:r>
              <w:rPr>
                <w:rFonts w:hint="eastAsia" w:cs="宋体"/>
                <w:color w:val="auto"/>
                <w:sz w:val="24"/>
                <w:szCs w:val="24"/>
                <w:lang w:val="en-US" w:eastAsia="zh-CN"/>
              </w:rPr>
              <w:t>20%</w:t>
            </w:r>
            <w:r>
              <w:rPr>
                <w:rFonts w:hint="eastAsia" w:ascii="宋体" w:hAnsi="宋体" w:eastAsia="宋体" w:cs="宋体"/>
                <w:color w:val="auto"/>
                <w:sz w:val="24"/>
                <w:szCs w:val="24"/>
                <w:lang w:val="zh-CN" w:eastAsia="zh-CN"/>
              </w:rPr>
              <w:t>后的报价结算</w:t>
            </w:r>
            <w:r>
              <w:rPr>
                <w:rFonts w:hint="eastAsia" w:cs="宋体"/>
                <w:color w:val="auto"/>
                <w:sz w:val="24"/>
                <w:szCs w:val="24"/>
                <w:lang w:val="zh-CN" w:eastAsia="zh-CN"/>
              </w:rPr>
              <w:t>，</w:t>
            </w:r>
            <w:r>
              <w:rPr>
                <w:rFonts w:hint="eastAsia" w:ascii="宋体" w:hAnsi="宋体" w:eastAsia="宋体" w:cs="宋体"/>
                <w:color w:val="auto"/>
                <w:sz w:val="24"/>
                <w:szCs w:val="24"/>
                <w:lang w:val="zh-CN"/>
              </w:rPr>
              <w:t>代理服务费</w:t>
            </w:r>
            <w:r>
              <w:rPr>
                <w:rFonts w:hint="eastAsia" w:cs="宋体"/>
                <w:color w:val="auto"/>
                <w:sz w:val="24"/>
                <w:szCs w:val="24"/>
                <w:lang w:val="zh-CN"/>
              </w:rPr>
              <w:t>由项目业主支付</w:t>
            </w:r>
            <w:r>
              <w:rPr>
                <w:rFonts w:hint="eastAsia" w:ascii="宋体" w:hAnsi="宋体" w:eastAsia="宋体" w:cs="宋体"/>
                <w:color w:val="auto"/>
                <w:sz w:val="24"/>
                <w:szCs w:val="24"/>
                <w:lang w:val="zh-CN" w:eastAsia="zh-CN"/>
              </w:rPr>
              <w:t>。</w:t>
            </w:r>
          </w:p>
        </w:tc>
      </w:tr>
      <w:tr w14:paraId="578BFE2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50" w:hRule="atLeast"/>
          <w:jc w:val="center"/>
        </w:trPr>
        <w:tc>
          <w:tcPr>
            <w:tcW w:w="1013" w:type="dxa"/>
            <w:vAlign w:val="center"/>
          </w:tcPr>
          <w:p w14:paraId="15F9529A">
            <w:pPr>
              <w:pStyle w:val="87"/>
              <w:spacing w:line="360" w:lineRule="auto"/>
              <w:ind w:right="230"/>
              <w:jc w:val="center"/>
              <w:outlineLvl w:val="9"/>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1</w:t>
            </w:r>
            <w:r>
              <w:rPr>
                <w:rFonts w:hint="eastAsia" w:cs="宋体"/>
                <w:color w:val="auto"/>
                <w:sz w:val="24"/>
                <w:szCs w:val="24"/>
                <w:lang w:val="en-US" w:eastAsia="zh-CN"/>
              </w:rPr>
              <w:t>5</w:t>
            </w:r>
          </w:p>
        </w:tc>
        <w:tc>
          <w:tcPr>
            <w:tcW w:w="2287" w:type="dxa"/>
            <w:vAlign w:val="center"/>
          </w:tcPr>
          <w:p w14:paraId="32DD0A33">
            <w:pPr>
              <w:pStyle w:val="87"/>
              <w:spacing w:line="360" w:lineRule="auto"/>
              <w:ind w:left="96"/>
              <w:jc w:val="center"/>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合同分包</w:t>
            </w:r>
          </w:p>
        </w:tc>
        <w:tc>
          <w:tcPr>
            <w:tcW w:w="6206" w:type="dxa"/>
            <w:vAlign w:val="center"/>
          </w:tcPr>
          <w:p w14:paraId="6B6763DE">
            <w:pPr>
              <w:pStyle w:val="87"/>
              <w:spacing w:line="360" w:lineRule="auto"/>
              <w:ind w:left="155" w:leftChars="74" w:firstLine="64" w:firstLineChars="27"/>
              <w:jc w:val="both"/>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本项目不接受合同分包。</w:t>
            </w:r>
          </w:p>
        </w:tc>
      </w:tr>
      <w:tr w14:paraId="30844C5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3B7816E5">
            <w:pPr>
              <w:pStyle w:val="87"/>
              <w:spacing w:line="360" w:lineRule="auto"/>
              <w:ind w:right="230" w:rightChars="0"/>
              <w:jc w:val="center"/>
              <w:outlineLvl w:val="9"/>
              <w:rPr>
                <w:rFonts w:hint="default" w:ascii="宋体" w:hAnsi="宋体" w:eastAsia="宋体" w:cs="宋体"/>
                <w:color w:val="auto"/>
                <w:sz w:val="21"/>
                <w:szCs w:val="21"/>
                <w:lang w:val="en-US" w:eastAsia="zh-CN"/>
              </w:rPr>
            </w:pPr>
            <w:r>
              <w:rPr>
                <w:rFonts w:hint="eastAsia" w:cs="宋体"/>
                <w:color w:val="auto"/>
                <w:sz w:val="21"/>
                <w:szCs w:val="21"/>
                <w:lang w:val="en-US" w:eastAsia="zh-CN"/>
              </w:rPr>
              <w:t>16</w:t>
            </w:r>
          </w:p>
        </w:tc>
        <w:tc>
          <w:tcPr>
            <w:tcW w:w="2287" w:type="dxa"/>
            <w:vAlign w:val="center"/>
          </w:tcPr>
          <w:p w14:paraId="5EB8FDAF">
            <w:pPr>
              <w:spacing w:line="360" w:lineRule="exact"/>
              <w:ind w:firstLine="420" w:firstLineChars="200"/>
              <w:outlineLvl w:val="9"/>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开标手持件要求</w:t>
            </w:r>
          </w:p>
          <w:p w14:paraId="681D96ED">
            <w:pPr>
              <w:spacing w:line="360" w:lineRule="exact"/>
              <w:ind w:firstLine="420" w:firstLineChars="200"/>
              <w:outlineLvl w:val="9"/>
              <w:rPr>
                <w:rFonts w:hint="eastAsia" w:ascii="宋体" w:hAnsi="宋体" w:eastAsia="宋体" w:cs="宋体"/>
                <w:color w:val="auto"/>
                <w:kern w:val="0"/>
                <w:sz w:val="21"/>
                <w:szCs w:val="21"/>
                <w:lang w:val="en-US" w:eastAsia="zh-CN" w:bidi="ar-SA"/>
              </w:rPr>
            </w:pPr>
          </w:p>
        </w:tc>
        <w:tc>
          <w:tcPr>
            <w:tcW w:w="6206" w:type="dxa"/>
            <w:vAlign w:val="center"/>
          </w:tcPr>
          <w:p w14:paraId="664689D4">
            <w:pPr>
              <w:spacing w:line="360" w:lineRule="exact"/>
              <w:ind w:firstLine="480" w:firstLineChars="200"/>
              <w:outlineLvl w:val="9"/>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4"/>
                <w:szCs w:val="24"/>
                <w:lang w:val="en-US" w:eastAsia="zh-CN" w:bidi="ar-SA"/>
              </w:rPr>
              <w:t>递交响应文件必须在递交响应文件截止时间送达开标地点，递交响应文件时需另单独准备手持件（①法定代表人/单位负责人身份证复印件②法定代表人/单位负责人委托书原件，若是法人递交响应文件的，只需准备法定代表人/单位负责人身份证明书原件即可）与响应文件同时递交给项目工作人员，逾期送达或不递交手持件的不予接收！</w:t>
            </w:r>
          </w:p>
        </w:tc>
      </w:tr>
      <w:tr w14:paraId="67B4736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28" w:hRule="atLeast"/>
          <w:jc w:val="center"/>
        </w:trPr>
        <w:tc>
          <w:tcPr>
            <w:tcW w:w="1013" w:type="dxa"/>
            <w:vAlign w:val="center"/>
          </w:tcPr>
          <w:p w14:paraId="2063795D">
            <w:pPr>
              <w:pStyle w:val="87"/>
              <w:spacing w:line="360" w:lineRule="auto"/>
              <w:ind w:right="230" w:rightChars="0"/>
              <w:jc w:val="center"/>
              <w:outlineLvl w:val="9"/>
              <w:rPr>
                <w:rFonts w:hint="default" w:cs="宋体"/>
                <w:color w:val="auto"/>
                <w:sz w:val="24"/>
                <w:szCs w:val="24"/>
                <w:lang w:val="en-US" w:eastAsia="zh-CN"/>
              </w:rPr>
            </w:pPr>
            <w:r>
              <w:rPr>
                <w:rFonts w:hint="eastAsia" w:cs="宋体"/>
                <w:color w:val="auto"/>
                <w:sz w:val="24"/>
                <w:szCs w:val="24"/>
                <w:lang w:val="en-US" w:eastAsia="zh-CN"/>
              </w:rPr>
              <w:t>17</w:t>
            </w:r>
          </w:p>
        </w:tc>
        <w:tc>
          <w:tcPr>
            <w:tcW w:w="2287" w:type="dxa"/>
            <w:vAlign w:val="center"/>
          </w:tcPr>
          <w:p w14:paraId="39C22021">
            <w:pPr>
              <w:spacing w:line="360" w:lineRule="exact"/>
              <w:ind w:firstLine="480" w:firstLineChars="200"/>
              <w:outlineLvl w:val="9"/>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en-US" w:eastAsia="zh-CN" w:bidi="ar-SA"/>
              </w:rPr>
              <w:t>本项目所属行业</w:t>
            </w:r>
          </w:p>
        </w:tc>
        <w:tc>
          <w:tcPr>
            <w:tcW w:w="6206" w:type="dxa"/>
            <w:vAlign w:val="center"/>
          </w:tcPr>
          <w:p w14:paraId="2EACA3B8">
            <w:pPr>
              <w:spacing w:line="360" w:lineRule="exact"/>
              <w:ind w:firstLine="480" w:firstLineChars="200"/>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本项目所属行业：</w:t>
            </w:r>
            <w:r>
              <w:rPr>
                <w:rFonts w:hint="eastAsia" w:ascii="宋体" w:hAnsi="宋体" w:eastAsia="宋体" w:cs="宋体"/>
                <w:b/>
                <w:bCs/>
                <w:color w:val="auto"/>
                <w:kern w:val="0"/>
                <w:sz w:val="24"/>
                <w:szCs w:val="24"/>
                <w:lang w:val="en-US" w:eastAsia="zh-CN" w:bidi="ar-SA"/>
              </w:rPr>
              <w:t xml:space="preserve"> </w:t>
            </w:r>
            <w:r>
              <w:rPr>
                <w:rFonts w:hint="eastAsia" w:ascii="宋体" w:hAnsi="宋体" w:cs="宋体"/>
                <w:b/>
                <w:bCs/>
                <w:color w:val="auto"/>
                <w:kern w:val="0"/>
                <w:sz w:val="24"/>
                <w:szCs w:val="24"/>
                <w:lang w:val="en-US" w:eastAsia="zh-CN" w:bidi="ar-SA"/>
              </w:rPr>
              <w:t>其他未列明行业</w:t>
            </w:r>
            <w:r>
              <w:rPr>
                <w:rFonts w:hint="eastAsia" w:ascii="宋体" w:hAnsi="宋体" w:eastAsia="宋体" w:cs="宋体"/>
                <w:b/>
                <w:bCs/>
                <w:color w:val="auto"/>
                <w:kern w:val="0"/>
                <w:sz w:val="24"/>
                <w:szCs w:val="24"/>
                <w:lang w:val="en-US" w:eastAsia="zh-CN" w:bidi="ar-SA"/>
              </w:rPr>
              <w:t xml:space="preserve"> </w:t>
            </w:r>
          </w:p>
          <w:p w14:paraId="61A2E1E8">
            <w:pPr>
              <w:spacing w:line="360" w:lineRule="exact"/>
              <w:ind w:firstLine="480" w:firstLineChars="200"/>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行业包括：农、林、牧、渔业，工业（包括采矿业，制造业，电力、热力、燃气 及水生产和供应业），建筑业，批发业，零售业，交通运输业（不含铁路运输业）， 仓储业，邮政业，住宿业，餐饮业，信息传输业（包括电信、互联网和相关服务）， 软件和信息技术服务业，房地产开发经营，物业管理，租赁和商务服务业，其他未列明行业（包括科学研究和技术服务业，水利、环境和公共设施管理业，居民 服务、修理和其他服务业，社会工作，文化、体育和娱乐业等）。</w:t>
            </w:r>
          </w:p>
          <w:p w14:paraId="7B066F0A">
            <w:pPr>
              <w:keepNext w:val="0"/>
              <w:keepLines w:val="0"/>
              <w:pageBreakBefore w:val="0"/>
              <w:widowControl w:val="0"/>
              <w:kinsoku/>
              <w:wordWrap/>
              <w:overflowPunct/>
              <w:topLinePunct w:val="0"/>
              <w:autoSpaceDE/>
              <w:autoSpaceDN/>
              <w:bidi w:val="0"/>
              <w:adjustRightInd/>
              <w:snapToGrid w:val="0"/>
              <w:spacing w:line="480" w:lineRule="auto"/>
              <w:jc w:val="left"/>
              <w:textAlignment w:val="auto"/>
              <w:outlineLvl w:val="9"/>
              <w:rPr>
                <w:rFonts w:hint="default"/>
                <w:color w:val="auto"/>
                <w:lang w:val="en-US" w:eastAsia="zh-CN"/>
              </w:rPr>
            </w:pPr>
            <w:r>
              <w:rPr>
                <w:rFonts w:hint="eastAsia"/>
                <w:color w:val="auto"/>
                <w:lang w:val="en-US" w:eastAsia="zh-CN"/>
              </w:rPr>
              <w:t>标的名称：广元市防汛联合值班值守工作用房维修项目-监理服务</w:t>
            </w:r>
          </w:p>
        </w:tc>
      </w:tr>
      <w:tr w14:paraId="3D5A1DE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648844ED">
            <w:pPr>
              <w:pStyle w:val="87"/>
              <w:spacing w:line="360" w:lineRule="auto"/>
              <w:ind w:right="230" w:rightChars="0"/>
              <w:jc w:val="center"/>
              <w:outlineLvl w:val="9"/>
              <w:rPr>
                <w:rFonts w:hint="default" w:cs="宋体"/>
                <w:color w:val="auto"/>
                <w:sz w:val="24"/>
                <w:szCs w:val="24"/>
                <w:lang w:val="en-US" w:eastAsia="zh-CN"/>
              </w:rPr>
            </w:pPr>
            <w:r>
              <w:rPr>
                <w:rFonts w:hint="eastAsia" w:cs="宋体"/>
                <w:color w:val="auto"/>
                <w:sz w:val="24"/>
                <w:szCs w:val="24"/>
                <w:lang w:val="en-US" w:eastAsia="zh-CN"/>
              </w:rPr>
              <w:t>18</w:t>
            </w:r>
          </w:p>
        </w:tc>
        <w:tc>
          <w:tcPr>
            <w:tcW w:w="2287" w:type="dxa"/>
            <w:vAlign w:val="center"/>
          </w:tcPr>
          <w:p w14:paraId="0FB977F8">
            <w:pPr>
              <w:spacing w:line="360" w:lineRule="exact"/>
              <w:jc w:val="center"/>
              <w:outlineLvl w:val="9"/>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特别说明</w:t>
            </w:r>
          </w:p>
        </w:tc>
        <w:tc>
          <w:tcPr>
            <w:tcW w:w="6206" w:type="dxa"/>
            <w:vAlign w:val="center"/>
          </w:tcPr>
          <w:p w14:paraId="744A8B32">
            <w:pPr>
              <w:spacing w:line="360" w:lineRule="exact"/>
              <w:ind w:firstLine="480" w:firstLineChars="200"/>
              <w:outlineLvl w:val="9"/>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本项目参照四川省政府采购相关规定执行。</w:t>
            </w:r>
          </w:p>
        </w:tc>
      </w:tr>
    </w:tbl>
    <w:p w14:paraId="225C69ED">
      <w:pPr>
        <w:pStyle w:val="60"/>
        <w:outlineLvl w:val="9"/>
        <w:rPr>
          <w:rFonts w:hint="eastAsia" w:ascii="宋体" w:hAnsi="宋体" w:eastAsia="宋体" w:cs="宋体"/>
          <w:b/>
          <w:bCs/>
          <w:color w:val="auto"/>
          <w:sz w:val="24"/>
          <w:szCs w:val="24"/>
        </w:rPr>
      </w:pPr>
    </w:p>
    <w:p w14:paraId="60E0DA10">
      <w:pPr>
        <w:keepNext w:val="0"/>
        <w:keepLines w:val="0"/>
        <w:spacing w:before="0" w:after="0" w:line="360" w:lineRule="auto"/>
        <w:jc w:val="center"/>
        <w:outlineLvl w:val="9"/>
        <w:rPr>
          <w:rFonts w:hint="eastAsia" w:ascii="宋体" w:hAnsi="宋体" w:eastAsia="宋体" w:cs="宋体"/>
          <w:b/>
          <w:bCs/>
          <w:color w:val="auto"/>
          <w:sz w:val="40"/>
          <w:szCs w:val="40"/>
        </w:rPr>
      </w:pPr>
    </w:p>
    <w:p w14:paraId="270FECD4">
      <w:pPr>
        <w:keepNext w:val="0"/>
        <w:keepLines w:val="0"/>
        <w:spacing w:before="0" w:after="0" w:line="360" w:lineRule="auto"/>
        <w:jc w:val="center"/>
        <w:outlineLvl w:val="9"/>
        <w:rPr>
          <w:rFonts w:hint="eastAsia" w:ascii="宋体" w:hAnsi="宋体" w:eastAsia="宋体" w:cs="宋体"/>
          <w:b/>
          <w:bCs/>
          <w:color w:val="auto"/>
          <w:sz w:val="36"/>
          <w:szCs w:val="36"/>
        </w:rPr>
      </w:pPr>
      <w:r>
        <w:rPr>
          <w:rFonts w:hint="eastAsia" w:ascii="宋体" w:hAnsi="宋体" w:eastAsia="宋体" w:cs="宋体"/>
          <w:b/>
          <w:bCs/>
          <w:color w:val="auto"/>
          <w:sz w:val="36"/>
          <w:szCs w:val="36"/>
        </w:rPr>
        <w:t>二、总则</w:t>
      </w:r>
    </w:p>
    <w:p w14:paraId="12F8D6AC">
      <w:pPr>
        <w:keepNext w:val="0"/>
        <w:keepLines w:val="0"/>
        <w:spacing w:before="0" w:after="0" w:line="360" w:lineRule="auto"/>
        <w:ind w:firstLine="480" w:firstLineChars="200"/>
        <w:outlineLvl w:val="9"/>
        <w:rPr>
          <w:rFonts w:hint="eastAsia" w:ascii="宋体" w:hAnsi="宋体" w:eastAsia="宋体" w:cs="宋体"/>
          <w:color w:val="auto"/>
          <w:sz w:val="24"/>
          <w:szCs w:val="24"/>
        </w:rPr>
      </w:pPr>
      <w:bookmarkStart w:id="19" w:name="_Toc183582205"/>
      <w:bookmarkStart w:id="20" w:name="_Toc183682342"/>
      <w:bookmarkStart w:id="21" w:name="_Toc217446034"/>
      <w:bookmarkStart w:id="22" w:name="PO_默认文件内容_23"/>
      <w:r>
        <w:rPr>
          <w:rFonts w:hint="eastAsia" w:ascii="宋体" w:hAnsi="宋体" w:eastAsia="宋体" w:cs="宋体"/>
          <w:color w:val="auto"/>
          <w:sz w:val="24"/>
          <w:szCs w:val="24"/>
        </w:rPr>
        <w:t>1.</w:t>
      </w:r>
      <w:bookmarkEnd w:id="19"/>
      <w:bookmarkEnd w:id="20"/>
      <w:r>
        <w:rPr>
          <w:rFonts w:hint="eastAsia" w:ascii="宋体" w:hAnsi="宋体" w:eastAsia="宋体" w:cs="宋体"/>
          <w:color w:val="auto"/>
          <w:sz w:val="24"/>
          <w:szCs w:val="24"/>
        </w:rPr>
        <w:t>适用范围</w:t>
      </w:r>
      <w:bookmarkEnd w:id="21"/>
    </w:p>
    <w:p w14:paraId="3BB20BF6">
      <w:pPr>
        <w:tabs>
          <w:tab w:val="left" w:pos="7665"/>
        </w:tabs>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1.1 本谈判文件仅适用于本次谈判采购项目。</w:t>
      </w:r>
    </w:p>
    <w:p w14:paraId="7904E229">
      <w:pPr>
        <w:tabs>
          <w:tab w:val="left" w:pos="7665"/>
        </w:tabs>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1.2 本谈判文件的解释权归采购人和采购代理机构所有。</w:t>
      </w:r>
      <w:bookmarkEnd w:id="22"/>
    </w:p>
    <w:p w14:paraId="2D592346">
      <w:pPr>
        <w:keepNext w:val="0"/>
        <w:keepLines w:val="0"/>
        <w:spacing w:before="0" w:after="0" w:line="360" w:lineRule="auto"/>
        <w:ind w:firstLine="480" w:firstLineChars="200"/>
        <w:outlineLvl w:val="9"/>
        <w:rPr>
          <w:rFonts w:hint="eastAsia" w:ascii="宋体" w:hAnsi="宋体" w:eastAsia="宋体" w:cs="宋体"/>
          <w:color w:val="auto"/>
          <w:sz w:val="24"/>
          <w:szCs w:val="24"/>
        </w:rPr>
      </w:pPr>
      <w:bookmarkStart w:id="23" w:name="_Toc183682343"/>
      <w:bookmarkStart w:id="24" w:name="_Toc217446035"/>
      <w:bookmarkStart w:id="25" w:name="_Toc183582206"/>
      <w:r>
        <w:rPr>
          <w:rFonts w:hint="eastAsia" w:ascii="宋体" w:hAnsi="宋体" w:eastAsia="宋体" w:cs="宋体"/>
          <w:color w:val="auto"/>
          <w:sz w:val="24"/>
          <w:szCs w:val="24"/>
        </w:rPr>
        <w:t>2.</w:t>
      </w:r>
      <w:bookmarkEnd w:id="23"/>
      <w:bookmarkEnd w:id="24"/>
      <w:bookmarkEnd w:id="25"/>
      <w:r>
        <w:rPr>
          <w:rFonts w:hint="eastAsia" w:ascii="宋体" w:hAnsi="宋体" w:eastAsia="宋体" w:cs="宋体"/>
          <w:color w:val="auto"/>
          <w:sz w:val="24"/>
          <w:szCs w:val="24"/>
        </w:rPr>
        <w:t>采购主体</w:t>
      </w:r>
    </w:p>
    <w:p w14:paraId="4F18D230">
      <w:pPr>
        <w:tabs>
          <w:tab w:val="left" w:pos="7665"/>
        </w:tabs>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2.1本次谈判的采购人是</w:t>
      </w:r>
      <w:r>
        <w:rPr>
          <w:rFonts w:hint="eastAsia" w:ascii="宋体" w:hAnsi="宋体" w:cs="宋体"/>
          <w:color w:val="auto"/>
          <w:sz w:val="24"/>
          <w:szCs w:val="24"/>
          <w:u w:val="single"/>
          <w:lang w:val="zh-CN"/>
        </w:rPr>
        <w:t xml:space="preserve"> 广元市水利局 </w:t>
      </w:r>
      <w:r>
        <w:rPr>
          <w:rFonts w:hint="eastAsia" w:ascii="宋体" w:hAnsi="宋体" w:eastAsia="宋体" w:cs="宋体"/>
          <w:color w:val="auto"/>
          <w:sz w:val="24"/>
          <w:szCs w:val="24"/>
        </w:rPr>
        <w:t>。</w:t>
      </w:r>
    </w:p>
    <w:p w14:paraId="2737AB46">
      <w:pPr>
        <w:tabs>
          <w:tab w:val="left" w:pos="7665"/>
        </w:tabs>
        <w:spacing w:line="360" w:lineRule="auto"/>
        <w:ind w:firstLine="480" w:firstLineChars="200"/>
        <w:outlineLvl w:val="9"/>
        <w:rPr>
          <w:rFonts w:hint="eastAsia" w:ascii="宋体" w:hAnsi="宋体" w:eastAsia="宋体" w:cs="宋体"/>
          <w:color w:val="auto"/>
          <w:sz w:val="24"/>
          <w:szCs w:val="24"/>
        </w:rPr>
      </w:pPr>
      <w:bookmarkStart w:id="26" w:name="PO_默认文件内容_24"/>
      <w:r>
        <w:rPr>
          <w:rFonts w:hint="eastAsia" w:ascii="宋体" w:hAnsi="宋体" w:eastAsia="宋体" w:cs="宋体"/>
          <w:color w:val="auto"/>
          <w:sz w:val="24"/>
          <w:szCs w:val="24"/>
        </w:rPr>
        <w:t>2.2本次谈判的采购代理机构是</w:t>
      </w:r>
      <w:r>
        <w:rPr>
          <w:rFonts w:hint="eastAsia" w:ascii="宋体" w:hAnsi="宋体" w:cs="宋体"/>
          <w:color w:val="auto"/>
          <w:sz w:val="24"/>
          <w:szCs w:val="24"/>
          <w:u w:val="single"/>
          <w:lang w:val="zh-CN"/>
        </w:rPr>
        <w:t>四川天宇华辰建设工程有限公司</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w:t>
      </w:r>
    </w:p>
    <w:p w14:paraId="6F383066">
      <w:pPr>
        <w:keepNext w:val="0"/>
        <w:keepLines w:val="0"/>
        <w:spacing w:before="0" w:after="0" w:line="360" w:lineRule="auto"/>
        <w:ind w:firstLine="480" w:firstLineChars="200"/>
        <w:outlineLvl w:val="9"/>
        <w:rPr>
          <w:rFonts w:hint="eastAsia" w:ascii="宋体" w:hAnsi="宋体" w:eastAsia="宋体" w:cs="宋体"/>
          <w:color w:val="auto"/>
          <w:sz w:val="24"/>
          <w:szCs w:val="24"/>
        </w:rPr>
      </w:pPr>
      <w:bookmarkStart w:id="27" w:name="_Toc217446036"/>
      <w:bookmarkStart w:id="28" w:name="_Toc217390843"/>
      <w:bookmarkStart w:id="29" w:name="_Toc183582207"/>
      <w:bookmarkStart w:id="30" w:name="_Toc183682344"/>
      <w:r>
        <w:rPr>
          <w:rFonts w:hint="eastAsia" w:ascii="宋体" w:hAnsi="宋体" w:eastAsia="宋体" w:cs="宋体"/>
          <w:color w:val="auto"/>
          <w:sz w:val="24"/>
          <w:szCs w:val="24"/>
        </w:rPr>
        <w:t>3</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合格</w:t>
      </w:r>
      <w:bookmarkEnd w:id="27"/>
      <w:bookmarkEnd w:id="28"/>
      <w:bookmarkEnd w:id="29"/>
      <w:bookmarkEnd w:id="30"/>
      <w:r>
        <w:rPr>
          <w:rFonts w:hint="eastAsia" w:ascii="宋体" w:hAnsi="宋体" w:eastAsia="宋体" w:cs="宋体"/>
          <w:color w:val="auto"/>
          <w:sz w:val="24"/>
          <w:szCs w:val="24"/>
        </w:rPr>
        <w:t>供应商</w:t>
      </w:r>
      <w:r>
        <w:rPr>
          <w:rFonts w:hint="eastAsia" w:ascii="宋体" w:hAnsi="宋体" w:eastAsia="宋体" w:cs="宋体"/>
          <w:color w:val="auto"/>
          <w:kern w:val="0"/>
          <w:sz w:val="24"/>
          <w:szCs w:val="24"/>
        </w:rPr>
        <w:t>（实质性要求）</w:t>
      </w:r>
    </w:p>
    <w:p w14:paraId="66B9A6D4">
      <w:pPr>
        <w:tabs>
          <w:tab w:val="left" w:pos="7665"/>
        </w:tabs>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合格供应商应具备以下条件：</w:t>
      </w:r>
    </w:p>
    <w:p w14:paraId="2899A6EC">
      <w:pPr>
        <w:tabs>
          <w:tab w:val="left" w:pos="7665"/>
        </w:tabs>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3.1 具备法律法规和本采购文件规定的资格条件；</w:t>
      </w:r>
    </w:p>
    <w:p w14:paraId="3EB98EEB">
      <w:pPr>
        <w:tabs>
          <w:tab w:val="left" w:pos="7665"/>
        </w:tabs>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3.2 不属于禁止参加本项目采购活动的供应商。</w:t>
      </w:r>
    </w:p>
    <w:p w14:paraId="5BBF1A55">
      <w:pPr>
        <w:tabs>
          <w:tab w:val="left" w:pos="7665"/>
        </w:tabs>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3.3 按照规定获取了谈判文件，属于实质性参加政府采购活动的供应商。</w:t>
      </w:r>
    </w:p>
    <w:p w14:paraId="5172167F">
      <w:pPr>
        <w:keepNext w:val="0"/>
        <w:keepLines w:val="0"/>
        <w:spacing w:before="0" w:after="0" w:line="360" w:lineRule="auto"/>
        <w:ind w:firstLine="480" w:firstLineChars="200"/>
        <w:outlineLvl w:val="9"/>
        <w:rPr>
          <w:rFonts w:hint="eastAsia" w:ascii="宋体" w:hAnsi="宋体" w:eastAsia="宋体" w:cs="宋体"/>
          <w:color w:val="auto"/>
          <w:sz w:val="24"/>
          <w:szCs w:val="24"/>
        </w:rPr>
      </w:pPr>
      <w:bookmarkStart w:id="31" w:name="_Toc183682345"/>
      <w:bookmarkStart w:id="32" w:name="_Toc183582208"/>
      <w:bookmarkStart w:id="33" w:name="_Toc217446037"/>
      <w:r>
        <w:rPr>
          <w:rFonts w:hint="eastAsia" w:ascii="宋体" w:hAnsi="宋体" w:eastAsia="宋体" w:cs="宋体"/>
          <w:color w:val="auto"/>
          <w:sz w:val="24"/>
          <w:szCs w:val="24"/>
        </w:rPr>
        <w:t>4. 谈判费用</w:t>
      </w:r>
      <w:bookmarkEnd w:id="31"/>
      <w:bookmarkEnd w:id="32"/>
      <w:bookmarkEnd w:id="33"/>
      <w:r>
        <w:rPr>
          <w:rFonts w:hint="eastAsia" w:ascii="宋体" w:hAnsi="宋体" w:eastAsia="宋体" w:cs="宋体"/>
          <w:color w:val="auto"/>
          <w:kern w:val="0"/>
          <w:sz w:val="24"/>
          <w:szCs w:val="24"/>
        </w:rPr>
        <w:t>（实质性要求）</w:t>
      </w:r>
    </w:p>
    <w:p w14:paraId="27B02F37">
      <w:pPr>
        <w:tabs>
          <w:tab w:val="left" w:pos="7665"/>
        </w:tabs>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供应商应自行承担参加谈判活动的全部费用。</w:t>
      </w:r>
    </w:p>
    <w:p w14:paraId="487733FD">
      <w:pPr>
        <w:pStyle w:val="86"/>
        <w:spacing w:line="360" w:lineRule="auto"/>
        <w:ind w:left="1" w:firstLine="482" w:firstLineChars="200"/>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5.充分、公平竞争保障措施（实质性要求）</w:t>
      </w:r>
    </w:p>
    <w:p w14:paraId="0F31D1EA">
      <w:pPr>
        <w:pStyle w:val="86"/>
        <w:spacing w:line="360" w:lineRule="auto"/>
        <w:ind w:left="1"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5.1利害关系供应商处理。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响应文件作为无效处理。</w:t>
      </w:r>
    </w:p>
    <w:p w14:paraId="67B50357">
      <w:pPr>
        <w:pStyle w:val="86"/>
        <w:spacing w:line="360" w:lineRule="auto"/>
        <w:ind w:left="1"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5.2利害关系授权代表处理。两家以上的供应商不得在同一合同项下的采购项目中，委托同一个自然人、同一家庭的人员、同一单位的人员作为其授权代表，否则，其响应文件作为无效处理。</w:t>
      </w:r>
    </w:p>
    <w:p w14:paraId="33C47BED">
      <w:pPr>
        <w:pStyle w:val="86"/>
        <w:spacing w:line="360" w:lineRule="auto"/>
        <w:ind w:left="1"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5.3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审因素和标准、政府采购合同等实质性内容条款的，视同为采购项目提供规范编制。</w:t>
      </w:r>
    </w:p>
    <w:p w14:paraId="35CE3EAF">
      <w:pPr>
        <w:pStyle w:val="86"/>
        <w:spacing w:line="360" w:lineRule="auto"/>
        <w:ind w:left="1"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5.4供应商实际控制人或者中高级管理人员，同时是采购代理机构工作人员，不得参与本项目政府采购活动。</w:t>
      </w:r>
    </w:p>
    <w:p w14:paraId="54EA9521">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5.5同一母公司的两家以上的子公司只能组成联合体参加本项目同一合同项下的采购活动，不得以不同供应商身份同时参加本项目同一合同项下的采购活动。</w:t>
      </w:r>
    </w:p>
    <w:p w14:paraId="0FC0F3AE">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5.6供应商与采购代理机构存在关联关系，或者是采购代理机构的母公司或子公司，不得参加本项目政府采购活动。</w:t>
      </w:r>
    </w:p>
    <w:p w14:paraId="17735F45">
      <w:pPr>
        <w:pStyle w:val="86"/>
        <w:spacing w:line="360" w:lineRule="auto"/>
        <w:ind w:left="1"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5.7回避。政府采购活动中，采购人员及相关人员与供应商有下列利害关系之一的，应当回避：</w:t>
      </w:r>
    </w:p>
    <w:p w14:paraId="3589FFB5">
      <w:pPr>
        <w:pStyle w:val="86"/>
        <w:spacing w:line="360" w:lineRule="auto"/>
        <w:ind w:left="1"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（1）参加采购活动前3年内与供应商存在劳动关系；</w:t>
      </w:r>
    </w:p>
    <w:p w14:paraId="2567B02B">
      <w:pPr>
        <w:pStyle w:val="86"/>
        <w:spacing w:line="360" w:lineRule="auto"/>
        <w:ind w:left="1"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（2）参加采购活动前3年内担任供应商的董事、监事；</w:t>
      </w:r>
    </w:p>
    <w:p w14:paraId="315F3B11">
      <w:pPr>
        <w:pStyle w:val="86"/>
        <w:spacing w:line="360" w:lineRule="auto"/>
        <w:ind w:left="1"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（3）参加采购活动前3年内是供应商的控股股东或者实际控制人；</w:t>
      </w:r>
    </w:p>
    <w:p w14:paraId="7802F056">
      <w:pPr>
        <w:pStyle w:val="86"/>
        <w:spacing w:line="360" w:lineRule="auto"/>
        <w:ind w:left="1"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（4）与供应商的法定代表人或者负责人有夫妻、直系血亲、三代以内旁系血亲或者近姻亲关系；</w:t>
      </w:r>
    </w:p>
    <w:p w14:paraId="2AA54224">
      <w:pPr>
        <w:pStyle w:val="86"/>
        <w:spacing w:line="360" w:lineRule="auto"/>
        <w:ind w:left="1"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（5）与供应商有其他可能影响政府采购活动公平、公正进行的关系。</w:t>
      </w:r>
    </w:p>
    <w:p w14:paraId="13405233">
      <w:pPr>
        <w:pStyle w:val="86"/>
        <w:spacing w:line="360" w:lineRule="auto"/>
        <w:ind w:left="1"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谈判小组成员。</w:t>
      </w:r>
    </w:p>
    <w:p w14:paraId="50BFE5F0">
      <w:pPr>
        <w:pStyle w:val="86"/>
        <w:spacing w:line="360" w:lineRule="auto"/>
        <w:ind w:left="1"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供应商认为采购人员及相关人员与其他供应商有利害关系的，可以向采购代理机构书面提出回避申请，并说明理由。采购代理机构将及时询问被申请回避人员，有利害关系的被申请回避人员应当回避。</w:t>
      </w:r>
    </w:p>
    <w:p w14:paraId="1DDD9094">
      <w:pPr>
        <w:pStyle w:val="86"/>
        <w:spacing w:line="360" w:lineRule="auto"/>
        <w:ind w:left="1" w:firstLine="482" w:firstLineChars="200"/>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6.联合体竞争性谈判（仅适用于允许联合体参与的项目）</w:t>
      </w:r>
    </w:p>
    <w:p w14:paraId="78CF8EC4">
      <w:pPr>
        <w:spacing w:line="360" w:lineRule="auto"/>
        <w:ind w:firstLine="480" w:firstLineChars="200"/>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本项目不接受联合体谈判。</w:t>
      </w:r>
    </w:p>
    <w:p w14:paraId="27D028A7">
      <w:pPr>
        <w:spacing w:line="360" w:lineRule="auto"/>
        <w:ind w:firstLine="482" w:firstLineChars="200"/>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7.响应文件有效期</w:t>
      </w:r>
    </w:p>
    <w:p w14:paraId="78A22FA8">
      <w:pPr>
        <w:spacing w:line="360" w:lineRule="auto"/>
        <w:ind w:firstLine="480" w:firstLineChars="200"/>
        <w:outlineLvl w:val="9"/>
        <w:rPr>
          <w:ins w:id="0" w:author="ts" w:date="2018-03-14T16:38:00Z"/>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本项目响应文件有效期为递交谈判响应文件截止之日起</w:t>
      </w:r>
      <w:r>
        <w:rPr>
          <w:rFonts w:hint="eastAsia" w:ascii="宋体" w:hAnsi="宋体" w:eastAsia="宋体" w:cs="宋体"/>
          <w:color w:val="auto"/>
          <w:kern w:val="0"/>
          <w:sz w:val="24"/>
          <w:szCs w:val="24"/>
          <w:u w:val="single"/>
          <w:lang w:val="en-US" w:eastAsia="zh-CN" w:bidi="ar-SA"/>
        </w:rPr>
        <w:t>90</w:t>
      </w:r>
      <w:r>
        <w:rPr>
          <w:rFonts w:hint="eastAsia" w:ascii="宋体" w:hAnsi="宋体" w:eastAsia="宋体" w:cs="宋体"/>
          <w:color w:val="auto"/>
          <w:kern w:val="0"/>
          <w:sz w:val="24"/>
          <w:szCs w:val="24"/>
          <w:lang w:val="en-US" w:eastAsia="zh-CN" w:bidi="ar-SA"/>
        </w:rPr>
        <w:t>天。供应商响应文件中必须载明响应文件有效期，响应文件中载明的响应文件有效期可以长于谈判文件规定的期限，但不得短于谈判文件规定的期限。否则，其响应文件将作为无效处理。</w:t>
      </w:r>
    </w:p>
    <w:p w14:paraId="40C277BB">
      <w:pPr>
        <w:spacing w:line="360" w:lineRule="auto"/>
        <w:ind w:firstLine="470" w:firstLineChars="196"/>
        <w:outlineLvl w:val="9"/>
        <w:rPr>
          <w:rFonts w:hint="eastAsia" w:ascii="宋体" w:hAnsi="宋体" w:eastAsia="宋体" w:cs="宋体"/>
          <w:color w:val="auto"/>
          <w:sz w:val="24"/>
          <w:szCs w:val="24"/>
        </w:rPr>
      </w:pPr>
    </w:p>
    <w:p w14:paraId="0F131B7E">
      <w:pPr>
        <w:pStyle w:val="18"/>
        <w:spacing w:line="360" w:lineRule="auto"/>
        <w:ind w:firstLine="482" w:firstLineChars="200"/>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8.知识产权（实质性要求）</w:t>
      </w:r>
    </w:p>
    <w:p w14:paraId="6DB6BF8B">
      <w:pPr>
        <w:spacing w:line="360" w:lineRule="auto"/>
        <w:ind w:firstLine="480" w:firstLineChars="200"/>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8.1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w:t>
      </w:r>
    </w:p>
    <w:p w14:paraId="369CDF43">
      <w:pPr>
        <w:spacing w:line="360" w:lineRule="auto"/>
        <w:ind w:firstLine="480" w:firstLineChars="200"/>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8.2 除非谈判文件特别规定，采购人享有本项目实施过程中产生的知识成果及知识产权。</w:t>
      </w:r>
    </w:p>
    <w:p w14:paraId="3AA0705A">
      <w:pPr>
        <w:spacing w:line="360" w:lineRule="auto"/>
        <w:ind w:firstLine="480" w:firstLineChars="200"/>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8.3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14:paraId="46EF31DB">
      <w:pPr>
        <w:spacing w:line="360" w:lineRule="auto"/>
        <w:ind w:firstLine="480" w:firstLineChars="200"/>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8.4 如采用供应商所不拥有的知识产权，则在报价中必须包括合法获取使用该知识产权的相关费用。</w:t>
      </w:r>
      <w:bookmarkEnd w:id="26"/>
    </w:p>
    <w:p w14:paraId="0C0FE74B">
      <w:pPr>
        <w:keepNext w:val="0"/>
        <w:keepLines w:val="0"/>
        <w:spacing w:before="0" w:after="0" w:line="360" w:lineRule="auto"/>
        <w:jc w:val="center"/>
        <w:outlineLvl w:val="9"/>
        <w:rPr>
          <w:rFonts w:hint="eastAsia" w:ascii="宋体" w:hAnsi="宋体" w:eastAsia="宋体" w:cs="宋体"/>
          <w:color w:val="auto"/>
          <w:sz w:val="24"/>
          <w:szCs w:val="24"/>
        </w:rPr>
      </w:pPr>
      <w:bookmarkStart w:id="34" w:name="_Toc183582209"/>
      <w:bookmarkStart w:id="35" w:name="_Toc77400779"/>
      <w:bookmarkStart w:id="36" w:name="_Toc217446038"/>
      <w:bookmarkStart w:id="37" w:name="_Toc183682346"/>
      <w:bookmarkStart w:id="38" w:name="_Toc89075875"/>
    </w:p>
    <w:p w14:paraId="7602E09B">
      <w:pPr>
        <w:keepNext w:val="0"/>
        <w:keepLines w:val="0"/>
        <w:spacing w:before="0" w:after="0" w:line="360" w:lineRule="auto"/>
        <w:jc w:val="center"/>
        <w:outlineLvl w:val="9"/>
        <w:rPr>
          <w:rFonts w:hint="eastAsia" w:ascii="宋体" w:hAnsi="宋体" w:eastAsia="宋体" w:cs="宋体"/>
          <w:b/>
          <w:bCs/>
          <w:color w:val="auto"/>
          <w:sz w:val="36"/>
          <w:szCs w:val="36"/>
        </w:rPr>
      </w:pPr>
      <w:r>
        <w:rPr>
          <w:rFonts w:hint="eastAsia" w:ascii="宋体" w:hAnsi="宋体" w:eastAsia="宋体" w:cs="宋体"/>
          <w:b/>
          <w:bCs/>
          <w:color w:val="auto"/>
          <w:sz w:val="36"/>
          <w:szCs w:val="36"/>
        </w:rPr>
        <w:t>三、谈判文件</w:t>
      </w:r>
      <w:bookmarkEnd w:id="34"/>
      <w:bookmarkEnd w:id="35"/>
      <w:bookmarkEnd w:id="36"/>
      <w:bookmarkEnd w:id="37"/>
      <w:bookmarkEnd w:id="38"/>
    </w:p>
    <w:p w14:paraId="1409AC1C">
      <w:pPr>
        <w:spacing w:line="360" w:lineRule="auto"/>
        <w:ind w:firstLine="463" w:firstLineChars="192"/>
        <w:outlineLvl w:val="9"/>
        <w:rPr>
          <w:rFonts w:hint="eastAsia" w:ascii="宋体" w:hAnsi="宋体" w:eastAsia="宋体" w:cs="宋体"/>
          <w:b/>
          <w:bCs/>
          <w:color w:val="auto"/>
          <w:sz w:val="24"/>
          <w:szCs w:val="24"/>
        </w:rPr>
      </w:pPr>
      <w:bookmarkStart w:id="39" w:name="_Toc217446039"/>
      <w:bookmarkStart w:id="40" w:name="_Toc183582210"/>
      <w:bookmarkStart w:id="41" w:name="_Toc183682347"/>
      <w:r>
        <w:rPr>
          <w:rFonts w:hint="eastAsia" w:ascii="宋体" w:hAnsi="宋体" w:eastAsia="宋体" w:cs="宋体"/>
          <w:b/>
          <w:bCs/>
          <w:color w:val="auto"/>
          <w:sz w:val="24"/>
          <w:szCs w:val="24"/>
        </w:rPr>
        <w:t>9.资格文件的构成</w:t>
      </w:r>
    </w:p>
    <w:p w14:paraId="30CA4D9C">
      <w:pPr>
        <w:spacing w:line="360" w:lineRule="auto"/>
        <w:ind w:firstLine="480" w:firstLineChars="200"/>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资格文件根据采购项目的特点和采购需求编制。</w:t>
      </w:r>
    </w:p>
    <w:p w14:paraId="49F9CA8D">
      <w:pPr>
        <w:spacing w:line="360" w:lineRule="auto"/>
        <w:ind w:firstLine="463" w:firstLineChars="192"/>
        <w:outlineLvl w:val="9"/>
        <w:rPr>
          <w:rFonts w:hint="eastAsia" w:ascii="宋体" w:hAnsi="宋体" w:eastAsia="宋体" w:cs="宋体"/>
          <w:b/>
          <w:bCs/>
          <w:color w:val="auto"/>
          <w:sz w:val="24"/>
          <w:szCs w:val="24"/>
        </w:rPr>
      </w:pPr>
      <w:bookmarkStart w:id="42" w:name="PO_默认文件内容_25"/>
      <w:r>
        <w:rPr>
          <w:rFonts w:hint="eastAsia" w:ascii="宋体" w:hAnsi="宋体" w:eastAsia="宋体" w:cs="宋体"/>
          <w:b/>
          <w:bCs/>
          <w:color w:val="auto"/>
          <w:sz w:val="24"/>
          <w:szCs w:val="24"/>
        </w:rPr>
        <w:t>10．谈判文件的构成</w:t>
      </w:r>
      <w:bookmarkEnd w:id="39"/>
      <w:bookmarkEnd w:id="40"/>
      <w:bookmarkEnd w:id="41"/>
      <w:r>
        <w:rPr>
          <w:rFonts w:hint="eastAsia" w:ascii="宋体" w:hAnsi="宋体" w:eastAsia="宋体" w:cs="宋体"/>
          <w:b/>
          <w:bCs/>
          <w:color w:val="auto"/>
          <w:sz w:val="24"/>
          <w:szCs w:val="24"/>
        </w:rPr>
        <w:t>（实质性要求）</w:t>
      </w:r>
    </w:p>
    <w:p w14:paraId="2F7F18D5">
      <w:pPr>
        <w:spacing w:line="360" w:lineRule="auto"/>
        <w:ind w:firstLine="480" w:firstLineChars="200"/>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10.1 谈判文件是供应商准备响应文件和参加谈判的依据，同时也是谈判的重要依据。谈判文件用以阐明谈判项目所需的资质、技术、服务及报价等要求、谈判程序、有关规定和注意事项以及合同主要条款等。</w:t>
      </w:r>
    </w:p>
    <w:p w14:paraId="3F69417D">
      <w:pPr>
        <w:spacing w:line="360" w:lineRule="auto"/>
        <w:ind w:firstLine="480" w:firstLineChars="200"/>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10.2 供应商应认真阅读和充分理解谈判文件中所有的事项、格式条款和规范要求。供应商应详细阅读谈判文件的全部内容，按照谈判文件的要求提供响应文件，并保证所提供的全部资料的真实性和有效性，一经发现有虚假行为的，将取消其参加谈判或成交资格，并承担相应的法律责任。</w:t>
      </w:r>
    </w:p>
    <w:p w14:paraId="5C79DFBC">
      <w:pPr>
        <w:spacing w:line="400" w:lineRule="exact"/>
        <w:ind w:firstLine="482" w:firstLineChars="200"/>
        <w:outlineLvl w:val="9"/>
        <w:rPr>
          <w:rFonts w:hint="eastAsia" w:ascii="宋体" w:hAnsi="宋体" w:eastAsia="宋体" w:cs="宋体"/>
          <w:b/>
          <w:bCs/>
          <w:color w:val="auto"/>
          <w:sz w:val="24"/>
          <w:szCs w:val="24"/>
          <w:lang w:val="en-US" w:eastAsia="zh-CN"/>
        </w:rPr>
      </w:pPr>
      <w:bookmarkStart w:id="43" w:name="_Toc183682348"/>
      <w:bookmarkStart w:id="44" w:name="_Toc183582211"/>
      <w:bookmarkStart w:id="45" w:name="_Toc217446040"/>
      <w:r>
        <w:rPr>
          <w:rFonts w:hint="eastAsia" w:ascii="宋体" w:hAnsi="宋体" w:eastAsia="宋体" w:cs="宋体"/>
          <w:b/>
          <w:bCs/>
          <w:color w:val="auto"/>
          <w:sz w:val="24"/>
          <w:szCs w:val="24"/>
          <w:lang w:val="en-US" w:eastAsia="zh-CN"/>
        </w:rPr>
        <w:t>11. 谈判文件的澄清</w:t>
      </w:r>
      <w:bookmarkEnd w:id="43"/>
      <w:bookmarkEnd w:id="44"/>
      <w:r>
        <w:rPr>
          <w:rFonts w:hint="eastAsia" w:ascii="宋体" w:hAnsi="宋体" w:eastAsia="宋体" w:cs="宋体"/>
          <w:b/>
          <w:bCs/>
          <w:color w:val="auto"/>
          <w:sz w:val="24"/>
          <w:szCs w:val="24"/>
          <w:lang w:val="en-US" w:eastAsia="zh-CN"/>
        </w:rPr>
        <w:t>和修改</w:t>
      </w:r>
      <w:bookmarkEnd w:id="45"/>
    </w:p>
    <w:p w14:paraId="7C8DC121">
      <w:pPr>
        <w:spacing w:line="360" w:lineRule="auto"/>
        <w:ind w:firstLine="480" w:firstLineChars="200"/>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11.1 在递交响应文件截止时间前，采购人、采购代理机构可以对谈判文件进行澄清或者修改。</w:t>
      </w:r>
    </w:p>
    <w:p w14:paraId="198FF82A">
      <w:pPr>
        <w:spacing w:line="360" w:lineRule="auto"/>
        <w:ind w:firstLine="480" w:firstLineChars="200"/>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11.2 采购代理机构对已发出的谈判文件进行澄清或者修改，应当以书面形式将澄清或者修改的内容通知所有按照规定获得了谈判文件的供应商，同时在</w:t>
      </w:r>
      <w:r>
        <w:rPr>
          <w:rFonts w:hint="eastAsia" w:ascii="宋体" w:hAnsi="宋体" w:cs="宋体"/>
          <w:color w:val="auto"/>
          <w:kern w:val="0"/>
          <w:sz w:val="24"/>
          <w:szCs w:val="24"/>
          <w:lang w:val="en-US" w:eastAsia="zh-CN" w:bidi="ar-SA"/>
        </w:rPr>
        <w:t>中国</w:t>
      </w:r>
      <w:r>
        <w:rPr>
          <w:rFonts w:hint="eastAsia" w:ascii="宋体" w:hAnsi="宋体" w:eastAsia="宋体" w:cs="宋体"/>
          <w:color w:val="auto"/>
          <w:kern w:val="0"/>
          <w:sz w:val="24"/>
          <w:szCs w:val="24"/>
          <w:lang w:val="en-US" w:eastAsia="zh-CN" w:bidi="ar-SA"/>
        </w:rPr>
        <w:t>政府采购网上发布更正公告。该澄清或者修改的内容为谈判文件的组成部分，澄清或者修改的内容可能影响响应文件编制的，采购人或者采购代理机构发布公告并书面通知供应商的时间，应当在首次提交响应文件截止之日起5日前；不足上述时间的，应当顺延递交响应文件的截止时间。</w:t>
      </w:r>
    </w:p>
    <w:p w14:paraId="796B349B">
      <w:pPr>
        <w:spacing w:line="360" w:lineRule="auto"/>
        <w:ind w:firstLine="480" w:firstLineChars="200"/>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11.3 供应商应于递交响应文件截止前，在</w:t>
      </w:r>
      <w:r>
        <w:rPr>
          <w:rFonts w:hint="eastAsia" w:ascii="宋体" w:hAnsi="宋体" w:eastAsia="宋体" w:cs="宋体"/>
          <w:b w:val="0"/>
          <w:bCs w:val="0"/>
          <w:color w:val="auto"/>
          <w:kern w:val="2"/>
          <w:sz w:val="24"/>
          <w:szCs w:val="24"/>
          <w:lang w:val="en-US" w:eastAsia="zh-CN" w:bidi="ar-SA"/>
        </w:rPr>
        <w:t>广元市水利局官网（http://water.cngy.gov.cn/index.html)</w:t>
      </w:r>
      <w:r>
        <w:rPr>
          <w:rFonts w:hint="eastAsia" w:ascii="宋体" w:hAnsi="宋体" w:eastAsia="宋体" w:cs="宋体"/>
          <w:color w:val="auto"/>
          <w:kern w:val="0"/>
          <w:sz w:val="24"/>
          <w:szCs w:val="24"/>
          <w:lang w:val="en-US" w:eastAsia="zh-CN" w:bidi="ar-SA"/>
        </w:rPr>
        <w:t>的更正公告，以保证其对谈判文件做出正确的响应。供应商未按要求</w:t>
      </w:r>
      <w:r>
        <w:rPr>
          <w:rFonts w:hint="eastAsia" w:ascii="宋体" w:hAnsi="宋体" w:cs="宋体"/>
          <w:color w:val="auto"/>
          <w:kern w:val="0"/>
          <w:sz w:val="24"/>
          <w:szCs w:val="24"/>
          <w:lang w:val="en-US" w:eastAsia="zh-CN" w:bidi="ar-SA"/>
        </w:rPr>
        <w:t>获取</w:t>
      </w:r>
      <w:r>
        <w:rPr>
          <w:rFonts w:hint="eastAsia" w:ascii="宋体" w:hAnsi="宋体" w:eastAsia="宋体" w:cs="宋体"/>
          <w:color w:val="auto"/>
          <w:kern w:val="0"/>
          <w:sz w:val="24"/>
          <w:szCs w:val="24"/>
          <w:lang w:val="en-US" w:eastAsia="zh-CN" w:bidi="ar-SA"/>
        </w:rPr>
        <w:t>相关文件，或由于未及时关注更正公告的信息造成的后果，其责任由供应商自行负责。</w:t>
      </w:r>
    </w:p>
    <w:p w14:paraId="4AF00D13">
      <w:pPr>
        <w:spacing w:line="360" w:lineRule="auto"/>
        <w:ind w:firstLine="480" w:firstLineChars="200"/>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更正通知通过供应商报名时备注的电子邮箱发送至所有按照规定获得了谈判文件的供应商，供应商在收到相应更正通知后，以书面形式给予确认。如供应商未给予书面回复，则视为收到并认可该更正通知的内容。</w:t>
      </w:r>
    </w:p>
    <w:p w14:paraId="59D339DF">
      <w:pPr>
        <w:spacing w:line="360" w:lineRule="auto"/>
        <w:ind w:firstLine="480" w:firstLineChars="200"/>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11.4供应商认为需要对谈判文件进行澄清或者修改的，可以以书面形式向采购人或采购代理机构提出申请，由采购人或采购代理机构决定是否采纳供应商的申请事项。</w:t>
      </w:r>
    </w:p>
    <w:p w14:paraId="3603F4AF">
      <w:pPr>
        <w:spacing w:line="400" w:lineRule="exact"/>
        <w:ind w:firstLine="482" w:firstLineChars="200"/>
        <w:outlineLvl w:val="9"/>
        <w:rPr>
          <w:rFonts w:hint="eastAsia" w:ascii="宋体" w:hAnsi="宋体" w:eastAsia="宋体" w:cs="宋体"/>
          <w:b/>
          <w:bCs/>
          <w:color w:val="auto"/>
          <w:sz w:val="24"/>
          <w:szCs w:val="24"/>
          <w:lang w:val="en-US" w:eastAsia="zh-CN"/>
        </w:rPr>
      </w:pPr>
      <w:bookmarkStart w:id="46" w:name="_Toc208848971"/>
      <w:bookmarkStart w:id="47" w:name="_Toc217446041"/>
      <w:r>
        <w:rPr>
          <w:rFonts w:hint="eastAsia" w:ascii="宋体" w:hAnsi="宋体" w:eastAsia="宋体" w:cs="宋体"/>
          <w:b/>
          <w:bCs/>
          <w:color w:val="auto"/>
          <w:sz w:val="24"/>
          <w:szCs w:val="24"/>
          <w:lang w:val="en-US" w:eastAsia="zh-CN"/>
        </w:rPr>
        <w:t>12. 答疑会和现场考察</w:t>
      </w:r>
      <w:bookmarkEnd w:id="46"/>
      <w:bookmarkEnd w:id="47"/>
    </w:p>
    <w:bookmarkEnd w:id="42"/>
    <w:p w14:paraId="1902C54C">
      <w:pPr>
        <w:spacing w:line="360" w:lineRule="auto"/>
        <w:ind w:firstLine="480" w:firstLineChars="200"/>
        <w:outlineLvl w:val="9"/>
        <w:rPr>
          <w:rFonts w:hint="eastAsia" w:ascii="宋体" w:hAnsi="宋体" w:eastAsia="宋体" w:cs="宋体"/>
          <w:color w:val="auto"/>
          <w:kern w:val="0"/>
          <w:sz w:val="24"/>
          <w:szCs w:val="24"/>
          <w:lang w:val="en-US" w:eastAsia="zh-CN" w:bidi="ar-SA"/>
        </w:rPr>
      </w:pPr>
      <w:bookmarkStart w:id="48" w:name="_Toc77400780"/>
      <w:bookmarkStart w:id="49" w:name="_Toc183682351"/>
      <w:bookmarkStart w:id="50" w:name="_Toc183582214"/>
      <w:bookmarkStart w:id="51" w:name="_Toc89075876"/>
      <w:bookmarkStart w:id="52" w:name="_Toc217446042"/>
      <w:r>
        <w:rPr>
          <w:rFonts w:hint="eastAsia" w:ascii="宋体" w:hAnsi="宋体" w:eastAsia="宋体" w:cs="宋体"/>
          <w:color w:val="auto"/>
          <w:kern w:val="0"/>
          <w:sz w:val="24"/>
          <w:szCs w:val="24"/>
          <w:lang w:val="en-US" w:eastAsia="zh-CN" w:bidi="ar-SA"/>
        </w:rPr>
        <w:t>根据采购项目和具体情况，采购人、采购代理机构认为供应商在获取谈判文件后响应文件提交截止前有必要进行现场考查以便获取准确的现场数据，采购人不举行统一的答疑会与现场考察。</w:t>
      </w:r>
    </w:p>
    <w:p w14:paraId="367C4253">
      <w:pPr>
        <w:spacing w:line="400" w:lineRule="exact"/>
        <w:ind w:left="2" w:leftChars="1" w:firstLine="480" w:firstLineChars="200"/>
        <w:outlineLvl w:val="9"/>
        <w:rPr>
          <w:rFonts w:hint="eastAsia" w:ascii="宋体" w:hAnsi="宋体" w:eastAsia="宋体" w:cs="宋体"/>
          <w:color w:val="auto"/>
          <w:sz w:val="24"/>
          <w:szCs w:val="24"/>
        </w:rPr>
      </w:pPr>
    </w:p>
    <w:p w14:paraId="12839419">
      <w:pPr>
        <w:keepNext w:val="0"/>
        <w:keepLines w:val="0"/>
        <w:spacing w:before="0" w:after="0" w:line="360" w:lineRule="auto"/>
        <w:jc w:val="center"/>
        <w:outlineLvl w:val="9"/>
        <w:rPr>
          <w:rFonts w:hint="eastAsia" w:ascii="宋体" w:hAnsi="宋体" w:eastAsia="宋体" w:cs="宋体"/>
          <w:b/>
          <w:bCs/>
          <w:color w:val="auto"/>
          <w:sz w:val="36"/>
          <w:szCs w:val="36"/>
        </w:rPr>
      </w:pPr>
      <w:bookmarkStart w:id="53" w:name="PO_默认文件内容_26"/>
      <w:r>
        <w:rPr>
          <w:rFonts w:hint="eastAsia" w:ascii="宋体" w:hAnsi="宋体" w:eastAsia="宋体" w:cs="宋体"/>
          <w:b/>
          <w:bCs/>
          <w:color w:val="auto"/>
          <w:sz w:val="36"/>
          <w:szCs w:val="36"/>
        </w:rPr>
        <w:t>四、响应文件</w:t>
      </w:r>
      <w:bookmarkEnd w:id="48"/>
      <w:bookmarkEnd w:id="49"/>
      <w:bookmarkEnd w:id="50"/>
      <w:bookmarkEnd w:id="51"/>
      <w:bookmarkEnd w:id="52"/>
    </w:p>
    <w:p w14:paraId="4064576E">
      <w:pPr>
        <w:spacing w:line="400" w:lineRule="exact"/>
        <w:ind w:firstLine="482" w:firstLineChars="200"/>
        <w:outlineLvl w:val="9"/>
        <w:rPr>
          <w:rFonts w:hint="eastAsia" w:ascii="宋体" w:hAnsi="宋体" w:eastAsia="宋体" w:cs="宋体"/>
          <w:b/>
          <w:bCs/>
          <w:color w:val="auto"/>
          <w:sz w:val="24"/>
          <w:szCs w:val="24"/>
        </w:rPr>
      </w:pPr>
      <w:bookmarkStart w:id="54" w:name="_Toc183582215"/>
      <w:bookmarkStart w:id="55" w:name="_Toc183682352"/>
      <w:bookmarkStart w:id="56" w:name="_Toc217446043"/>
      <w:r>
        <w:rPr>
          <w:rFonts w:hint="eastAsia" w:ascii="宋体" w:hAnsi="宋体" w:eastAsia="宋体" w:cs="宋体"/>
          <w:b/>
          <w:bCs/>
          <w:color w:val="auto"/>
          <w:sz w:val="24"/>
          <w:szCs w:val="24"/>
        </w:rPr>
        <w:t>13.响应文件的组成</w:t>
      </w:r>
    </w:p>
    <w:p w14:paraId="1E1A87E5">
      <w:pPr>
        <w:spacing w:line="360" w:lineRule="auto"/>
        <w:ind w:firstLine="480" w:firstLineChars="200"/>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13.1供应商应按照谈判文件的规定要求编制响应文件。供应商在成交后将成交项目的非主体、非关键性工作分包他人完成的，应当在响应文件中载明或谈判过程中澄清。</w:t>
      </w:r>
    </w:p>
    <w:p w14:paraId="0A4A4274">
      <w:pPr>
        <w:spacing w:line="360" w:lineRule="auto"/>
        <w:ind w:firstLine="480" w:firstLineChars="200"/>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13.2供应商编写的响应文件应根据谈判文件的规定要求提供。</w:t>
      </w:r>
    </w:p>
    <w:p w14:paraId="6B3128DD">
      <w:pPr>
        <w:spacing w:line="400" w:lineRule="exact"/>
        <w:ind w:firstLine="482" w:firstLineChars="200"/>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14.响应文件的语言</w:t>
      </w:r>
      <w:bookmarkEnd w:id="54"/>
      <w:bookmarkEnd w:id="55"/>
      <w:bookmarkEnd w:id="56"/>
      <w:r>
        <w:rPr>
          <w:rFonts w:hint="eastAsia" w:ascii="宋体" w:hAnsi="宋体" w:eastAsia="宋体" w:cs="宋体"/>
          <w:b/>
          <w:bCs/>
          <w:color w:val="auto"/>
          <w:sz w:val="24"/>
          <w:szCs w:val="24"/>
        </w:rPr>
        <w:t>（实质性要求）</w:t>
      </w:r>
    </w:p>
    <w:p w14:paraId="6F5D6746">
      <w:pPr>
        <w:spacing w:line="360" w:lineRule="auto"/>
        <w:ind w:firstLine="480" w:firstLineChars="200"/>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14.1供应商提交的响应文件以及供应商与采购组织单位就有关谈判采购的所有来往书面文件均须使用中文。响应文件中如附有外文资料，主要部分要对应翻译成中文并加盖供应商公章后附在相关外文资料后面。</w:t>
      </w:r>
    </w:p>
    <w:p w14:paraId="66E0ACF5">
      <w:pPr>
        <w:spacing w:line="360" w:lineRule="auto"/>
        <w:ind w:firstLine="480" w:firstLineChars="200"/>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14.2 翻译的中文资料与外文资料如果出现差异和矛盾时，以中文为准。涉嫌提供虚假材料的按照相关法律法规处理。</w:t>
      </w:r>
    </w:p>
    <w:p w14:paraId="3F6EC5EE">
      <w:pPr>
        <w:spacing w:line="360" w:lineRule="auto"/>
        <w:ind w:firstLine="480" w:firstLineChars="200"/>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14.3 如因未翻译而造成对供应商的不利后果，由供应商承担。</w:t>
      </w:r>
    </w:p>
    <w:p w14:paraId="08121FA8">
      <w:pPr>
        <w:spacing w:line="400" w:lineRule="exact"/>
        <w:ind w:firstLine="482" w:firstLineChars="200"/>
        <w:outlineLvl w:val="9"/>
        <w:rPr>
          <w:rFonts w:hint="eastAsia" w:ascii="宋体" w:hAnsi="宋体" w:eastAsia="宋体" w:cs="宋体"/>
          <w:b/>
          <w:bCs/>
          <w:color w:val="auto"/>
          <w:sz w:val="24"/>
          <w:szCs w:val="24"/>
        </w:rPr>
      </w:pPr>
      <w:bookmarkStart w:id="57" w:name="_Toc183582216"/>
      <w:bookmarkStart w:id="58" w:name="_Toc183682353"/>
      <w:bookmarkStart w:id="59" w:name="_Toc217446044"/>
      <w:r>
        <w:rPr>
          <w:rFonts w:hint="eastAsia" w:ascii="宋体" w:hAnsi="宋体" w:eastAsia="宋体" w:cs="宋体"/>
          <w:b/>
          <w:bCs/>
          <w:color w:val="auto"/>
          <w:sz w:val="24"/>
          <w:szCs w:val="24"/>
        </w:rPr>
        <w:t>15．计量单位</w:t>
      </w:r>
      <w:bookmarkEnd w:id="57"/>
      <w:bookmarkEnd w:id="58"/>
      <w:bookmarkEnd w:id="59"/>
      <w:r>
        <w:rPr>
          <w:rFonts w:hint="eastAsia" w:ascii="宋体" w:hAnsi="宋体" w:eastAsia="宋体" w:cs="宋体"/>
          <w:b/>
          <w:bCs/>
          <w:color w:val="auto"/>
          <w:sz w:val="24"/>
          <w:szCs w:val="24"/>
        </w:rPr>
        <w:t>（实质性要求）</w:t>
      </w:r>
    </w:p>
    <w:p w14:paraId="5D864794">
      <w:pPr>
        <w:spacing w:line="360" w:lineRule="auto"/>
        <w:ind w:firstLine="480" w:firstLineChars="200"/>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除谈判文件中另有规定外，本次采购项目所有合同项下的报价均采用国家法定的计量单位。</w:t>
      </w:r>
    </w:p>
    <w:p w14:paraId="24D2DDD3">
      <w:pPr>
        <w:spacing w:line="360" w:lineRule="auto"/>
        <w:ind w:left="2" w:leftChars="1" w:firstLine="482" w:firstLineChars="200"/>
        <w:outlineLvl w:val="9"/>
        <w:rPr>
          <w:rFonts w:hint="default" w:ascii="宋体" w:hAnsi="宋体" w:eastAsia="宋体" w:cs="宋体"/>
          <w:b/>
          <w:bCs/>
          <w:color w:val="auto"/>
          <w:sz w:val="24"/>
          <w:szCs w:val="24"/>
          <w:lang w:val="en-US"/>
        </w:rPr>
      </w:pPr>
      <w:bookmarkStart w:id="60" w:name="_Toc217446045"/>
      <w:r>
        <w:rPr>
          <w:rFonts w:hint="eastAsia" w:ascii="宋体" w:hAnsi="宋体" w:eastAsia="宋体" w:cs="宋体"/>
          <w:b/>
          <w:bCs/>
          <w:color w:val="auto"/>
          <w:sz w:val="24"/>
          <w:szCs w:val="24"/>
        </w:rPr>
        <w:t>16. 报价（实质性要求）</w:t>
      </w:r>
      <w:r>
        <w:rPr>
          <w:rFonts w:hint="eastAsia" w:ascii="宋体" w:hAnsi="宋体" w:eastAsia="宋体" w:cs="宋体"/>
          <w:b/>
          <w:bCs/>
          <w:color w:val="auto"/>
          <w:sz w:val="24"/>
          <w:szCs w:val="24"/>
          <w:lang w:val="en-US" w:eastAsia="zh-CN"/>
        </w:rPr>
        <w:t>---金额保留2位小数，并采用四舍五入方式。</w:t>
      </w:r>
    </w:p>
    <w:bookmarkEnd w:id="60"/>
    <w:p w14:paraId="42CD5F2F">
      <w:pPr>
        <w:spacing w:line="360" w:lineRule="auto"/>
        <w:ind w:left="2" w:leftChars="1" w:firstLine="482" w:firstLineChars="200"/>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17.响应文件格式</w:t>
      </w:r>
    </w:p>
    <w:p w14:paraId="4129167D">
      <w:pPr>
        <w:spacing w:line="360" w:lineRule="auto"/>
        <w:ind w:left="2" w:leftChars="1"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17.1 供应商应执行谈判文件第七章的规定要求。</w:t>
      </w:r>
    </w:p>
    <w:p w14:paraId="2F629BA6">
      <w:pPr>
        <w:spacing w:line="360" w:lineRule="auto"/>
        <w:ind w:left="2" w:leftChars="1"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17.2 对于谈判文件没有格式要求的由供应商自行编写。</w:t>
      </w:r>
    </w:p>
    <w:p w14:paraId="7AA54410">
      <w:pPr>
        <w:spacing w:line="360" w:lineRule="auto"/>
        <w:ind w:firstLine="472" w:firstLineChars="196"/>
        <w:outlineLvl w:val="9"/>
        <w:rPr>
          <w:rFonts w:hint="eastAsia" w:ascii="宋体" w:hAnsi="宋体" w:eastAsia="宋体" w:cs="宋体"/>
          <w:b/>
          <w:bCs/>
          <w:color w:val="auto"/>
          <w:sz w:val="24"/>
          <w:szCs w:val="24"/>
        </w:rPr>
      </w:pPr>
      <w:bookmarkStart w:id="61" w:name="_Toc183582224"/>
      <w:bookmarkStart w:id="62" w:name="_Toc183682361"/>
      <w:bookmarkStart w:id="63" w:name="_Toc217446051"/>
      <w:r>
        <w:rPr>
          <w:rFonts w:hint="eastAsia" w:ascii="宋体" w:hAnsi="宋体" w:eastAsia="宋体" w:cs="宋体"/>
          <w:b/>
          <w:bCs/>
          <w:color w:val="auto"/>
          <w:sz w:val="24"/>
          <w:szCs w:val="24"/>
        </w:rPr>
        <w:t>18.响应文件的编制和签署</w:t>
      </w:r>
    </w:p>
    <w:p w14:paraId="51B583F3">
      <w:pPr>
        <w:spacing w:line="360" w:lineRule="auto"/>
        <w:ind w:firstLine="468" w:firstLineChars="195"/>
        <w:outlineLvl w:val="9"/>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xml:space="preserve"> </w:t>
      </w: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正本</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份副本</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份，并在其封面上清楚地标明</w:t>
      </w: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、采购项目名称、采购项目编号、包件号及名称（若有）、供应商名称以及“正本”或“副本”字样。若正本和副本有不一致的内容，以正本书面响应文件为准。</w:t>
      </w:r>
    </w:p>
    <w:bookmarkEnd w:id="61"/>
    <w:bookmarkEnd w:id="62"/>
    <w:bookmarkEnd w:id="63"/>
    <w:p w14:paraId="129F3A30">
      <w:pPr>
        <w:spacing w:line="360" w:lineRule="auto"/>
        <w:ind w:firstLine="468" w:firstLineChars="195"/>
        <w:outlineLvl w:val="9"/>
        <w:rPr>
          <w:rFonts w:hint="eastAsia" w:ascii="宋体" w:hAnsi="宋体" w:eastAsia="宋体" w:cs="宋体"/>
          <w:color w:val="auto"/>
          <w:sz w:val="24"/>
          <w:szCs w:val="24"/>
        </w:rPr>
      </w:pPr>
      <w:r>
        <w:rPr>
          <w:rFonts w:hint="eastAsia" w:ascii="宋体" w:hAnsi="宋体" w:eastAsia="宋体" w:cs="宋体"/>
          <w:color w:val="auto"/>
          <w:sz w:val="24"/>
          <w:szCs w:val="24"/>
        </w:rPr>
        <w:t>18.3 响应文件正本和副本均需打印或用不褪色、不变质的墨水书写，并在规定签章处签字和盖章。响应文件副本可采用正本的复印件。本项目响应文件提供纸质响应文件。</w:t>
      </w:r>
    </w:p>
    <w:p w14:paraId="7B8FAFD5">
      <w:pPr>
        <w:spacing w:line="360" w:lineRule="auto"/>
        <w:ind w:firstLine="468" w:firstLineChars="195"/>
        <w:outlineLvl w:val="9"/>
        <w:rPr>
          <w:rFonts w:hint="eastAsia" w:ascii="宋体" w:hAnsi="宋体" w:eastAsia="宋体" w:cs="宋体"/>
          <w:color w:val="auto"/>
          <w:sz w:val="24"/>
          <w:szCs w:val="24"/>
        </w:rPr>
      </w:pPr>
      <w:r>
        <w:rPr>
          <w:rFonts w:hint="eastAsia" w:ascii="宋体" w:hAnsi="宋体" w:eastAsia="宋体" w:cs="宋体"/>
          <w:color w:val="auto"/>
          <w:sz w:val="24"/>
          <w:szCs w:val="24"/>
        </w:rPr>
        <w:t>18.4响应文件的打印和书写应清楚工整，任何行间插字、涂改或增删，必须由供应商的法定代表人/单位负责人或其授权代表签字并盖供应商公章。</w:t>
      </w:r>
    </w:p>
    <w:p w14:paraId="49953373">
      <w:pPr>
        <w:spacing w:line="360" w:lineRule="auto"/>
        <w:ind w:firstLine="468" w:firstLineChars="195"/>
        <w:outlineLvl w:val="9"/>
        <w:rPr>
          <w:rFonts w:hint="eastAsia" w:ascii="宋体" w:hAnsi="宋体" w:eastAsia="宋体" w:cs="宋体"/>
          <w:color w:val="auto"/>
          <w:sz w:val="24"/>
          <w:szCs w:val="24"/>
        </w:rPr>
      </w:pPr>
      <w:r>
        <w:rPr>
          <w:rFonts w:hint="eastAsia" w:ascii="宋体" w:hAnsi="宋体" w:eastAsia="宋体" w:cs="宋体"/>
          <w:color w:val="auto"/>
          <w:sz w:val="24"/>
          <w:szCs w:val="24"/>
        </w:rPr>
        <w:t>18.5</w:t>
      </w:r>
      <w:r>
        <w:rPr>
          <w:rFonts w:hint="eastAsia" w:ascii="宋体" w:hAnsi="宋体" w:eastAsia="宋体" w:cs="宋体"/>
          <w:b/>
          <w:bCs/>
          <w:color w:val="auto"/>
          <w:sz w:val="24"/>
          <w:szCs w:val="24"/>
        </w:rPr>
        <w:t>（实质性要求）</w:t>
      </w:r>
      <w:r>
        <w:rPr>
          <w:rFonts w:hint="eastAsia" w:ascii="宋体" w:hAnsi="宋体" w:eastAsia="宋体" w:cs="宋体"/>
          <w:color w:val="auto"/>
          <w:sz w:val="24"/>
          <w:szCs w:val="24"/>
        </w:rPr>
        <w:t>响应文件应由供应商法定代表人/主要负责人/本人或其授权代表在响应文件要求的地方签字（注：供应商为法人的，应当由其法定代表人或者授权代表签字确认；供应商为其他组织的，应当由其主要负责人或者授权代表签字确认；供应商为自然人的，应当由其本人或者授权代表签字确认）或加盖私人印章，要求加盖公章的地方加盖单位公章，不得使用专用章（如经济合同章、投标专用章等）或下属单位印章代替。</w:t>
      </w:r>
    </w:p>
    <w:p w14:paraId="5E2E17FE">
      <w:pPr>
        <w:spacing w:line="360" w:lineRule="auto"/>
        <w:ind w:firstLine="468" w:firstLineChars="195"/>
        <w:outlineLvl w:val="9"/>
        <w:rPr>
          <w:rFonts w:hint="eastAsia" w:ascii="宋体" w:hAnsi="宋体" w:eastAsia="宋体" w:cs="宋体"/>
          <w:color w:val="auto"/>
          <w:sz w:val="24"/>
          <w:szCs w:val="24"/>
        </w:rPr>
      </w:pPr>
      <w:r>
        <w:rPr>
          <w:rFonts w:hint="eastAsia" w:ascii="宋体" w:hAnsi="宋体" w:eastAsia="宋体" w:cs="宋体"/>
          <w:color w:val="auto"/>
          <w:sz w:val="24"/>
          <w:szCs w:val="24"/>
        </w:rPr>
        <w:t>18.6响应文件正本和副本需要逐页编目编码。</w:t>
      </w:r>
    </w:p>
    <w:p w14:paraId="3FB393C9">
      <w:pPr>
        <w:tabs>
          <w:tab w:val="left" w:pos="1080"/>
        </w:tabs>
        <w:spacing w:line="360" w:lineRule="auto"/>
        <w:ind w:firstLine="460" w:firstLineChars="192"/>
        <w:outlineLvl w:val="9"/>
        <w:rPr>
          <w:rFonts w:hint="eastAsia" w:ascii="宋体" w:hAnsi="宋体" w:eastAsia="宋体" w:cs="宋体"/>
          <w:color w:val="auto"/>
          <w:sz w:val="24"/>
          <w:szCs w:val="24"/>
        </w:rPr>
      </w:pPr>
      <w:r>
        <w:rPr>
          <w:rFonts w:hint="eastAsia" w:ascii="宋体" w:hAnsi="宋体" w:eastAsia="宋体" w:cs="宋体"/>
          <w:color w:val="auto"/>
          <w:sz w:val="24"/>
          <w:szCs w:val="24"/>
        </w:rPr>
        <w:t>18.7要求提供纸质响应文件的，响应文件正本和副本应当采用胶装方式装订成册，不得散装或者合页装订。</w:t>
      </w:r>
    </w:p>
    <w:p w14:paraId="2F3C033B">
      <w:pPr>
        <w:tabs>
          <w:tab w:val="left" w:pos="1080"/>
        </w:tabs>
        <w:spacing w:line="360" w:lineRule="auto"/>
        <w:ind w:firstLine="460" w:firstLineChars="192"/>
        <w:outlineLvl w:val="9"/>
        <w:rPr>
          <w:rFonts w:hint="eastAsia" w:ascii="宋体" w:hAnsi="宋体" w:eastAsia="宋体" w:cs="宋体"/>
          <w:color w:val="auto"/>
          <w:sz w:val="24"/>
          <w:szCs w:val="24"/>
        </w:rPr>
      </w:pPr>
      <w:r>
        <w:rPr>
          <w:rFonts w:hint="eastAsia" w:ascii="宋体" w:hAnsi="宋体" w:eastAsia="宋体" w:cs="宋体"/>
          <w:color w:val="auto"/>
          <w:sz w:val="24"/>
          <w:szCs w:val="24"/>
        </w:rPr>
        <w:t>18.8</w:t>
      </w:r>
      <w:r>
        <w:rPr>
          <w:rFonts w:hint="eastAsia" w:ascii="宋体" w:hAnsi="宋体" w:eastAsia="宋体" w:cs="宋体"/>
          <w:b/>
          <w:bCs/>
          <w:color w:val="auto"/>
          <w:sz w:val="24"/>
          <w:szCs w:val="24"/>
        </w:rPr>
        <w:t>（实质性要求）</w:t>
      </w:r>
      <w:r>
        <w:rPr>
          <w:rFonts w:hint="eastAsia" w:ascii="宋体" w:hAnsi="宋体" w:eastAsia="宋体" w:cs="宋体"/>
          <w:color w:val="auto"/>
          <w:sz w:val="24"/>
          <w:szCs w:val="24"/>
        </w:rPr>
        <w:t>响应文件应按谈判文件的要求签署</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rPr>
        <w:t>盖章（第八章2.2.6</w:t>
      </w:r>
      <w:r>
        <w:rPr>
          <w:rFonts w:hint="eastAsia" w:ascii="宋体" w:hAnsi="宋体" w:eastAsia="宋体" w:cs="宋体"/>
          <w:color w:val="auto"/>
          <w:sz w:val="24"/>
          <w:szCs w:val="24"/>
        </w:rPr>
        <w:t>规定的例外情形除外）。</w:t>
      </w:r>
    </w:p>
    <w:p w14:paraId="11AEE619">
      <w:pPr>
        <w:tabs>
          <w:tab w:val="left" w:pos="1080"/>
        </w:tabs>
        <w:spacing w:line="360" w:lineRule="auto"/>
        <w:ind w:firstLine="460" w:firstLineChars="192"/>
        <w:outlineLvl w:val="9"/>
        <w:rPr>
          <w:rFonts w:hint="eastAsia" w:ascii="宋体" w:hAnsi="宋体" w:eastAsia="宋体" w:cs="宋体"/>
          <w:b/>
          <w:bCs/>
          <w:color w:val="auto"/>
          <w:sz w:val="24"/>
          <w:szCs w:val="24"/>
        </w:rPr>
      </w:pPr>
      <w:r>
        <w:rPr>
          <w:rFonts w:hint="eastAsia" w:ascii="宋体" w:hAnsi="宋体" w:eastAsia="宋体" w:cs="宋体"/>
          <w:color w:val="auto"/>
          <w:sz w:val="24"/>
          <w:szCs w:val="24"/>
        </w:rPr>
        <w:t>18.9提供纸质响应文件的，响应文件统一用A4幅面纸印制，除另有规定外。</w:t>
      </w:r>
      <w:bookmarkStart w:id="64" w:name="_Toc77400781"/>
      <w:bookmarkStart w:id="65" w:name="_Toc183682363"/>
      <w:bookmarkStart w:id="66" w:name="_Toc183582226"/>
      <w:bookmarkStart w:id="67" w:name="_Toc217446053"/>
      <w:bookmarkStart w:id="68" w:name="_Toc89075877"/>
    </w:p>
    <w:p w14:paraId="5EC40CF2">
      <w:pPr>
        <w:tabs>
          <w:tab w:val="left" w:pos="1080"/>
        </w:tabs>
        <w:spacing w:line="360" w:lineRule="auto"/>
        <w:ind w:firstLine="463" w:firstLineChars="192"/>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19.响应文件的密封和标注</w:t>
      </w:r>
    </w:p>
    <w:p w14:paraId="0B81444B">
      <w:pPr>
        <w:tabs>
          <w:tab w:val="left" w:pos="1080"/>
        </w:tabs>
        <w:spacing w:line="360" w:lineRule="auto"/>
        <w:ind w:firstLine="460" w:firstLineChars="192"/>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19.1 响应文件</w:t>
      </w:r>
      <w:r>
        <w:rPr>
          <w:rFonts w:hint="eastAsia" w:ascii="宋体" w:hAnsi="宋体" w:eastAsia="宋体" w:cs="宋体"/>
          <w:color w:val="auto"/>
          <w:sz w:val="24"/>
          <w:szCs w:val="24"/>
          <w:lang w:val="en-US" w:eastAsia="zh-CN"/>
        </w:rPr>
        <w:t>一正二副应</w:t>
      </w:r>
      <w:r>
        <w:rPr>
          <w:rFonts w:hint="eastAsia" w:ascii="宋体" w:hAnsi="宋体" w:eastAsia="宋体" w:cs="宋体"/>
          <w:color w:val="auto"/>
          <w:sz w:val="24"/>
          <w:szCs w:val="24"/>
        </w:rPr>
        <w:t>密封包装</w:t>
      </w:r>
      <w:r>
        <w:rPr>
          <w:rFonts w:hint="eastAsia" w:ascii="宋体" w:hAnsi="宋体" w:eastAsia="宋体" w:cs="宋体"/>
          <w:color w:val="auto"/>
          <w:sz w:val="24"/>
          <w:szCs w:val="24"/>
          <w:lang w:eastAsia="zh-CN"/>
        </w:rPr>
        <w:t>，并注明供应商名称、项目名称。</w:t>
      </w:r>
    </w:p>
    <w:p w14:paraId="0CFFD77A">
      <w:pPr>
        <w:tabs>
          <w:tab w:val="left" w:pos="1080"/>
        </w:tabs>
        <w:spacing w:line="360" w:lineRule="auto"/>
        <w:ind w:firstLine="460" w:firstLineChars="192"/>
        <w:outlineLvl w:val="9"/>
        <w:rPr>
          <w:rFonts w:hint="eastAsia" w:ascii="宋体" w:hAnsi="宋体" w:eastAsia="宋体" w:cs="宋体"/>
          <w:color w:val="auto"/>
          <w:sz w:val="24"/>
          <w:szCs w:val="24"/>
        </w:rPr>
      </w:pPr>
      <w:r>
        <w:rPr>
          <w:rFonts w:hint="eastAsia" w:ascii="宋体" w:hAnsi="宋体" w:eastAsia="宋体" w:cs="宋体"/>
          <w:color w:val="auto"/>
          <w:sz w:val="24"/>
          <w:szCs w:val="24"/>
        </w:rPr>
        <w:t>19.2 响应文件密封袋的最外层应清楚地标明采购项目名称、采购项目编号、包件号及名称（若有）、供应商名称。</w:t>
      </w:r>
    </w:p>
    <w:p w14:paraId="046944F7">
      <w:pPr>
        <w:tabs>
          <w:tab w:val="left" w:pos="1080"/>
        </w:tabs>
        <w:spacing w:line="360" w:lineRule="auto"/>
        <w:ind w:firstLine="460" w:firstLineChars="192"/>
        <w:outlineLvl w:val="9"/>
        <w:rPr>
          <w:rFonts w:hint="eastAsia" w:ascii="宋体" w:hAnsi="宋体" w:eastAsia="宋体" w:cs="宋体"/>
          <w:color w:val="auto"/>
          <w:sz w:val="24"/>
          <w:szCs w:val="24"/>
        </w:rPr>
      </w:pPr>
      <w:r>
        <w:rPr>
          <w:rFonts w:hint="eastAsia" w:ascii="宋体" w:hAnsi="宋体" w:eastAsia="宋体" w:cs="宋体"/>
          <w:color w:val="auto"/>
          <w:sz w:val="24"/>
          <w:szCs w:val="24"/>
        </w:rPr>
        <w:t>19.3 所有外层密封袋的封口处应粘贴牢固。</w:t>
      </w:r>
    </w:p>
    <w:p w14:paraId="6475D40A">
      <w:pPr>
        <w:tabs>
          <w:tab w:val="left" w:pos="1080"/>
        </w:tabs>
        <w:spacing w:line="360" w:lineRule="auto"/>
        <w:ind w:firstLine="460" w:firstLineChars="192"/>
        <w:outlineLvl w:val="9"/>
        <w:rPr>
          <w:rFonts w:hint="eastAsia" w:ascii="宋体" w:hAnsi="宋体" w:eastAsia="宋体" w:cs="宋体"/>
          <w:color w:val="auto"/>
          <w:sz w:val="24"/>
          <w:szCs w:val="24"/>
        </w:rPr>
      </w:pPr>
      <w:r>
        <w:rPr>
          <w:rFonts w:hint="eastAsia" w:ascii="宋体" w:hAnsi="宋体" w:eastAsia="宋体" w:cs="宋体"/>
          <w:color w:val="auto"/>
          <w:sz w:val="24"/>
          <w:szCs w:val="24"/>
        </w:rPr>
        <w:t>19.4 未密封的响应文件，采购人、采购代理机构将拒收或者在时间允许的范围内，要求供应商密封完善后接收。</w:t>
      </w:r>
    </w:p>
    <w:p w14:paraId="56A80F7F">
      <w:pPr>
        <w:tabs>
          <w:tab w:val="left" w:pos="1080"/>
        </w:tabs>
        <w:spacing w:line="360" w:lineRule="auto"/>
        <w:ind w:firstLine="463" w:firstLineChars="192"/>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20.响应文件的递交</w:t>
      </w:r>
    </w:p>
    <w:p w14:paraId="3B301144">
      <w:pPr>
        <w:tabs>
          <w:tab w:val="left" w:pos="1080"/>
        </w:tabs>
        <w:spacing w:line="360" w:lineRule="auto"/>
        <w:ind w:firstLine="460" w:firstLineChars="192"/>
        <w:outlineLvl w:val="9"/>
        <w:rPr>
          <w:rFonts w:hint="eastAsia" w:ascii="宋体" w:hAnsi="宋体" w:eastAsia="宋体" w:cs="宋体"/>
          <w:color w:val="auto"/>
          <w:sz w:val="24"/>
          <w:szCs w:val="24"/>
        </w:rPr>
      </w:pPr>
      <w:r>
        <w:rPr>
          <w:rFonts w:hint="eastAsia" w:ascii="宋体" w:hAnsi="宋体" w:eastAsia="宋体" w:cs="宋体"/>
          <w:color w:val="auto"/>
          <w:sz w:val="24"/>
          <w:szCs w:val="24"/>
        </w:rPr>
        <w:t>20.1 资格性响应文件和</w:t>
      </w:r>
      <w:r>
        <w:rPr>
          <w:rFonts w:hint="eastAsia" w:ascii="宋体" w:hAnsi="宋体" w:cs="宋体"/>
          <w:color w:val="auto"/>
          <w:sz w:val="24"/>
          <w:szCs w:val="24"/>
          <w:lang w:val="en-US" w:eastAsia="zh-CN"/>
        </w:rPr>
        <w:t>其他</w:t>
      </w: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应于递交响应文件截止时间前送达指定地点，采购代理机构拒绝接收截止时间后送达的响应文件。供应商在递交响应文件时，用正楷填写本谈判须知“递交响应文件</w:t>
      </w:r>
      <w:r>
        <w:rPr>
          <w:rFonts w:hint="eastAsia" w:ascii="宋体" w:hAnsi="宋体" w:cs="宋体"/>
          <w:color w:val="auto"/>
          <w:sz w:val="24"/>
          <w:szCs w:val="24"/>
          <w:lang w:eastAsia="zh-CN"/>
        </w:rPr>
        <w:t>登记</w:t>
      </w:r>
      <w:r>
        <w:rPr>
          <w:rFonts w:hint="eastAsia" w:ascii="宋体" w:hAnsi="宋体" w:eastAsia="宋体" w:cs="宋体"/>
          <w:color w:val="auto"/>
          <w:sz w:val="24"/>
          <w:szCs w:val="24"/>
        </w:rPr>
        <w:t>表”然后将</w:t>
      </w:r>
      <w:r>
        <w:rPr>
          <w:rFonts w:hint="eastAsia" w:ascii="宋体" w:hAnsi="宋体" w:cs="宋体"/>
          <w:color w:val="auto"/>
          <w:sz w:val="24"/>
          <w:szCs w:val="24"/>
          <w:lang w:eastAsia="zh-CN"/>
        </w:rPr>
        <w:t>登记</w:t>
      </w:r>
      <w:r>
        <w:rPr>
          <w:rFonts w:hint="eastAsia" w:ascii="宋体" w:hAnsi="宋体" w:eastAsia="宋体" w:cs="宋体"/>
          <w:color w:val="auto"/>
          <w:sz w:val="24"/>
          <w:szCs w:val="24"/>
        </w:rPr>
        <w:t>表和响应文件一并递交给采购代理机构工作人员。</w:t>
      </w:r>
    </w:p>
    <w:p w14:paraId="09ACD182">
      <w:pPr>
        <w:tabs>
          <w:tab w:val="left" w:pos="1080"/>
        </w:tabs>
        <w:spacing w:line="360" w:lineRule="auto"/>
        <w:ind w:firstLine="460" w:firstLineChars="192"/>
        <w:outlineLvl w:val="9"/>
        <w:rPr>
          <w:rFonts w:hint="eastAsia" w:ascii="宋体" w:hAnsi="宋体" w:eastAsia="宋体" w:cs="宋体"/>
          <w:color w:val="auto"/>
          <w:sz w:val="24"/>
          <w:szCs w:val="24"/>
        </w:rPr>
      </w:pPr>
      <w:r>
        <w:rPr>
          <w:rFonts w:hint="eastAsia" w:ascii="宋体" w:hAnsi="宋体" w:eastAsia="宋体" w:cs="宋体"/>
          <w:color w:val="auto"/>
          <w:sz w:val="24"/>
          <w:szCs w:val="24"/>
        </w:rPr>
        <w:t>20.2报价表在谈判后，由谈判小组要求供应商进行报价时递交。</w:t>
      </w:r>
    </w:p>
    <w:p w14:paraId="08EBABCB">
      <w:pPr>
        <w:tabs>
          <w:tab w:val="left" w:pos="1080"/>
        </w:tabs>
        <w:spacing w:line="360" w:lineRule="auto"/>
        <w:ind w:firstLine="460" w:firstLineChars="192"/>
        <w:outlineLvl w:val="9"/>
        <w:rPr>
          <w:rFonts w:hint="eastAsia" w:ascii="宋体" w:hAnsi="宋体" w:eastAsia="宋体" w:cs="宋体"/>
          <w:color w:val="auto"/>
          <w:sz w:val="24"/>
          <w:szCs w:val="24"/>
        </w:rPr>
      </w:pPr>
      <w:r>
        <w:rPr>
          <w:rFonts w:hint="eastAsia" w:ascii="宋体" w:hAnsi="宋体" w:eastAsia="宋体" w:cs="宋体"/>
          <w:color w:val="auto"/>
          <w:sz w:val="24"/>
          <w:szCs w:val="24"/>
        </w:rPr>
        <w:t>20.3本次采购不接收邮寄的响应文件。</w:t>
      </w:r>
    </w:p>
    <w:bookmarkEnd w:id="64"/>
    <w:bookmarkEnd w:id="65"/>
    <w:bookmarkEnd w:id="66"/>
    <w:bookmarkEnd w:id="67"/>
    <w:bookmarkEnd w:id="68"/>
    <w:p w14:paraId="7BB304CE">
      <w:pPr>
        <w:tabs>
          <w:tab w:val="left" w:pos="1080"/>
        </w:tabs>
        <w:spacing w:line="360" w:lineRule="auto"/>
        <w:ind w:firstLine="463" w:firstLineChars="192"/>
        <w:outlineLvl w:val="9"/>
        <w:rPr>
          <w:rFonts w:hint="eastAsia" w:ascii="宋体" w:hAnsi="宋体" w:eastAsia="宋体" w:cs="宋体"/>
          <w:b/>
          <w:bCs/>
          <w:color w:val="auto"/>
          <w:sz w:val="24"/>
          <w:szCs w:val="24"/>
        </w:rPr>
      </w:pPr>
      <w:bookmarkStart w:id="69" w:name="_Toc183682365"/>
      <w:bookmarkStart w:id="70" w:name="_Toc217446055"/>
      <w:bookmarkStart w:id="71" w:name="_Toc183582228"/>
      <w:r>
        <w:rPr>
          <w:rFonts w:hint="eastAsia" w:ascii="宋体" w:hAnsi="宋体" w:eastAsia="宋体" w:cs="宋体"/>
          <w:b/>
          <w:bCs/>
          <w:color w:val="auto"/>
          <w:sz w:val="24"/>
          <w:szCs w:val="24"/>
        </w:rPr>
        <w:t>21.响应文件的修改和撤回（补充、修改响应文件的密封和标注按照本章“19.响应文件的密封和标注”规定处理）</w:t>
      </w:r>
    </w:p>
    <w:p w14:paraId="55916FCD">
      <w:pPr>
        <w:pStyle w:val="12"/>
        <w:spacing w:line="360" w:lineRule="auto"/>
        <w:ind w:firstLine="31680"/>
        <w:outlineLvl w:val="9"/>
        <w:rPr>
          <w:rFonts w:hint="eastAsia" w:ascii="宋体" w:hAnsi="宋体" w:eastAsia="宋体" w:cs="宋体"/>
          <w:color w:val="auto"/>
          <w:sz w:val="24"/>
          <w:szCs w:val="24"/>
        </w:rPr>
      </w:pPr>
      <w:r>
        <w:rPr>
          <w:rFonts w:hint="eastAsia" w:ascii="宋体" w:hAnsi="宋体" w:eastAsia="宋体" w:cs="宋体"/>
          <w:color w:val="auto"/>
          <w:sz w:val="24"/>
          <w:szCs w:val="24"/>
        </w:rPr>
        <w:t>21.1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供应商在提交响应文件截止时间前，可以对所提交的响应文件进行补充、修改或者撤回，补充、修改的内容与响应文件不一致的，以补充、修改的内容为准。</w:t>
      </w:r>
    </w:p>
    <w:p w14:paraId="2CB38FCF">
      <w:pPr>
        <w:adjustRightInd w:val="0"/>
        <w:snapToGrid w:val="0"/>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21.2供应商对响应文件修改的书面材料或撤回的通知应该按规定进行编写、密封、标注和递送，并注明“修改响应文件”字样。</w:t>
      </w:r>
    </w:p>
    <w:p w14:paraId="422883B8">
      <w:pPr>
        <w:adjustRightInd w:val="0"/>
        <w:snapToGrid w:val="0"/>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21.3供应商不得在递交截止时间起至响应文件有效期期满前撤销其响应文件，否则将认定其响应文件有效期的承诺为虚假承诺，并依法追究其法律责任。</w:t>
      </w:r>
    </w:p>
    <w:p w14:paraId="4EB386FD">
      <w:pPr>
        <w:spacing w:line="360" w:lineRule="auto"/>
        <w:ind w:firstLine="480"/>
        <w:outlineLvl w:val="9"/>
        <w:rPr>
          <w:rFonts w:hint="eastAsia" w:ascii="宋体" w:hAnsi="宋体" w:eastAsia="宋体" w:cs="宋体"/>
          <w:color w:val="auto"/>
          <w:sz w:val="24"/>
          <w:szCs w:val="24"/>
        </w:rPr>
      </w:pPr>
      <w:r>
        <w:rPr>
          <w:rFonts w:hint="eastAsia" w:ascii="宋体" w:hAnsi="宋体" w:eastAsia="宋体" w:cs="宋体"/>
          <w:color w:val="auto"/>
          <w:sz w:val="24"/>
          <w:szCs w:val="24"/>
        </w:rPr>
        <w:t>21.4供应商对其提交的响应文件的真实性、合法性承担法律责任。</w:t>
      </w:r>
      <w:bookmarkEnd w:id="69"/>
      <w:bookmarkEnd w:id="70"/>
      <w:bookmarkEnd w:id="71"/>
      <w:bookmarkStart w:id="72" w:name="_Toc183582231"/>
      <w:bookmarkStart w:id="73" w:name="_Toc183682368"/>
      <w:bookmarkStart w:id="74" w:name="_Toc77400782"/>
      <w:bookmarkStart w:id="75" w:name="_Toc89075878"/>
      <w:bookmarkStart w:id="76" w:name="_Toc217446056"/>
    </w:p>
    <w:p w14:paraId="521A9101">
      <w:pPr>
        <w:keepNext w:val="0"/>
        <w:keepLines w:val="0"/>
        <w:spacing w:before="0" w:after="0" w:line="360" w:lineRule="auto"/>
        <w:jc w:val="center"/>
        <w:outlineLvl w:val="9"/>
        <w:rPr>
          <w:rFonts w:hint="eastAsia" w:ascii="宋体" w:hAnsi="宋体" w:eastAsia="宋体" w:cs="宋体"/>
          <w:b/>
          <w:bCs/>
          <w:color w:val="auto"/>
          <w:sz w:val="36"/>
          <w:szCs w:val="36"/>
          <w:lang w:eastAsia="zh-CN"/>
        </w:rPr>
      </w:pPr>
    </w:p>
    <w:p w14:paraId="4E008F13">
      <w:pPr>
        <w:keepNext w:val="0"/>
        <w:keepLines w:val="0"/>
        <w:spacing w:before="0" w:after="0" w:line="360" w:lineRule="auto"/>
        <w:jc w:val="center"/>
        <w:outlineLvl w:val="9"/>
        <w:rPr>
          <w:rFonts w:hint="eastAsia" w:ascii="宋体" w:hAnsi="宋体" w:eastAsia="宋体" w:cs="宋体"/>
          <w:b/>
          <w:bCs/>
          <w:color w:val="auto"/>
          <w:sz w:val="36"/>
          <w:szCs w:val="36"/>
          <w:lang w:eastAsia="zh-CN"/>
        </w:rPr>
      </w:pPr>
    </w:p>
    <w:p w14:paraId="0C021B12">
      <w:pPr>
        <w:keepNext w:val="0"/>
        <w:keepLines w:val="0"/>
        <w:spacing w:before="0" w:after="0" w:line="360" w:lineRule="auto"/>
        <w:jc w:val="center"/>
        <w:outlineLvl w:val="9"/>
        <w:rPr>
          <w:rFonts w:hint="eastAsia" w:ascii="宋体" w:hAnsi="宋体" w:eastAsia="宋体" w:cs="宋体"/>
          <w:b/>
          <w:bCs/>
          <w:color w:val="auto"/>
          <w:sz w:val="36"/>
          <w:szCs w:val="36"/>
        </w:rPr>
      </w:pPr>
      <w:r>
        <w:rPr>
          <w:rFonts w:hint="eastAsia" w:ascii="宋体" w:hAnsi="宋体" w:eastAsia="宋体" w:cs="宋体"/>
          <w:b/>
          <w:bCs/>
          <w:color w:val="auto"/>
          <w:sz w:val="36"/>
          <w:szCs w:val="36"/>
          <w:lang w:eastAsia="zh-CN"/>
        </w:rPr>
        <w:t>五</w:t>
      </w:r>
      <w:r>
        <w:rPr>
          <w:rFonts w:hint="eastAsia" w:ascii="宋体" w:hAnsi="宋体" w:eastAsia="宋体" w:cs="宋体"/>
          <w:b/>
          <w:bCs/>
          <w:color w:val="auto"/>
          <w:sz w:val="36"/>
          <w:szCs w:val="36"/>
        </w:rPr>
        <w:t>、成交事项</w:t>
      </w:r>
    </w:p>
    <w:p w14:paraId="26B3C6A6">
      <w:pPr>
        <w:keepNext w:val="0"/>
        <w:keepLines w:val="0"/>
        <w:spacing w:after="0"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.确定成交供应商</w:t>
      </w:r>
    </w:p>
    <w:p w14:paraId="38C41611">
      <w:pPr>
        <w:keepNext w:val="0"/>
        <w:keepLines w:val="0"/>
        <w:spacing w:before="0" w:after="0" w:line="360" w:lineRule="auto"/>
        <w:ind w:firstLine="480" w:firstLineChars="200"/>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rPr>
        <w:t>本项目采购人将按谈判小组推荐的成交候选供应商顺序确定成交供应商。</w:t>
      </w:r>
    </w:p>
    <w:p w14:paraId="3F748051">
      <w:pPr>
        <w:keepNext w:val="0"/>
        <w:keepLines w:val="0"/>
        <w:spacing w:before="0" w:after="0" w:line="360" w:lineRule="auto"/>
        <w:ind w:firstLine="480" w:firstLineChars="200"/>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.2采购代理机构自评审结束后2个工作日内将谈判报告及有关资料送交采购人确定成交供应商。</w:t>
      </w:r>
    </w:p>
    <w:p w14:paraId="7B0FBEDD">
      <w:pPr>
        <w:keepNext w:val="0"/>
        <w:keepLines w:val="0"/>
        <w:spacing w:before="0" w:after="0" w:line="360" w:lineRule="auto"/>
        <w:ind w:firstLine="480" w:firstLineChars="200"/>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3采购人收到谈判报告及有关资料后，将在5个工作日内按照谈判报告中推荐的成交候选供应商顺序确定成交供应商。采购人逾期未确定成交供应商且不提出异议的，视为确定谈判报告提出的排序第一的供应商为成交供应商。</w:t>
      </w:r>
    </w:p>
    <w:p w14:paraId="7AF753EF">
      <w:pPr>
        <w:keepNext w:val="0"/>
        <w:keepLines w:val="0"/>
        <w:spacing w:before="0" w:after="0" w:line="360" w:lineRule="auto"/>
        <w:ind w:firstLine="480" w:firstLineChars="200"/>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.4采购人确定成交供应商过程中，发现成交候选供应商有下列情形之一的，不予确定其为成交供应商：</w:t>
      </w:r>
    </w:p>
    <w:p w14:paraId="3F0427D2">
      <w:pPr>
        <w:keepNext w:val="0"/>
        <w:keepLines w:val="0"/>
        <w:spacing w:before="0" w:after="0" w:line="360" w:lineRule="auto"/>
        <w:ind w:firstLine="480" w:firstLineChars="200"/>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（1）成交候选供应商属于禁止参加本项目采购活动的；</w:t>
      </w:r>
    </w:p>
    <w:p w14:paraId="749B835E">
      <w:pPr>
        <w:keepNext w:val="0"/>
        <w:keepLines w:val="0"/>
        <w:spacing w:before="0" w:after="0" w:line="360" w:lineRule="auto"/>
        <w:ind w:firstLine="480" w:firstLineChars="200"/>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（2）成交候选供应商因不可抗力，不能继续参加政府采购活动；</w:t>
      </w:r>
    </w:p>
    <w:p w14:paraId="6011B8FC">
      <w:pPr>
        <w:keepNext w:val="0"/>
        <w:keepLines w:val="0"/>
        <w:spacing w:before="0" w:after="0" w:line="360" w:lineRule="auto"/>
        <w:ind w:firstLine="480" w:firstLineChars="200"/>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（3）成交候选供应商无偿赠与或者低于成本价竞争；</w:t>
      </w:r>
    </w:p>
    <w:p w14:paraId="72DB935B">
      <w:pPr>
        <w:keepNext w:val="0"/>
        <w:keepLines w:val="0"/>
        <w:spacing w:before="0" w:after="0" w:line="360" w:lineRule="auto"/>
        <w:ind w:firstLine="480" w:firstLineChars="200"/>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（4）成交候选供应商提供虚假材料；</w:t>
      </w:r>
    </w:p>
    <w:p w14:paraId="5B64711E">
      <w:pPr>
        <w:keepNext w:val="0"/>
        <w:keepLines w:val="0"/>
        <w:spacing w:before="0" w:after="0" w:line="360" w:lineRule="auto"/>
        <w:ind w:firstLine="480" w:firstLineChars="200"/>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（5）成交候选供应商恶意串通。</w:t>
      </w:r>
    </w:p>
    <w:p w14:paraId="04E6F5E0">
      <w:pPr>
        <w:keepNext w:val="0"/>
        <w:keepLines w:val="0"/>
        <w:spacing w:before="0" w:after="0"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.成交结果</w:t>
      </w:r>
    </w:p>
    <w:p w14:paraId="7B1417C6">
      <w:pPr>
        <w:keepNext w:val="0"/>
        <w:keepLines w:val="0"/>
        <w:spacing w:before="0" w:after="0" w:line="360" w:lineRule="auto"/>
        <w:ind w:firstLine="480" w:firstLineChars="200"/>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.1采购人确定成交供应商后，将及时书面通知采购代理机构，由采购代理机构发出成交通知书并发布成交结果公告。</w:t>
      </w:r>
    </w:p>
    <w:p w14:paraId="343FA517">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.2成交供应商应当及时领取成交通知书。本项目需要交纳履约保证金的，成交供应商应当及时向采购人交纳。</w:t>
      </w:r>
    </w:p>
    <w:p w14:paraId="1F041484">
      <w:pPr>
        <w:spacing w:line="360" w:lineRule="auto"/>
        <w:ind w:firstLine="465"/>
        <w:outlineLvl w:val="9"/>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.3成交供应商不能及时领取成交通知书，采购人或者采购代理机应当通过邮寄、快递等方式将项目成交通知书送达成交供应商。</w:t>
      </w:r>
    </w:p>
    <w:p w14:paraId="5BD358CA">
      <w:pPr>
        <w:keepNext w:val="0"/>
        <w:keepLines w:val="0"/>
        <w:spacing w:before="0" w:after="0"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.成交通知书</w:t>
      </w:r>
    </w:p>
    <w:p w14:paraId="059B5BB8">
      <w:pPr>
        <w:keepNext w:val="0"/>
        <w:keepLines w:val="0"/>
        <w:spacing w:before="0" w:after="0" w:line="360" w:lineRule="auto"/>
        <w:ind w:firstLine="480" w:firstLineChars="200"/>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.1成交通知书为签订政府采购合同的依据之一，是合同的有效组成部分。</w:t>
      </w:r>
    </w:p>
    <w:p w14:paraId="22AE1D81">
      <w:pPr>
        <w:keepNext w:val="0"/>
        <w:keepLines w:val="0"/>
        <w:spacing w:before="0" w:after="0" w:line="360" w:lineRule="auto"/>
        <w:ind w:firstLine="480" w:firstLineChars="200"/>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.2成交通知书对采购人和成交供应商均具有法律效力。成交通知书发出后，采购人无正当理由改变成交结果，或者成交供应商无正当理由放弃成交的，将承担相应的法律责任。</w:t>
      </w:r>
    </w:p>
    <w:p w14:paraId="5D7DD1F9">
      <w:pPr>
        <w:keepNext w:val="0"/>
        <w:keepLines w:val="0"/>
        <w:spacing w:before="0" w:after="0" w:line="360" w:lineRule="auto"/>
        <w:ind w:firstLine="480" w:firstLineChars="200"/>
        <w:outlineLvl w:val="9"/>
        <w:rPr>
          <w:rFonts w:hint="eastAsia"/>
          <w:color w:val="auto"/>
        </w:rPr>
      </w:pP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3成交供应商的响应文件作为无效响应文件处理或者有政府采购法律法规规章制度规定的成交无效情形的，采购人/采购代理机构在取得有权主体的认定以后，有权宣布发出的成交通知书无效，并收回发出的成交通知书，依法重新确定成交供应商或者重新开展采购活动。</w:t>
      </w:r>
    </w:p>
    <w:p w14:paraId="23B094D7">
      <w:pPr>
        <w:keepNext w:val="0"/>
        <w:keepLines w:val="0"/>
        <w:spacing w:before="0" w:after="0" w:line="360" w:lineRule="auto"/>
        <w:jc w:val="center"/>
        <w:outlineLvl w:val="9"/>
        <w:rPr>
          <w:rFonts w:hint="eastAsia" w:ascii="宋体" w:hAnsi="宋体" w:eastAsia="宋体" w:cs="宋体"/>
          <w:b/>
          <w:bCs/>
          <w:color w:val="auto"/>
          <w:sz w:val="36"/>
          <w:szCs w:val="36"/>
          <w:lang w:eastAsia="zh-CN"/>
        </w:rPr>
      </w:pPr>
      <w:r>
        <w:rPr>
          <w:rFonts w:hint="eastAsia" w:ascii="宋体" w:hAnsi="宋体" w:eastAsia="宋体" w:cs="宋体"/>
          <w:b/>
          <w:bCs/>
          <w:color w:val="auto"/>
          <w:sz w:val="36"/>
          <w:szCs w:val="36"/>
          <w:lang w:eastAsia="zh-CN"/>
        </w:rPr>
        <w:t>六、合同事项</w:t>
      </w:r>
    </w:p>
    <w:p w14:paraId="35E10625">
      <w:pPr>
        <w:keepNext w:val="0"/>
        <w:keepLines w:val="0"/>
        <w:spacing w:before="0" w:after="0" w:line="360" w:lineRule="auto"/>
        <w:ind w:firstLine="470" w:firstLineChars="196"/>
        <w:outlineLvl w:val="9"/>
        <w:rPr>
          <w:rFonts w:hint="eastAsia" w:ascii="宋体" w:hAnsi="宋体" w:eastAsia="宋体" w:cs="宋体"/>
          <w:color w:val="auto"/>
          <w:sz w:val="24"/>
          <w:szCs w:val="24"/>
        </w:rPr>
      </w:pPr>
      <w:bookmarkStart w:id="77" w:name="_Toc101338364"/>
      <w:bookmarkStart w:id="78" w:name="_Toc209847069"/>
      <w:bookmarkStart w:id="79" w:name="_Toc101250646"/>
      <w:bookmarkStart w:id="80" w:name="_Toc430773927"/>
      <w:bookmarkStart w:id="81" w:name="_Toc101174151"/>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.签订合同</w:t>
      </w:r>
      <w:bookmarkEnd w:id="77"/>
      <w:bookmarkEnd w:id="78"/>
      <w:bookmarkEnd w:id="79"/>
      <w:bookmarkEnd w:id="80"/>
      <w:bookmarkEnd w:id="81"/>
    </w:p>
    <w:p w14:paraId="257A92D0">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 成交供应商应在成交通知书发出之日起</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日内与采购人签订采购合同。由于成交供应商的原因逾期未与采购人签订采购合同的，将视为放弃成交，取消其成交资格并将按相关规定进行处理。</w:t>
      </w:r>
    </w:p>
    <w:p w14:paraId="6308D278">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.2 谈判文件、成交供应商的响应文件及双方确认的澄清文件等，均为有法律约束力的合同组成部分。</w:t>
      </w:r>
    </w:p>
    <w:p w14:paraId="16CE89A1">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.3 采购人不得向成交供应商提出任何不合理的要求，作为签订合同的条件，不得与成交供应商私下订立背离合同实质性内容的任何协议，所签订的合同不得对谈判文件和成交供应商响应文件确定的事项进行修改。</w:t>
      </w:r>
    </w:p>
    <w:p w14:paraId="5FF601BD">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.4 成交供应商因不可抗力原因不能履行采购合同或放弃成交的，采购人可以与后一位序的成交候选供应商签订采购合同，依此类推。</w:t>
      </w:r>
    </w:p>
    <w:p w14:paraId="3D458B49">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.5竞争性谈判文件、成交供应商提交的响应文件、谈判中的最后报价、成交供应商承诺书、成交通知书等均称为有法律约束力的合同组成内容。</w:t>
      </w:r>
    </w:p>
    <w:p w14:paraId="63AEDD03">
      <w:pPr>
        <w:spacing w:line="360" w:lineRule="auto"/>
        <w:ind w:firstLine="482" w:firstLineChars="200"/>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.合同分包（实质性要求）</w:t>
      </w:r>
    </w:p>
    <w:p w14:paraId="53205A75">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本采购项目严禁分包。</w:t>
      </w:r>
    </w:p>
    <w:p w14:paraId="7AD667A0">
      <w:pPr>
        <w:spacing w:line="360" w:lineRule="auto"/>
        <w:ind w:firstLine="482" w:firstLineChars="200"/>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.合同转包（实质性要求）</w:t>
      </w:r>
    </w:p>
    <w:p w14:paraId="59C31589">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采购项目严禁成交供应商将任何政府采购合同义务转包。本项目所称转包，是指成交供应商将政府采购合同义务转让给第三人，并退出现有政府采购合同当事人双方的权利义务关系，受让人（即第三人）实质成为政府采购合同的另一方当事人的行为。</w:t>
      </w:r>
    </w:p>
    <w:p w14:paraId="27F2EF1A">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成交供应商转包的，视同拒绝履行政府采购合同义务，将依法追究法律责任。</w:t>
      </w:r>
    </w:p>
    <w:p w14:paraId="6A27FC66">
      <w:pPr>
        <w:spacing w:line="360" w:lineRule="auto"/>
        <w:ind w:firstLine="482" w:firstLineChars="200"/>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en-US" w:eastAsia="zh-CN"/>
        </w:rPr>
        <w:t>8</w:t>
      </w:r>
      <w:r>
        <w:rPr>
          <w:rFonts w:hint="eastAsia" w:ascii="宋体" w:hAnsi="宋体" w:eastAsia="宋体" w:cs="宋体"/>
          <w:b/>
          <w:bCs/>
          <w:color w:val="auto"/>
          <w:sz w:val="24"/>
          <w:szCs w:val="24"/>
        </w:rPr>
        <w:t>.补充合同</w:t>
      </w:r>
    </w:p>
    <w:p w14:paraId="14FA94E9">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采购合同履行过程中，采购人需要追加与合同标的相同的货物、工程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3FFD6A9B">
      <w:pPr>
        <w:spacing w:line="360" w:lineRule="auto"/>
        <w:ind w:firstLine="482" w:firstLineChars="200"/>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29</w:t>
      </w:r>
      <w:r>
        <w:rPr>
          <w:rFonts w:hint="eastAsia" w:ascii="宋体" w:hAnsi="宋体" w:eastAsia="宋体" w:cs="宋体"/>
          <w:b/>
          <w:bCs/>
          <w:color w:val="auto"/>
          <w:sz w:val="24"/>
          <w:szCs w:val="24"/>
        </w:rPr>
        <w:t>.履约保证金（实质性要求）</w:t>
      </w:r>
    </w:p>
    <w:p w14:paraId="7F6CD066">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 xml:space="preserve"> </w:t>
      </w:r>
      <w:r>
        <w:rPr>
          <w:rFonts w:hint="eastAsia" w:ascii="宋体" w:hAnsi="宋体" w:eastAsia="宋体" w:cs="宋体"/>
          <w:color w:val="auto"/>
          <w:sz w:val="24"/>
          <w:szCs w:val="24"/>
          <w:lang w:val="en-US" w:eastAsia="zh-CN"/>
        </w:rPr>
        <w:t>本项目不收取履约保证金。</w:t>
      </w:r>
    </w:p>
    <w:p w14:paraId="23E9071D">
      <w:pPr>
        <w:spacing w:line="360" w:lineRule="auto"/>
        <w:ind w:firstLine="482" w:firstLineChars="200"/>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0</w:t>
      </w:r>
      <w:r>
        <w:rPr>
          <w:rFonts w:hint="eastAsia" w:ascii="宋体" w:hAnsi="宋体" w:eastAsia="宋体" w:cs="宋体"/>
          <w:b/>
          <w:bCs/>
          <w:color w:val="auto"/>
          <w:sz w:val="24"/>
          <w:szCs w:val="24"/>
        </w:rPr>
        <w:t>.履行合同</w:t>
      </w:r>
    </w:p>
    <w:p w14:paraId="1BE68210">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 成交供应商与采购人签订合同后，合同双方应严格执行合同条款，履行合同规定的义务，保证合同的顺利完成。</w:t>
      </w:r>
    </w:p>
    <w:p w14:paraId="54296166">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.2 在合同履行过程中，如发生合同纠纷，合同双方应按照合同约定及《合同法》的有关规定进行处理。</w:t>
      </w:r>
    </w:p>
    <w:p w14:paraId="3FCCD1ED">
      <w:pPr>
        <w:spacing w:line="360" w:lineRule="auto"/>
        <w:ind w:firstLine="482" w:firstLineChars="200"/>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.验收</w:t>
      </w:r>
    </w:p>
    <w:p w14:paraId="70D19FE6">
      <w:pPr>
        <w:snapToGrid w:val="0"/>
        <w:spacing w:line="360" w:lineRule="auto"/>
        <w:ind w:firstLine="480" w:firstLineChars="200"/>
        <w:outlineLvl w:val="9"/>
        <w:rPr>
          <w:rFonts w:hint="eastAsia" w:ascii="宋体" w:hAnsi="宋体" w:eastAsia="宋体" w:cs="宋体"/>
          <w:color w:val="auto"/>
          <w:sz w:val="22"/>
          <w:szCs w:val="22"/>
        </w:rPr>
      </w:pPr>
      <w:r>
        <w:rPr>
          <w:rFonts w:hint="eastAsia" w:ascii="宋体"/>
          <w:color w:val="auto"/>
          <w:sz w:val="24"/>
          <w:highlight w:val="none"/>
          <w:lang w:val="en-US" w:eastAsia="zh-CN"/>
        </w:rPr>
        <w:t>采购人</w:t>
      </w:r>
      <w:r>
        <w:rPr>
          <w:rFonts w:hint="eastAsia" w:ascii="宋体"/>
          <w:color w:val="auto"/>
          <w:sz w:val="24"/>
          <w:highlight w:val="none"/>
        </w:rPr>
        <w:t>严格按照《财政部关于进一步加强政府采购需求和履约验收管理的指导意见》(财库〔2016〕205 号)、</w:t>
      </w:r>
      <w:r>
        <w:rPr>
          <w:rFonts w:hint="eastAsia" w:ascii="宋体" w:hAnsi="宋体" w:cs="宋体"/>
          <w:color w:val="auto"/>
          <w:sz w:val="24"/>
          <w:highlight w:val="none"/>
        </w:rPr>
        <w:t>《政府采购需求管理办法》（财库〔2021〕22号）</w:t>
      </w:r>
      <w:r>
        <w:rPr>
          <w:rFonts w:hint="eastAsia" w:ascii="宋体"/>
          <w:color w:val="auto"/>
          <w:sz w:val="24"/>
          <w:highlight w:val="none"/>
        </w:rPr>
        <w:t>的要求，</w:t>
      </w:r>
      <w:r>
        <w:rPr>
          <w:rFonts w:hint="eastAsia" w:ascii="宋体"/>
          <w:color w:val="auto"/>
          <w:sz w:val="24"/>
          <w:highlight w:val="none"/>
          <w:lang w:val="zh-CN"/>
        </w:rPr>
        <w:t>根据招标文件、投标文件及</w:t>
      </w:r>
      <w:r>
        <w:rPr>
          <w:rFonts w:hint="eastAsia" w:ascii="宋体" w:hAnsi="宋体" w:cs="宋体"/>
          <w:color w:val="auto"/>
          <w:spacing w:val="-5"/>
          <w:sz w:val="24"/>
          <w:highlight w:val="none"/>
        </w:rPr>
        <w:t>国家现行标准和规范由</w:t>
      </w:r>
      <w:r>
        <w:rPr>
          <w:rFonts w:hint="eastAsia" w:ascii="宋体" w:hAnsi="宋体" w:cs="宋体"/>
          <w:color w:val="auto"/>
          <w:spacing w:val="-5"/>
          <w:sz w:val="24"/>
          <w:highlight w:val="none"/>
          <w:lang w:val="en-US" w:eastAsia="zh-CN"/>
        </w:rPr>
        <w:t>采购人自行</w:t>
      </w:r>
      <w:r>
        <w:rPr>
          <w:rFonts w:hint="eastAsia" w:ascii="宋体" w:hAnsi="宋体" w:cs="宋体"/>
          <w:color w:val="auto"/>
          <w:spacing w:val="-5"/>
          <w:sz w:val="24"/>
          <w:highlight w:val="none"/>
        </w:rPr>
        <w:t>组织验收。</w:t>
      </w:r>
      <w:r>
        <w:rPr>
          <w:rFonts w:ascii="宋体" w:hAnsi="宋体" w:cs="宋体"/>
          <w:color w:val="auto"/>
          <w:sz w:val="24"/>
          <w:highlight w:val="none"/>
        </w:rPr>
        <w:t xml:space="preserve"> </w:t>
      </w:r>
    </w:p>
    <w:p w14:paraId="065605DF">
      <w:pPr>
        <w:spacing w:line="360" w:lineRule="auto"/>
        <w:ind w:firstLine="482" w:firstLineChars="200"/>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.资金支付</w:t>
      </w:r>
    </w:p>
    <w:p w14:paraId="69F4D9BA">
      <w:pPr>
        <w:spacing w:line="360" w:lineRule="auto"/>
        <w:ind w:firstLine="480" w:firstLineChars="200"/>
        <w:outlineLvl w:val="9"/>
        <w:rPr>
          <w:rFonts w:hint="eastAsia" w:ascii="宋体" w:hAnsi="宋体" w:eastAsia="宋体" w:cs="宋体"/>
          <w:b/>
          <w:bCs/>
          <w:color w:val="auto"/>
          <w:sz w:val="24"/>
          <w:szCs w:val="24"/>
        </w:rPr>
      </w:pPr>
      <w:r>
        <w:rPr>
          <w:rFonts w:hint="eastAsia" w:ascii="宋体" w:hAnsi="宋体" w:eastAsia="宋体" w:cs="宋体"/>
          <w:color w:val="auto"/>
          <w:sz w:val="24"/>
          <w:szCs w:val="24"/>
        </w:rPr>
        <w:t>采购人将按照政府采购合同规定，及时向成交供应商支付采购资金。本项目采购资金付款详见第五章规定的付款方式。对于满足政府采购合同约定支付条件的，采购人应当自收到发票后30日内将资金支付到合同约定的供应商账户，不得以机构变动、人员更替、政策调整等为由延迟付款，不得将采购文件和合同中未规定的义务作为向供应商付款的条件。</w:t>
      </w:r>
    </w:p>
    <w:p w14:paraId="661AD3A8">
      <w:pPr>
        <w:keepNext w:val="0"/>
        <w:keepLines w:val="0"/>
        <w:spacing w:before="0" w:after="0" w:line="360" w:lineRule="auto"/>
        <w:jc w:val="center"/>
        <w:outlineLvl w:val="9"/>
        <w:rPr>
          <w:rFonts w:hint="eastAsia" w:ascii="宋体" w:hAnsi="宋体" w:eastAsia="宋体" w:cs="宋体"/>
          <w:b/>
          <w:bCs/>
          <w:color w:val="auto"/>
          <w:sz w:val="36"/>
          <w:szCs w:val="36"/>
          <w:lang w:eastAsia="zh-CN"/>
        </w:rPr>
      </w:pPr>
      <w:r>
        <w:rPr>
          <w:rFonts w:hint="eastAsia" w:ascii="宋体" w:hAnsi="宋体" w:eastAsia="宋体" w:cs="宋体"/>
          <w:b/>
          <w:bCs/>
          <w:color w:val="auto"/>
          <w:sz w:val="36"/>
          <w:szCs w:val="36"/>
          <w:lang w:eastAsia="zh-CN"/>
        </w:rPr>
        <w:t>七、谈判纪律要求</w:t>
      </w:r>
    </w:p>
    <w:p w14:paraId="7F748825">
      <w:pPr>
        <w:tabs>
          <w:tab w:val="left" w:pos="851"/>
        </w:tabs>
        <w:spacing w:line="360" w:lineRule="auto"/>
        <w:ind w:firstLine="482" w:firstLineChars="200"/>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hint="eastAsia" w:ascii="宋体" w:hAnsi="宋体" w:cs="宋体"/>
          <w:b/>
          <w:bCs/>
          <w:color w:val="auto"/>
          <w:sz w:val="24"/>
          <w:szCs w:val="24"/>
          <w:lang w:val="en-US" w:eastAsia="zh-CN"/>
        </w:rPr>
        <w:t>3</w:t>
      </w:r>
      <w:r>
        <w:rPr>
          <w:rFonts w:hint="eastAsia" w:ascii="宋体" w:hAnsi="宋体" w:eastAsia="宋体" w:cs="宋体"/>
          <w:b/>
          <w:bCs/>
          <w:color w:val="auto"/>
          <w:sz w:val="24"/>
          <w:szCs w:val="24"/>
        </w:rPr>
        <w:t>.供应商不得具有的情形</w:t>
      </w:r>
    </w:p>
    <w:p w14:paraId="7649803E">
      <w:pPr>
        <w:tabs>
          <w:tab w:val="left" w:pos="851"/>
        </w:tabs>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供应商参加本项目谈判不得有下列情形：</w:t>
      </w:r>
    </w:p>
    <w:p w14:paraId="056FF4AE">
      <w:pPr>
        <w:tabs>
          <w:tab w:val="left" w:pos="851"/>
        </w:tabs>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（1）提供虚假材料谋取成交；</w:t>
      </w:r>
    </w:p>
    <w:p w14:paraId="525741CD">
      <w:pPr>
        <w:tabs>
          <w:tab w:val="left" w:pos="851"/>
        </w:tabs>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（2）采取不正当手段诋毁、排挤其他供应商；</w:t>
      </w:r>
    </w:p>
    <w:p w14:paraId="2D976F4D">
      <w:pPr>
        <w:tabs>
          <w:tab w:val="left" w:pos="851"/>
        </w:tabs>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（3）与采购人、采购代理机构、或其他供应商恶意串通；</w:t>
      </w:r>
    </w:p>
    <w:p w14:paraId="459E3831">
      <w:pPr>
        <w:tabs>
          <w:tab w:val="left" w:pos="851"/>
        </w:tabs>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（4）向采购人、采购代理机构、谈判小组成员行贿或者提供其他不正当利益；</w:t>
      </w:r>
    </w:p>
    <w:p w14:paraId="635EAF57">
      <w:pPr>
        <w:tabs>
          <w:tab w:val="left" w:pos="851"/>
        </w:tabs>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（5）在谈判过程中与采购人、采购代理机构进行协商；</w:t>
      </w:r>
    </w:p>
    <w:p w14:paraId="511606D4">
      <w:pPr>
        <w:tabs>
          <w:tab w:val="left" w:pos="851"/>
        </w:tabs>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（6）成交后无正当理由拒不与采购人签订政府采购合同；</w:t>
      </w:r>
    </w:p>
    <w:p w14:paraId="20EAB720">
      <w:pPr>
        <w:tabs>
          <w:tab w:val="left" w:pos="851"/>
        </w:tabs>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（7）未按照谈判文件确定的事项签订政府采购合同；</w:t>
      </w:r>
    </w:p>
    <w:p w14:paraId="0784BF1F">
      <w:pPr>
        <w:tabs>
          <w:tab w:val="left" w:pos="851"/>
        </w:tabs>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（8）将政府采购合同转包或者违规分包；</w:t>
      </w:r>
    </w:p>
    <w:p w14:paraId="502005F4">
      <w:pPr>
        <w:tabs>
          <w:tab w:val="left" w:pos="851"/>
        </w:tabs>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（9）提供假冒伪劣产品；</w:t>
      </w:r>
    </w:p>
    <w:p w14:paraId="1214DC1D">
      <w:pPr>
        <w:tabs>
          <w:tab w:val="left" w:pos="851"/>
        </w:tabs>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（10）擅自变更、中止或者终止政府采购合同；</w:t>
      </w:r>
    </w:p>
    <w:p w14:paraId="0845FE02">
      <w:pPr>
        <w:tabs>
          <w:tab w:val="left" w:pos="851"/>
        </w:tabs>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（11）拒绝有关部门的监督检查或者向监督检查部门提供虚假情况；</w:t>
      </w:r>
    </w:p>
    <w:p w14:paraId="45A4293C">
      <w:pPr>
        <w:tabs>
          <w:tab w:val="left" w:pos="851"/>
        </w:tabs>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（12）法律法规规定的其他情形。</w:t>
      </w:r>
    </w:p>
    <w:p w14:paraId="139ED3C7">
      <w:pPr>
        <w:tabs>
          <w:tab w:val="left" w:pos="851"/>
        </w:tabs>
        <w:spacing w:line="360" w:lineRule="auto"/>
        <w:ind w:firstLine="480" w:firstLineChars="200"/>
        <w:outlineLvl w:val="9"/>
        <w:rPr>
          <w:rFonts w:hint="eastAsia" w:ascii="宋体" w:hAnsi="宋体" w:eastAsia="宋体" w:cs="宋体"/>
          <w:b/>
          <w:bCs/>
          <w:color w:val="auto"/>
          <w:sz w:val="24"/>
          <w:szCs w:val="24"/>
        </w:rPr>
      </w:pPr>
      <w:r>
        <w:rPr>
          <w:rFonts w:hint="eastAsia" w:ascii="宋体" w:hAnsi="宋体" w:eastAsia="宋体" w:cs="宋体"/>
          <w:color w:val="auto"/>
          <w:sz w:val="24"/>
          <w:szCs w:val="24"/>
        </w:rPr>
        <w:t>供应商有上述情形的，按照规定追究法律责任，具备（1）-（8）条情形之一的，同时将取消成交资格或者认定成交无效。</w:t>
      </w:r>
    </w:p>
    <w:p w14:paraId="3F734814">
      <w:pPr>
        <w:pStyle w:val="60"/>
        <w:outlineLvl w:val="9"/>
        <w:rPr>
          <w:rFonts w:hint="eastAsia" w:ascii="宋体" w:hAnsi="宋体" w:eastAsia="宋体" w:cs="宋体"/>
          <w:b/>
          <w:bCs/>
          <w:color w:val="auto"/>
          <w:sz w:val="24"/>
          <w:szCs w:val="24"/>
        </w:rPr>
      </w:pPr>
    </w:p>
    <w:p w14:paraId="660AE5B0">
      <w:pPr>
        <w:tabs>
          <w:tab w:val="left" w:pos="851"/>
        </w:tabs>
        <w:spacing w:line="360" w:lineRule="auto"/>
        <w:jc w:val="center"/>
        <w:outlineLvl w:val="9"/>
        <w:rPr>
          <w:rFonts w:hint="eastAsia" w:ascii="宋体" w:hAnsi="宋体" w:eastAsia="宋体" w:cs="宋体"/>
          <w:color w:val="auto"/>
          <w:sz w:val="24"/>
          <w:szCs w:val="24"/>
        </w:rPr>
      </w:pPr>
      <w:r>
        <w:rPr>
          <w:rFonts w:hint="eastAsia" w:ascii="宋体" w:hAnsi="宋体" w:eastAsia="宋体" w:cs="宋体"/>
          <w:b/>
          <w:bCs/>
          <w:color w:val="auto"/>
          <w:sz w:val="24"/>
          <w:szCs w:val="24"/>
          <w:lang w:eastAsia="zh-CN"/>
        </w:rPr>
        <w:t>八</w:t>
      </w:r>
      <w:r>
        <w:rPr>
          <w:rFonts w:hint="eastAsia" w:ascii="宋体" w:hAnsi="宋体" w:eastAsia="宋体" w:cs="宋体"/>
          <w:b/>
          <w:bCs/>
          <w:color w:val="auto"/>
          <w:sz w:val="24"/>
          <w:szCs w:val="24"/>
        </w:rPr>
        <w:t>、询问、质疑和投诉</w:t>
      </w:r>
    </w:p>
    <w:p w14:paraId="4430659A">
      <w:pPr>
        <w:tabs>
          <w:tab w:val="left" w:pos="851"/>
        </w:tabs>
        <w:spacing w:line="360" w:lineRule="auto"/>
        <w:ind w:firstLine="495"/>
        <w:outlineLvl w:val="9"/>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询问、质疑、投诉的接收和处理严格按照《中华人民共和国政府采购法》、《中华人民共和国政府采购法实施条例》、《财政部关于加强政府采购供应商投诉受理审查工作的通知》、《政府采购质疑和投诉办法》和四川省的有关规定办理（详细规定请在四川政府采购网政策法规模块查询）。</w:t>
      </w:r>
    </w:p>
    <w:p w14:paraId="76239193">
      <w:pPr>
        <w:tabs>
          <w:tab w:val="left" w:pos="851"/>
        </w:tabs>
        <w:spacing w:line="360" w:lineRule="auto"/>
        <w:jc w:val="center"/>
        <w:outlineLvl w:val="9"/>
        <w:rPr>
          <w:rFonts w:hint="eastAsia" w:ascii="宋体" w:hAnsi="宋体" w:eastAsia="宋体" w:cs="宋体"/>
          <w:b/>
          <w:bCs/>
          <w:color w:val="auto"/>
          <w:sz w:val="24"/>
          <w:szCs w:val="24"/>
        </w:rPr>
      </w:pPr>
    </w:p>
    <w:p w14:paraId="3EDDD8F6">
      <w:pPr>
        <w:tabs>
          <w:tab w:val="left" w:pos="851"/>
        </w:tabs>
        <w:spacing w:line="360" w:lineRule="auto"/>
        <w:jc w:val="center"/>
        <w:outlineLvl w:val="9"/>
        <w:rPr>
          <w:rFonts w:hint="eastAsia" w:ascii="宋体" w:hAnsi="宋体" w:eastAsia="宋体" w:cs="宋体"/>
          <w:color w:val="auto"/>
          <w:sz w:val="24"/>
          <w:szCs w:val="24"/>
        </w:rPr>
      </w:pPr>
      <w:r>
        <w:rPr>
          <w:rFonts w:hint="eastAsia" w:ascii="宋体" w:hAnsi="宋体" w:eastAsia="宋体" w:cs="宋体"/>
          <w:b/>
          <w:bCs/>
          <w:color w:val="auto"/>
          <w:sz w:val="24"/>
          <w:szCs w:val="24"/>
          <w:lang w:eastAsia="zh-CN"/>
        </w:rPr>
        <w:t>九</w:t>
      </w:r>
      <w:r>
        <w:rPr>
          <w:rFonts w:hint="eastAsia" w:ascii="宋体" w:hAnsi="宋体" w:eastAsia="宋体" w:cs="宋体"/>
          <w:b/>
          <w:bCs/>
          <w:color w:val="auto"/>
          <w:sz w:val="24"/>
          <w:szCs w:val="24"/>
        </w:rPr>
        <w:t>、其他</w:t>
      </w:r>
    </w:p>
    <w:p w14:paraId="210CF63A">
      <w:pPr>
        <w:tabs>
          <w:tab w:val="left" w:pos="851"/>
        </w:tabs>
        <w:spacing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3</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.本谈判文件中所引相关法律制度规定，在政府采购中有变化的，按照变化后的相关法律制度规定执行。本章规定的内容条款，在本项目递交响应文件截止时</w:t>
      </w:r>
      <w:r>
        <w:rPr>
          <w:rFonts w:hint="eastAsia" w:ascii="宋体" w:hAnsi="宋体" w:eastAsia="宋体" w:cs="宋体"/>
          <w:color w:val="auto"/>
          <w:sz w:val="24"/>
          <w:szCs w:val="24"/>
        </w:rPr>
        <w:t>间届满后，因相关法律制度规定的变化导致不符合相关法律制度规定的，直接按照变化后的相关法律制度规定执行，本谈判文件不再做调整。</w:t>
      </w:r>
    </w:p>
    <w:p w14:paraId="18508E92">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b/>
          <w:bCs/>
          <w:color w:val="auto"/>
          <w:sz w:val="24"/>
          <w:szCs w:val="24"/>
        </w:rPr>
        <w:t>（实质性要求）</w:t>
      </w:r>
      <w:r>
        <w:rPr>
          <w:rFonts w:hint="eastAsia" w:ascii="宋体" w:hAnsi="宋体" w:eastAsia="宋体" w:cs="宋体"/>
          <w:color w:val="auto"/>
          <w:sz w:val="24"/>
          <w:szCs w:val="24"/>
        </w:rPr>
        <w:t>国家或行业主管部门对工程项目的技术标准、质量标</w:t>
      </w:r>
      <w:r>
        <w:rPr>
          <w:rFonts w:hint="eastAsia" w:ascii="宋体" w:hAnsi="宋体" w:eastAsia="宋体" w:cs="宋体"/>
          <w:color w:val="auto"/>
          <w:sz w:val="24"/>
          <w:szCs w:val="24"/>
        </w:rPr>
        <w:t>准和资格资质条件等有强制性规定的，必须符合其要求。</w:t>
      </w:r>
    </w:p>
    <w:p w14:paraId="3EC9DDC7">
      <w:pPr>
        <w:outlineLvl w:val="9"/>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04158A61">
      <w:pPr>
        <w:pStyle w:val="39"/>
        <w:outlineLvl w:val="0"/>
        <w:rPr>
          <w:rFonts w:hint="eastAsia" w:ascii="宋体" w:hAnsi="宋体" w:eastAsia="宋体" w:cs="宋体"/>
          <w:color w:val="auto"/>
          <w:sz w:val="36"/>
          <w:szCs w:val="36"/>
        </w:rPr>
      </w:pPr>
      <w:bookmarkStart w:id="82" w:name="_Toc41037904"/>
      <w:bookmarkStart w:id="83" w:name="_Toc509579142"/>
      <w:bookmarkStart w:id="84" w:name="_Toc30519"/>
      <w:bookmarkStart w:id="85" w:name="_Toc5260"/>
      <w:r>
        <w:rPr>
          <w:rFonts w:hint="eastAsia" w:ascii="宋体" w:hAnsi="宋体" w:eastAsia="宋体" w:cs="宋体"/>
          <w:color w:val="auto"/>
          <w:sz w:val="36"/>
          <w:szCs w:val="36"/>
        </w:rPr>
        <w:t>第三章</w:t>
      </w:r>
      <w:bookmarkEnd w:id="82"/>
      <w:bookmarkEnd w:id="83"/>
      <w:r>
        <w:rPr>
          <w:rFonts w:hint="eastAsia" w:ascii="宋体" w:hAnsi="宋体" w:eastAsia="宋体" w:cs="宋体"/>
          <w:color w:val="auto"/>
          <w:sz w:val="36"/>
          <w:szCs w:val="36"/>
          <w:lang w:val="en-US" w:eastAsia="zh-CN"/>
        </w:rPr>
        <w:t xml:space="preserve">  </w:t>
      </w:r>
      <w:r>
        <w:rPr>
          <w:rFonts w:hint="eastAsia" w:ascii="宋体" w:hAnsi="宋体" w:eastAsia="宋体" w:cs="宋体"/>
          <w:color w:val="auto"/>
          <w:sz w:val="36"/>
          <w:szCs w:val="36"/>
        </w:rPr>
        <w:t>供应商应当提供的资格、资质性及其他类似效力要求的相关证明材料</w:t>
      </w:r>
      <w:bookmarkEnd w:id="84"/>
      <w:bookmarkEnd w:id="85"/>
    </w:p>
    <w:p w14:paraId="111FB049">
      <w:pPr>
        <w:pStyle w:val="39"/>
        <w:keepNext w:val="0"/>
        <w:keepLines w:val="0"/>
        <w:pageBreakBefore w:val="0"/>
        <w:widowControl w:val="0"/>
        <w:kinsoku/>
        <w:wordWrap w:val="0"/>
        <w:overflowPunct/>
        <w:topLinePunct/>
        <w:autoSpaceDE/>
        <w:autoSpaceDN/>
        <w:bidi w:val="0"/>
        <w:adjustRightInd/>
        <w:snapToGrid/>
        <w:spacing w:before="0" w:after="0" w:line="360" w:lineRule="auto"/>
        <w:ind w:left="0" w:leftChars="0"/>
        <w:textAlignment w:val="auto"/>
        <w:outlineLvl w:val="9"/>
        <w:rPr>
          <w:rFonts w:hint="eastAsia" w:ascii="宋体" w:hAnsi="宋体" w:eastAsia="宋体" w:cs="宋体"/>
          <w:color w:val="auto"/>
          <w:sz w:val="24"/>
          <w:szCs w:val="24"/>
        </w:rPr>
      </w:pPr>
    </w:p>
    <w:p w14:paraId="327D9110">
      <w:pPr>
        <w:pStyle w:val="85"/>
        <w:keepNext w:val="0"/>
        <w:keepLines w:val="0"/>
        <w:pageBreakBefore w:val="0"/>
        <w:widowControl w:val="0"/>
        <w:kinsoku/>
        <w:wordWrap w:val="0"/>
        <w:overflowPunct/>
        <w:topLinePunct/>
        <w:autoSpaceDE/>
        <w:autoSpaceDN/>
        <w:bidi w:val="0"/>
        <w:adjustRightInd/>
        <w:snapToGrid/>
        <w:spacing w:beforeAutospacing="0" w:line="360" w:lineRule="auto"/>
        <w:ind w:left="0" w:leftChars="0" w:right="0" w:rightChars="0" w:firstLine="482" w:firstLineChars="200"/>
        <w:textAlignment w:val="auto"/>
        <w:outlineLvl w:val="9"/>
        <w:rPr>
          <w:rFonts w:hint="eastAsia" w:ascii="宋体" w:hAnsi="宋体" w:eastAsia="宋体" w:cs="宋体"/>
          <w:b/>
          <w:color w:val="auto"/>
          <w:sz w:val="24"/>
          <w:szCs w:val="24"/>
          <w:highlight w:val="none"/>
        </w:rPr>
      </w:pPr>
      <w:bookmarkStart w:id="86" w:name="_Toc509579144"/>
      <w:r>
        <w:rPr>
          <w:rFonts w:hint="eastAsia" w:ascii="宋体" w:hAnsi="宋体" w:eastAsia="宋体" w:cs="宋体"/>
          <w:b/>
          <w:color w:val="auto"/>
          <w:sz w:val="24"/>
          <w:szCs w:val="24"/>
          <w:highlight w:val="none"/>
        </w:rPr>
        <w:t>一、</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资格、资质性及其他类似效力要求</w:t>
      </w:r>
    </w:p>
    <w:p w14:paraId="7E13CD64">
      <w:pPr>
        <w:pStyle w:val="85"/>
        <w:keepNext w:val="0"/>
        <w:keepLines w:val="0"/>
        <w:pageBreakBefore w:val="0"/>
        <w:widowControl w:val="0"/>
        <w:kinsoku/>
        <w:wordWrap w:val="0"/>
        <w:overflowPunct/>
        <w:topLinePunct/>
        <w:autoSpaceDE/>
        <w:autoSpaceDN/>
        <w:bidi w:val="0"/>
        <w:adjustRightInd/>
        <w:snapToGrid/>
        <w:spacing w:beforeAutospacing="0" w:line="360" w:lineRule="auto"/>
        <w:ind w:left="0" w:leftChars="0" w:right="0" w:rightChars="0" w:firstLine="480" w:firstLineChars="200"/>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1、具有独立承担民事责任的能力；</w:t>
      </w:r>
    </w:p>
    <w:p w14:paraId="52D72439">
      <w:pPr>
        <w:pStyle w:val="85"/>
        <w:keepNext w:val="0"/>
        <w:keepLines w:val="0"/>
        <w:pageBreakBefore w:val="0"/>
        <w:widowControl w:val="0"/>
        <w:kinsoku/>
        <w:wordWrap w:val="0"/>
        <w:overflowPunct/>
        <w:topLinePunct/>
        <w:autoSpaceDE/>
        <w:autoSpaceDN/>
        <w:bidi w:val="0"/>
        <w:adjustRightInd/>
        <w:snapToGrid/>
        <w:spacing w:beforeAutospacing="0" w:line="360" w:lineRule="auto"/>
        <w:ind w:left="0" w:leftChars="0" w:right="0" w:rightChars="0" w:firstLine="480" w:firstLineChars="200"/>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2、具有良好的商业信誉和健全的财务会计制度；</w:t>
      </w:r>
    </w:p>
    <w:p w14:paraId="14D31236">
      <w:pPr>
        <w:pStyle w:val="85"/>
        <w:keepNext w:val="0"/>
        <w:keepLines w:val="0"/>
        <w:pageBreakBefore w:val="0"/>
        <w:widowControl w:val="0"/>
        <w:kinsoku/>
        <w:wordWrap w:val="0"/>
        <w:overflowPunct/>
        <w:topLinePunct/>
        <w:autoSpaceDE/>
        <w:autoSpaceDN/>
        <w:bidi w:val="0"/>
        <w:adjustRightInd/>
        <w:snapToGrid/>
        <w:spacing w:beforeAutospacing="0" w:line="360" w:lineRule="auto"/>
        <w:ind w:left="0" w:leftChars="0" w:right="0" w:rightChars="0" w:firstLine="480" w:firstLineChars="200"/>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3、具有履行合同所必需的设备和专业技术能力；</w:t>
      </w:r>
    </w:p>
    <w:p w14:paraId="4E171E15">
      <w:pPr>
        <w:pStyle w:val="85"/>
        <w:keepNext w:val="0"/>
        <w:keepLines w:val="0"/>
        <w:pageBreakBefore w:val="0"/>
        <w:widowControl w:val="0"/>
        <w:kinsoku/>
        <w:wordWrap w:val="0"/>
        <w:overflowPunct/>
        <w:topLinePunct/>
        <w:autoSpaceDE/>
        <w:autoSpaceDN/>
        <w:bidi w:val="0"/>
        <w:adjustRightInd/>
        <w:snapToGrid/>
        <w:spacing w:beforeAutospacing="0" w:line="360" w:lineRule="auto"/>
        <w:ind w:left="0" w:leftChars="0" w:right="0" w:rightChars="0" w:firstLine="480" w:firstLineChars="200"/>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4、有依法缴纳税收和社会保障资金的良好记录；</w:t>
      </w:r>
    </w:p>
    <w:p w14:paraId="13C223BC">
      <w:pPr>
        <w:pStyle w:val="85"/>
        <w:keepNext w:val="0"/>
        <w:keepLines w:val="0"/>
        <w:pageBreakBefore w:val="0"/>
        <w:widowControl w:val="0"/>
        <w:kinsoku/>
        <w:wordWrap w:val="0"/>
        <w:overflowPunct/>
        <w:topLinePunct/>
        <w:autoSpaceDE/>
        <w:autoSpaceDN/>
        <w:bidi w:val="0"/>
        <w:adjustRightInd/>
        <w:snapToGrid/>
        <w:spacing w:beforeAutospacing="0" w:line="360" w:lineRule="auto"/>
        <w:ind w:left="0" w:leftChars="0" w:right="0" w:rightChars="0" w:firstLine="480" w:firstLineChars="200"/>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5、参加政府采购活动前三年内，在经营活动中没有重大违法记录；</w:t>
      </w:r>
    </w:p>
    <w:p w14:paraId="5D5F18E8">
      <w:pPr>
        <w:pStyle w:val="85"/>
        <w:keepNext w:val="0"/>
        <w:keepLines w:val="0"/>
        <w:pageBreakBefore w:val="0"/>
        <w:widowControl w:val="0"/>
        <w:kinsoku/>
        <w:wordWrap w:val="0"/>
        <w:overflowPunct/>
        <w:topLinePunct/>
        <w:autoSpaceDE/>
        <w:autoSpaceDN/>
        <w:bidi w:val="0"/>
        <w:adjustRightInd/>
        <w:snapToGrid/>
        <w:spacing w:beforeAutospacing="0" w:line="360" w:lineRule="auto"/>
        <w:ind w:left="0" w:leftChars="0" w:right="0" w:rightChars="0" w:firstLine="480" w:firstLineChars="200"/>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6、法律、行政法规规定的其他条件；</w:t>
      </w:r>
    </w:p>
    <w:p w14:paraId="0284211F">
      <w:pPr>
        <w:keepNext w:val="0"/>
        <w:keepLines w:val="0"/>
        <w:pageBreakBefore w:val="0"/>
        <w:widowControl w:val="0"/>
        <w:tabs>
          <w:tab w:val="left" w:pos="7665"/>
        </w:tabs>
        <w:kinsoku/>
        <w:wordWrap w:val="0"/>
        <w:overflowPunct/>
        <w:topLinePunct/>
        <w:autoSpaceDE/>
        <w:autoSpaceDN/>
        <w:bidi w:val="0"/>
        <w:adjustRightInd/>
        <w:snapToGrid/>
        <w:spacing w:line="360" w:lineRule="auto"/>
        <w:ind w:left="0" w:leftChars="0" w:firstLine="480" w:firstLineChars="200"/>
        <w:textAlignment w:val="auto"/>
        <w:outlineLvl w:val="9"/>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7.采购人根据采购项目提出的特殊条件</w:t>
      </w:r>
      <w:r>
        <w:rPr>
          <w:rFonts w:hint="eastAsia" w:ascii="宋体" w:hAnsi="宋体" w:cs="宋体"/>
          <w:color w:val="auto"/>
          <w:sz w:val="24"/>
          <w:szCs w:val="24"/>
          <w:lang w:val="en-US" w:eastAsia="zh-CN"/>
        </w:rPr>
        <w:t>：</w:t>
      </w:r>
    </w:p>
    <w:p w14:paraId="00C5C252">
      <w:pPr>
        <w:keepNext w:val="0"/>
        <w:keepLines w:val="0"/>
        <w:pageBreakBefore w:val="0"/>
        <w:widowControl w:val="0"/>
        <w:tabs>
          <w:tab w:val="left" w:pos="7665"/>
        </w:tabs>
        <w:kinsoku/>
        <w:wordWrap w:val="0"/>
        <w:overflowPunct/>
        <w:topLinePunct/>
        <w:autoSpaceDE/>
        <w:autoSpaceDN/>
        <w:bidi w:val="0"/>
        <w:adjustRightInd/>
        <w:snapToGrid/>
        <w:spacing w:line="360" w:lineRule="auto"/>
        <w:ind w:left="0" w:leftChars="0" w:firstLine="440" w:firstLineChars="200"/>
        <w:textAlignment w:val="auto"/>
        <w:outlineLvl w:val="9"/>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w:t>
      </w:r>
      <w:r>
        <w:rPr>
          <w:rFonts w:hint="eastAsia" w:asciiTheme="minorEastAsia" w:hAnsiTheme="minorEastAsia" w:eastAsiaTheme="minorEastAsia" w:cstheme="minorEastAsia"/>
          <w:color w:val="auto"/>
          <w:sz w:val="22"/>
          <w:szCs w:val="22"/>
        </w:rPr>
        <w:t>供应商须具备国家建设行政主管部门颁发的房屋建筑工程监理乙级及以上资质</w:t>
      </w:r>
      <w:r>
        <w:rPr>
          <w:rFonts w:hint="eastAsia" w:asciiTheme="minorEastAsia" w:hAnsiTheme="minorEastAsia" w:eastAsiaTheme="minorEastAsia" w:cstheme="minorEastAsia"/>
          <w:color w:val="auto"/>
          <w:sz w:val="22"/>
          <w:szCs w:val="22"/>
          <w:lang w:val="en-US" w:eastAsia="zh-CN"/>
        </w:rPr>
        <w:t>；</w:t>
      </w:r>
    </w:p>
    <w:p w14:paraId="0884CB3B">
      <w:pPr>
        <w:keepNext w:val="0"/>
        <w:keepLines w:val="0"/>
        <w:pageBreakBefore w:val="0"/>
        <w:widowControl w:val="0"/>
        <w:tabs>
          <w:tab w:val="left" w:pos="7665"/>
        </w:tabs>
        <w:kinsoku/>
        <w:wordWrap w:val="0"/>
        <w:overflowPunct/>
        <w:topLinePunct/>
        <w:autoSpaceDE/>
        <w:autoSpaceDN/>
        <w:bidi w:val="0"/>
        <w:adjustRightInd/>
        <w:snapToGrid/>
        <w:spacing w:line="360" w:lineRule="auto"/>
        <w:ind w:left="0" w:leftChars="0" w:firstLine="440" w:firstLineChars="200"/>
        <w:textAlignment w:val="auto"/>
        <w:outlineLvl w:val="9"/>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w:t>
      </w:r>
      <w:r>
        <w:rPr>
          <w:rFonts w:hint="eastAsia" w:asciiTheme="minorEastAsia" w:hAnsiTheme="minorEastAsia" w:eastAsiaTheme="minorEastAsia" w:cstheme="minorEastAsia"/>
          <w:color w:val="auto"/>
          <w:sz w:val="22"/>
          <w:szCs w:val="22"/>
        </w:rPr>
        <w:t>总监理工程师1名</w:t>
      </w:r>
      <w:r>
        <w:rPr>
          <w:rFonts w:hint="eastAsia" w:asciiTheme="minorEastAsia" w:hAnsiTheme="minorEastAsia" w:eastAsiaTheme="minorEastAsia" w:cstheme="minorEastAsia"/>
          <w:color w:val="auto"/>
          <w:sz w:val="22"/>
          <w:szCs w:val="22"/>
          <w:lang w:val="en-US" w:eastAsia="zh-CN"/>
        </w:rPr>
        <w:t>：</w:t>
      </w:r>
      <w:r>
        <w:rPr>
          <w:rFonts w:hint="eastAsia" w:asciiTheme="minorEastAsia" w:hAnsiTheme="minorEastAsia" w:eastAsiaTheme="minorEastAsia" w:cstheme="minorEastAsia"/>
          <w:color w:val="auto"/>
          <w:sz w:val="22"/>
          <w:szCs w:val="22"/>
        </w:rPr>
        <w:t>具有全国注册监理工程师（房屋建筑工程专业）资格</w:t>
      </w:r>
      <w:r>
        <w:rPr>
          <w:rFonts w:hint="eastAsia" w:asciiTheme="minorEastAsia" w:hAnsiTheme="minorEastAsia" w:eastAsiaTheme="minorEastAsia" w:cstheme="minorEastAsia"/>
          <w:color w:val="auto"/>
          <w:sz w:val="22"/>
          <w:szCs w:val="22"/>
          <w:lang w:val="en-US" w:eastAsia="zh-CN"/>
        </w:rPr>
        <w:t>；</w:t>
      </w:r>
    </w:p>
    <w:p w14:paraId="0A28F97D">
      <w:pPr>
        <w:keepNext w:val="0"/>
        <w:keepLines w:val="0"/>
        <w:pageBreakBefore w:val="0"/>
        <w:widowControl w:val="0"/>
        <w:tabs>
          <w:tab w:val="left" w:pos="7665"/>
        </w:tabs>
        <w:kinsoku/>
        <w:wordWrap w:val="0"/>
        <w:overflowPunct/>
        <w:topLinePunct/>
        <w:autoSpaceDE/>
        <w:autoSpaceDN/>
        <w:bidi w:val="0"/>
        <w:adjustRightInd/>
        <w:snapToGrid/>
        <w:spacing w:line="360" w:lineRule="auto"/>
        <w:ind w:left="0" w:leftChars="0" w:firstLine="440" w:firstLineChars="200"/>
        <w:textAlignment w:val="auto"/>
        <w:outlineLvl w:val="9"/>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（3）</w:t>
      </w:r>
      <w:r>
        <w:rPr>
          <w:rFonts w:hint="eastAsia" w:asciiTheme="minorEastAsia" w:hAnsiTheme="minorEastAsia" w:eastAsiaTheme="minorEastAsia" w:cstheme="minorEastAsia"/>
          <w:color w:val="auto"/>
          <w:sz w:val="22"/>
          <w:szCs w:val="22"/>
        </w:rPr>
        <w:t>专业监理工程师1名：具有全国注册监理工程师（房屋建筑工程）</w:t>
      </w:r>
      <w:r>
        <w:rPr>
          <w:rFonts w:hint="eastAsia" w:asciiTheme="minorEastAsia" w:hAnsiTheme="minorEastAsia" w:eastAsiaTheme="minorEastAsia" w:cstheme="minorEastAsia"/>
          <w:color w:val="auto"/>
          <w:sz w:val="22"/>
          <w:szCs w:val="22"/>
          <w:lang w:val="en-US" w:eastAsia="zh-CN"/>
        </w:rPr>
        <w:t>；</w:t>
      </w:r>
    </w:p>
    <w:p w14:paraId="48CE789F">
      <w:pPr>
        <w:keepNext w:val="0"/>
        <w:keepLines w:val="0"/>
        <w:pageBreakBefore w:val="0"/>
        <w:widowControl w:val="0"/>
        <w:tabs>
          <w:tab w:val="left" w:pos="7665"/>
        </w:tabs>
        <w:kinsoku/>
        <w:wordWrap w:val="0"/>
        <w:overflowPunct/>
        <w:topLinePunct/>
        <w:autoSpaceDE/>
        <w:autoSpaceDN/>
        <w:bidi w:val="0"/>
        <w:adjustRightInd/>
        <w:snapToGrid/>
        <w:spacing w:line="360" w:lineRule="auto"/>
        <w:ind w:left="0" w:leftChars="0" w:firstLine="440" w:firstLineChars="200"/>
        <w:textAlignment w:val="auto"/>
        <w:outlineLvl w:val="9"/>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rPr>
        <w:t>注：以上所有人员不得重复计算，人员注册证书必须在本单位注册且在有效期内，须附证书相关平台等网页查询截图，否则不予认可。</w:t>
      </w:r>
    </w:p>
    <w:p w14:paraId="62FAD01C">
      <w:pPr>
        <w:keepNext w:val="0"/>
        <w:keepLines w:val="0"/>
        <w:pageBreakBefore w:val="0"/>
        <w:widowControl w:val="0"/>
        <w:tabs>
          <w:tab w:val="left" w:pos="7665"/>
        </w:tabs>
        <w:kinsoku/>
        <w:wordWrap w:val="0"/>
        <w:overflowPunct/>
        <w:topLinePunct/>
        <w:autoSpaceDE/>
        <w:autoSpaceDN/>
        <w:bidi w:val="0"/>
        <w:adjustRightInd/>
        <w:snapToGrid/>
        <w:spacing w:line="360" w:lineRule="auto"/>
        <w:ind w:left="0" w:leftChars="0" w:firstLine="440" w:firstLineChars="200"/>
        <w:textAlignment w:val="auto"/>
        <w:outlineLvl w:val="9"/>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（4）企业注册地不在四川省行政区域内的外地企业，必须提供在有效期内的《四川省省外建筑企业入川承揽业务验证登记证》或《四川省省外施工、监理入川承揽业务信息录入证》 ；</w:t>
      </w:r>
    </w:p>
    <w:p w14:paraId="3D9632C1">
      <w:pPr>
        <w:keepNext w:val="0"/>
        <w:keepLines w:val="0"/>
        <w:pageBreakBefore w:val="0"/>
        <w:widowControl w:val="0"/>
        <w:tabs>
          <w:tab w:val="left" w:pos="7665"/>
        </w:tabs>
        <w:kinsoku/>
        <w:wordWrap w:val="0"/>
        <w:overflowPunct/>
        <w:topLinePunct/>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8.本项目不允许联合体参加。</w:t>
      </w:r>
    </w:p>
    <w:p w14:paraId="274ED9B5">
      <w:pPr>
        <w:pStyle w:val="85"/>
        <w:keepNext w:val="0"/>
        <w:keepLines w:val="0"/>
        <w:pageBreakBefore w:val="0"/>
        <w:widowControl w:val="0"/>
        <w:kinsoku/>
        <w:wordWrap w:val="0"/>
        <w:overflowPunct/>
        <w:topLinePunct/>
        <w:autoSpaceDE/>
        <w:autoSpaceDN/>
        <w:bidi w:val="0"/>
        <w:adjustRightInd/>
        <w:snapToGrid/>
        <w:spacing w:beforeAutospacing="0" w:line="360" w:lineRule="auto"/>
        <w:ind w:left="0" w:leftChars="0" w:right="0" w:rightChars="0" w:firstLine="480" w:firstLineChars="200"/>
        <w:textAlignment w:val="auto"/>
        <w:outlineLvl w:val="9"/>
        <w:rPr>
          <w:rFonts w:hint="eastAsia" w:ascii="宋体" w:hAnsi="宋体" w:eastAsia="宋体" w:cs="宋体"/>
          <w:b/>
          <w:color w:val="auto"/>
          <w:sz w:val="24"/>
          <w:szCs w:val="24"/>
          <w:highlight w:val="none"/>
        </w:rPr>
      </w:pPr>
      <w:r>
        <w:rPr>
          <w:rFonts w:hint="eastAsia" w:ascii="宋体" w:hAnsi="宋体" w:cs="宋体"/>
          <w:b w:val="0"/>
          <w:bCs/>
          <w:color w:val="auto"/>
          <w:sz w:val="24"/>
          <w:szCs w:val="24"/>
          <w:highlight w:val="none"/>
          <w:lang w:val="en-US" w:eastAsia="zh-CN"/>
        </w:rPr>
        <w:t>9.本项目专门面向中小企业采购。</w:t>
      </w:r>
    </w:p>
    <w:p w14:paraId="0C26CFD3">
      <w:pPr>
        <w:pStyle w:val="85"/>
        <w:keepNext w:val="0"/>
        <w:keepLines w:val="0"/>
        <w:pageBreakBefore w:val="0"/>
        <w:widowControl w:val="0"/>
        <w:kinsoku/>
        <w:wordWrap/>
        <w:overflowPunct/>
        <w:topLinePunct w:val="0"/>
        <w:autoSpaceDE/>
        <w:autoSpaceDN/>
        <w:bidi w:val="0"/>
        <w:adjustRightInd/>
        <w:snapToGrid/>
        <w:spacing w:beforeAutospacing="0" w:after="0" w:line="400" w:lineRule="exact"/>
        <w:ind w:left="0" w:leftChars="0" w:right="0" w:rightChars="0"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w:t>
      </w:r>
      <w:r>
        <w:rPr>
          <w:rFonts w:hint="eastAsia" w:ascii="宋体" w:hAnsi="宋体" w:cs="宋体"/>
          <w:b/>
          <w:color w:val="auto"/>
          <w:sz w:val="24"/>
          <w:szCs w:val="24"/>
          <w:highlight w:val="none"/>
          <w:lang w:eastAsia="zh-CN"/>
        </w:rPr>
        <w:t>谈判</w:t>
      </w:r>
      <w:r>
        <w:rPr>
          <w:rFonts w:hint="eastAsia" w:ascii="宋体" w:hAnsi="宋体" w:eastAsia="宋体" w:cs="宋体"/>
          <w:b/>
          <w:color w:val="auto"/>
          <w:sz w:val="24"/>
          <w:szCs w:val="24"/>
          <w:highlight w:val="none"/>
        </w:rPr>
        <w:t>产品（如涉及）的资格、资质性及其他类似效力要求</w:t>
      </w:r>
    </w:p>
    <w:p w14:paraId="732971D0">
      <w:pPr>
        <w:pStyle w:val="85"/>
        <w:pageBreakBefore w:val="0"/>
        <w:kinsoku/>
        <w:wordWrap/>
        <w:overflowPunct/>
        <w:topLinePunct w:val="0"/>
        <w:bidi w:val="0"/>
        <w:spacing w:beforeAutospacing="0" w:after="0" w:line="360" w:lineRule="auto"/>
        <w:ind w:right="0" w:rightChars="0"/>
        <w:outlineLvl w:val="9"/>
        <w:rPr>
          <w:rFonts w:hint="eastAsia" w:ascii="宋体" w:hAnsi="宋体" w:cs="宋体"/>
          <w:b w:val="0"/>
          <w:bCs/>
          <w:color w:val="auto"/>
          <w:sz w:val="24"/>
          <w:szCs w:val="24"/>
          <w:highlight w:val="none"/>
          <w:lang w:val="en-US" w:eastAsia="zh-CN"/>
        </w:rPr>
      </w:pPr>
      <w:r>
        <w:rPr>
          <w:rFonts w:hint="eastAsia" w:ascii="宋体" w:hAnsi="宋体" w:cs="宋体"/>
          <w:b/>
          <w:color w:val="auto"/>
          <w:sz w:val="24"/>
          <w:szCs w:val="24"/>
          <w:highlight w:val="none"/>
          <w:lang w:val="en-US" w:eastAsia="zh-CN"/>
        </w:rPr>
        <w:t xml:space="preserve"> </w:t>
      </w:r>
      <w:r>
        <w:rPr>
          <w:rFonts w:hint="eastAsia" w:ascii="宋体" w:hAnsi="宋体" w:cs="宋体"/>
          <w:b w:val="0"/>
          <w:bCs/>
          <w:color w:val="auto"/>
          <w:sz w:val="24"/>
          <w:szCs w:val="24"/>
          <w:highlight w:val="none"/>
          <w:lang w:val="en-US" w:eastAsia="zh-CN"/>
        </w:rPr>
        <w:t xml:space="preserve"> </w:t>
      </w:r>
    </w:p>
    <w:p w14:paraId="1062AECE">
      <w:pPr>
        <w:keepNext w:val="0"/>
        <w:keepLines w:val="0"/>
        <w:pageBreakBefore w:val="0"/>
        <w:widowControl w:val="0"/>
        <w:kinsoku/>
        <w:wordWrap/>
        <w:overflowPunct/>
        <w:topLinePunct w:val="0"/>
        <w:bidi w:val="0"/>
        <w:snapToGrid/>
        <w:spacing w:line="240" w:lineRule="auto"/>
        <w:ind w:firstLine="480" w:firstLineChars="200"/>
        <w:textAlignment w:val="auto"/>
        <w:outlineLvl w:val="9"/>
        <w:rPr>
          <w:rFonts w:ascii="宋体" w:hAnsi="宋体"/>
          <w:color w:val="auto"/>
          <w:sz w:val="24"/>
        </w:rPr>
      </w:pPr>
      <w:r>
        <w:rPr>
          <w:rFonts w:ascii="宋体" w:hAnsi="宋体"/>
          <w:color w:val="auto"/>
          <w:sz w:val="24"/>
        </w:rPr>
        <w:t>1.</w:t>
      </w:r>
      <w:r>
        <w:rPr>
          <w:rFonts w:hint="eastAsia" w:ascii="宋体" w:hAnsi="宋体"/>
          <w:color w:val="auto"/>
          <w:sz w:val="24"/>
        </w:rPr>
        <w:t>法定代表人</w:t>
      </w:r>
      <w:r>
        <w:rPr>
          <w:rFonts w:ascii="宋体" w:hAnsi="宋体"/>
          <w:color w:val="auto"/>
          <w:sz w:val="24"/>
        </w:rPr>
        <w:t>/</w:t>
      </w:r>
      <w:r>
        <w:rPr>
          <w:rFonts w:hint="eastAsia" w:ascii="宋体" w:hAnsi="宋体"/>
          <w:color w:val="auto"/>
          <w:sz w:val="24"/>
        </w:rPr>
        <w:t>单位负责人身份证明材料复印件；</w:t>
      </w:r>
    </w:p>
    <w:p w14:paraId="542987C5">
      <w:pPr>
        <w:pStyle w:val="59"/>
        <w:keepNext w:val="0"/>
        <w:keepLines w:val="0"/>
        <w:pageBreakBefore w:val="0"/>
        <w:widowControl w:val="0"/>
        <w:kinsoku/>
        <w:wordWrap/>
        <w:overflowPunct/>
        <w:topLinePunct w:val="0"/>
        <w:bidi w:val="0"/>
        <w:snapToGrid/>
        <w:spacing w:line="240" w:lineRule="auto"/>
        <w:ind w:firstLine="480" w:firstLineChars="200"/>
        <w:textAlignment w:val="auto"/>
        <w:outlineLvl w:val="9"/>
        <w:rPr>
          <w:rFonts w:hint="eastAsia" w:ascii="宋体" w:hAnsi="宋体" w:eastAsia="宋体" w:cs="宋体"/>
          <w:color w:val="auto"/>
          <w:kern w:val="2"/>
        </w:rPr>
      </w:pPr>
      <w:r>
        <w:rPr>
          <w:rFonts w:hint="eastAsia" w:ascii="宋体" w:hAnsi="宋体" w:eastAsia="宋体" w:cs="宋体"/>
          <w:color w:val="auto"/>
          <w:kern w:val="2"/>
        </w:rPr>
        <w:t>2.授权参加本次采购活动的授权书及授权代表身份证明材料复印件；</w:t>
      </w:r>
    </w:p>
    <w:p w14:paraId="6AE6963A">
      <w:pPr>
        <w:keepNext w:val="0"/>
        <w:keepLines w:val="0"/>
        <w:pageBreakBefore w:val="0"/>
        <w:widowControl w:val="0"/>
        <w:kinsoku/>
        <w:wordWrap/>
        <w:overflowPunct/>
        <w:topLinePunct w:val="0"/>
        <w:bidi w:val="0"/>
        <w:snapToGrid/>
        <w:spacing w:line="240" w:lineRule="auto"/>
        <w:ind w:firstLine="480" w:firstLineChars="200"/>
        <w:textAlignment w:val="auto"/>
        <w:outlineLvl w:val="9"/>
        <w:rPr>
          <w:rFonts w:hint="eastAsia" w:hAnsi="宋体"/>
          <w:color w:val="auto"/>
          <w:sz w:val="24"/>
        </w:rPr>
      </w:pPr>
      <w:r>
        <w:rPr>
          <w:rFonts w:hint="eastAsia" w:hAnsi="宋体"/>
          <w:color w:val="auto"/>
          <w:sz w:val="24"/>
        </w:rPr>
        <w:t>注：供应商在参加政府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7EB9CB99">
      <w:pPr>
        <w:keepNext w:val="0"/>
        <w:keepLines w:val="0"/>
        <w:pageBreakBefore w:val="0"/>
        <w:widowControl w:val="0"/>
        <w:kinsoku/>
        <w:wordWrap/>
        <w:overflowPunct/>
        <w:topLinePunct w:val="0"/>
        <w:bidi w:val="0"/>
        <w:snapToGrid/>
        <w:spacing w:line="240" w:lineRule="auto"/>
        <w:ind w:firstLine="480" w:firstLineChars="200"/>
        <w:textAlignment w:val="auto"/>
        <w:outlineLvl w:val="9"/>
        <w:rPr>
          <w:rFonts w:hint="eastAsia" w:hAnsi="宋体"/>
          <w:color w:val="auto"/>
          <w:sz w:val="24"/>
        </w:rPr>
      </w:pPr>
    </w:p>
    <w:p w14:paraId="02EB7C7E">
      <w:pPr>
        <w:keepNext w:val="0"/>
        <w:keepLines w:val="0"/>
        <w:pageBreakBefore w:val="0"/>
        <w:widowControl w:val="0"/>
        <w:kinsoku/>
        <w:wordWrap/>
        <w:overflowPunct/>
        <w:topLinePunct w:val="0"/>
        <w:bidi w:val="0"/>
        <w:snapToGrid/>
        <w:spacing w:line="240" w:lineRule="auto"/>
        <w:ind w:firstLine="480" w:firstLineChars="200"/>
        <w:textAlignment w:val="auto"/>
        <w:outlineLvl w:val="9"/>
        <w:rPr>
          <w:rFonts w:hint="eastAsia" w:hAnsi="宋体"/>
          <w:color w:val="auto"/>
          <w:sz w:val="24"/>
        </w:rPr>
      </w:pPr>
    </w:p>
    <w:p w14:paraId="2E450C76">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36"/>
          <w:szCs w:val="36"/>
        </w:rPr>
      </w:pPr>
      <w:r>
        <w:rPr>
          <w:rFonts w:hint="eastAsia" w:ascii="宋体" w:hAnsi="宋体" w:eastAsia="宋体" w:cs="宋体"/>
          <w:b/>
          <w:bCs/>
          <w:color w:val="auto"/>
          <w:sz w:val="36"/>
          <w:szCs w:val="36"/>
          <w:lang w:val="en-US" w:eastAsia="zh-CN"/>
        </w:rPr>
        <w:t xml:space="preserve"> </w:t>
      </w:r>
      <w:bookmarkStart w:id="87" w:name="_Toc13257"/>
      <w:r>
        <w:rPr>
          <w:rFonts w:hint="eastAsia" w:ascii="宋体" w:hAnsi="宋体" w:eastAsia="宋体" w:cs="宋体"/>
          <w:b/>
          <w:bCs/>
          <w:color w:val="auto"/>
          <w:sz w:val="36"/>
          <w:szCs w:val="36"/>
          <w:lang w:eastAsia="zh-CN"/>
        </w:rPr>
        <w:t>供应商</w:t>
      </w:r>
      <w:r>
        <w:rPr>
          <w:rFonts w:hint="eastAsia" w:ascii="宋体" w:hAnsi="宋体" w:eastAsia="宋体" w:cs="宋体"/>
          <w:b/>
          <w:bCs/>
          <w:color w:val="auto"/>
          <w:sz w:val="36"/>
          <w:szCs w:val="36"/>
        </w:rPr>
        <w:t>应当提供的资格、资质性及其他类似效力要求的相关证明材料</w:t>
      </w:r>
      <w:bookmarkEnd w:id="87"/>
    </w:p>
    <w:p w14:paraId="3B88564D">
      <w:pPr>
        <w:pStyle w:val="26"/>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color w:val="auto"/>
        </w:rPr>
      </w:pPr>
    </w:p>
    <w:p w14:paraId="47120807">
      <w:pPr>
        <w:keepNext w:val="0"/>
        <w:keepLines w:val="0"/>
        <w:pageBreakBefore w:val="0"/>
        <w:widowControl w:val="0"/>
        <w:numPr>
          <w:ilvl w:val="0"/>
          <w:numId w:val="0"/>
        </w:numPr>
        <w:tabs>
          <w:tab w:val="left" w:pos="7665"/>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一、</w:t>
      </w:r>
      <w:r>
        <w:rPr>
          <w:rFonts w:hint="eastAsia" w:ascii="宋体" w:hAnsi="宋体" w:eastAsia="宋体" w:cs="宋体"/>
          <w:b/>
          <w:bCs/>
          <w:color w:val="auto"/>
          <w:sz w:val="24"/>
          <w:szCs w:val="24"/>
        </w:rPr>
        <w:t>应当提供的供应商资格、资质性及其他类似效力要求的相关证明材料</w:t>
      </w:r>
    </w:p>
    <w:p w14:paraId="35F5655E">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11883EDF">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2、具备良好商业信誉的证明材料（提供承诺函</w:t>
      </w:r>
      <w:r>
        <w:rPr>
          <w:rFonts w:hint="eastAsia" w:ascii="宋体" w:hAnsi="宋体" w:eastAsia="宋体" w:cs="宋体"/>
          <w:color w:val="auto"/>
          <w:sz w:val="24"/>
          <w:szCs w:val="24"/>
          <w:lang w:eastAsia="zh-CN"/>
        </w:rPr>
        <w:t>，格式可自拟</w:t>
      </w:r>
      <w:r>
        <w:rPr>
          <w:rFonts w:hint="eastAsia" w:ascii="宋体" w:hAnsi="宋体" w:eastAsia="宋体" w:cs="宋体"/>
          <w:color w:val="auto"/>
          <w:sz w:val="24"/>
          <w:szCs w:val="24"/>
        </w:rPr>
        <w:t>）；</w:t>
      </w:r>
    </w:p>
    <w:p w14:paraId="58384789">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3、具备健全的财务会计制度的证明材料。（提供承诺函</w:t>
      </w:r>
      <w:r>
        <w:rPr>
          <w:rFonts w:hint="eastAsia" w:ascii="宋体" w:hAnsi="宋体" w:eastAsia="宋体" w:cs="宋体"/>
          <w:color w:val="auto"/>
          <w:sz w:val="24"/>
          <w:szCs w:val="24"/>
          <w:lang w:eastAsia="zh-CN"/>
        </w:rPr>
        <w:t>，格式可自拟</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p>
    <w:p w14:paraId="1F4C21AB">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4、具有依法缴纳税收和社会保障资金的良好记录（提供承诺函</w:t>
      </w:r>
      <w:r>
        <w:rPr>
          <w:rFonts w:hint="eastAsia" w:ascii="宋体" w:hAnsi="宋体" w:eastAsia="宋体" w:cs="宋体"/>
          <w:color w:val="auto"/>
          <w:sz w:val="24"/>
          <w:szCs w:val="24"/>
          <w:lang w:eastAsia="zh-CN"/>
        </w:rPr>
        <w:t>，格式可自拟</w:t>
      </w:r>
      <w:r>
        <w:rPr>
          <w:rFonts w:hint="eastAsia" w:ascii="宋体" w:hAnsi="宋体" w:eastAsia="宋体" w:cs="宋体"/>
          <w:color w:val="auto"/>
          <w:sz w:val="24"/>
          <w:szCs w:val="24"/>
        </w:rPr>
        <w:t>）；</w:t>
      </w:r>
    </w:p>
    <w:p w14:paraId="7285F95C">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5、具备履行合同所必需的设备和专业技术能力的证明材料（提供承诺函</w:t>
      </w:r>
      <w:r>
        <w:rPr>
          <w:rFonts w:hint="eastAsia" w:ascii="宋体" w:hAnsi="宋体" w:eastAsia="宋体" w:cs="宋体"/>
          <w:color w:val="auto"/>
          <w:sz w:val="24"/>
          <w:szCs w:val="24"/>
          <w:lang w:eastAsia="zh-CN"/>
        </w:rPr>
        <w:t>，格式可自拟</w:t>
      </w:r>
      <w:r>
        <w:rPr>
          <w:rFonts w:hint="eastAsia" w:ascii="宋体" w:hAnsi="宋体" w:eastAsia="宋体" w:cs="宋体"/>
          <w:color w:val="auto"/>
          <w:sz w:val="24"/>
          <w:szCs w:val="24"/>
        </w:rPr>
        <w:t>）；</w:t>
      </w:r>
    </w:p>
    <w:p w14:paraId="37AD6D33">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6、参加政府采购活动前3年内在经营活动中没有重大违法记录的承诺函</w:t>
      </w:r>
      <w:r>
        <w:rPr>
          <w:rFonts w:hint="eastAsia" w:ascii="宋体" w:hAnsi="宋体" w:eastAsia="宋体" w:cs="宋体"/>
          <w:color w:val="auto"/>
          <w:sz w:val="24"/>
          <w:szCs w:val="24"/>
          <w:lang w:eastAsia="zh-CN"/>
        </w:rPr>
        <w:t>，格式可自拟</w:t>
      </w:r>
      <w:r>
        <w:rPr>
          <w:rFonts w:hint="eastAsia" w:ascii="宋体" w:hAnsi="宋体" w:eastAsia="宋体" w:cs="宋体"/>
          <w:color w:val="auto"/>
          <w:sz w:val="24"/>
          <w:szCs w:val="24"/>
        </w:rPr>
        <w:t>；</w:t>
      </w:r>
    </w:p>
    <w:p w14:paraId="44C5B629">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7、具备法律、行政法规规定的其他条件的证明材料（提供承诺函</w:t>
      </w:r>
      <w:r>
        <w:rPr>
          <w:rFonts w:hint="eastAsia" w:ascii="宋体" w:hAnsi="宋体" w:eastAsia="宋体" w:cs="宋体"/>
          <w:color w:val="auto"/>
          <w:sz w:val="24"/>
          <w:szCs w:val="24"/>
          <w:lang w:eastAsia="zh-CN"/>
        </w:rPr>
        <w:t>，格式可自拟</w:t>
      </w:r>
      <w:r>
        <w:rPr>
          <w:rFonts w:hint="eastAsia" w:ascii="宋体" w:hAnsi="宋体" w:eastAsia="宋体" w:cs="宋体"/>
          <w:color w:val="auto"/>
          <w:sz w:val="24"/>
          <w:szCs w:val="24"/>
        </w:rPr>
        <w:t>）；</w:t>
      </w:r>
    </w:p>
    <w:p w14:paraId="15D793DD">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8、根据采购项目提出的特殊条件：</w:t>
      </w:r>
    </w:p>
    <w:p w14:paraId="1850167F">
      <w:pPr>
        <w:keepNext w:val="0"/>
        <w:keepLines w:val="0"/>
        <w:pageBreakBefore w:val="0"/>
        <w:widowControl w:val="0"/>
        <w:tabs>
          <w:tab w:val="left" w:pos="7665"/>
        </w:tabs>
        <w:kinsoku/>
        <w:wordWrap w:val="0"/>
        <w:overflowPunct/>
        <w:topLinePunct/>
        <w:autoSpaceDE/>
        <w:autoSpaceDN/>
        <w:bidi w:val="0"/>
        <w:adjustRightInd/>
        <w:snapToGrid/>
        <w:spacing w:line="360" w:lineRule="auto"/>
        <w:ind w:left="0" w:leftChars="0" w:firstLine="440" w:firstLineChars="200"/>
        <w:textAlignment w:val="auto"/>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w:t>
      </w:r>
      <w:r>
        <w:rPr>
          <w:rFonts w:hint="eastAsia" w:asciiTheme="minorEastAsia" w:hAnsiTheme="minorEastAsia" w:eastAsiaTheme="minorEastAsia" w:cstheme="minorEastAsia"/>
          <w:color w:val="auto"/>
          <w:sz w:val="22"/>
          <w:szCs w:val="22"/>
        </w:rPr>
        <w:t>供应商须具备国家建设行政主管部门颁发的房屋建筑工程监理乙级及以上资质</w:t>
      </w:r>
      <w:r>
        <w:rPr>
          <w:rFonts w:hint="eastAsia" w:asciiTheme="minorEastAsia" w:hAnsiTheme="minorEastAsia" w:eastAsiaTheme="minorEastAsia" w:cstheme="minorEastAsia"/>
          <w:color w:val="auto"/>
          <w:sz w:val="22"/>
          <w:szCs w:val="22"/>
          <w:lang w:val="en-US" w:eastAsia="zh-CN"/>
        </w:rPr>
        <w:t>；</w:t>
      </w:r>
    </w:p>
    <w:p w14:paraId="7D4AA568">
      <w:pPr>
        <w:keepNext w:val="0"/>
        <w:keepLines w:val="0"/>
        <w:pageBreakBefore w:val="0"/>
        <w:widowControl w:val="0"/>
        <w:tabs>
          <w:tab w:val="left" w:pos="7665"/>
        </w:tabs>
        <w:kinsoku/>
        <w:wordWrap w:val="0"/>
        <w:overflowPunct/>
        <w:topLinePunct/>
        <w:autoSpaceDE/>
        <w:autoSpaceDN/>
        <w:bidi w:val="0"/>
        <w:adjustRightInd/>
        <w:snapToGrid/>
        <w:spacing w:line="360" w:lineRule="auto"/>
        <w:ind w:left="0" w:leftChars="0" w:firstLine="440" w:firstLineChars="200"/>
        <w:textAlignment w:val="auto"/>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w:t>
      </w:r>
      <w:r>
        <w:rPr>
          <w:rFonts w:hint="eastAsia" w:asciiTheme="minorEastAsia" w:hAnsiTheme="minorEastAsia" w:eastAsiaTheme="minorEastAsia" w:cstheme="minorEastAsia"/>
          <w:color w:val="auto"/>
          <w:sz w:val="22"/>
          <w:szCs w:val="22"/>
        </w:rPr>
        <w:t>总监理工程师1名</w:t>
      </w:r>
      <w:r>
        <w:rPr>
          <w:rFonts w:hint="eastAsia" w:asciiTheme="minorEastAsia" w:hAnsiTheme="minorEastAsia" w:eastAsiaTheme="minorEastAsia" w:cstheme="minorEastAsia"/>
          <w:color w:val="auto"/>
          <w:sz w:val="22"/>
          <w:szCs w:val="22"/>
          <w:lang w:val="en-US" w:eastAsia="zh-CN"/>
        </w:rPr>
        <w:t>：</w:t>
      </w:r>
      <w:r>
        <w:rPr>
          <w:rFonts w:hint="eastAsia" w:asciiTheme="minorEastAsia" w:hAnsiTheme="minorEastAsia" w:eastAsiaTheme="minorEastAsia" w:cstheme="minorEastAsia"/>
          <w:color w:val="auto"/>
          <w:sz w:val="22"/>
          <w:szCs w:val="22"/>
        </w:rPr>
        <w:t>具有全国注册监理工程师（房屋建筑工程专业）资格</w:t>
      </w:r>
      <w:r>
        <w:rPr>
          <w:rFonts w:hint="eastAsia" w:asciiTheme="minorEastAsia" w:hAnsiTheme="minorEastAsia" w:eastAsiaTheme="minorEastAsia" w:cstheme="minorEastAsia"/>
          <w:color w:val="auto"/>
          <w:sz w:val="22"/>
          <w:szCs w:val="22"/>
          <w:lang w:val="en-US" w:eastAsia="zh-CN"/>
        </w:rPr>
        <w:t>；</w:t>
      </w:r>
    </w:p>
    <w:p w14:paraId="3F6EA0C7">
      <w:pPr>
        <w:keepNext w:val="0"/>
        <w:keepLines w:val="0"/>
        <w:pageBreakBefore w:val="0"/>
        <w:widowControl w:val="0"/>
        <w:tabs>
          <w:tab w:val="left" w:pos="7665"/>
        </w:tabs>
        <w:kinsoku/>
        <w:wordWrap w:val="0"/>
        <w:overflowPunct/>
        <w:topLinePunct/>
        <w:autoSpaceDE/>
        <w:autoSpaceDN/>
        <w:bidi w:val="0"/>
        <w:adjustRightInd/>
        <w:snapToGrid/>
        <w:spacing w:line="360" w:lineRule="auto"/>
        <w:ind w:left="0" w:leftChars="0" w:firstLine="440" w:firstLineChars="200"/>
        <w:textAlignment w:val="auto"/>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（3）</w:t>
      </w:r>
      <w:r>
        <w:rPr>
          <w:rFonts w:hint="eastAsia" w:asciiTheme="minorEastAsia" w:hAnsiTheme="minorEastAsia" w:eastAsiaTheme="minorEastAsia" w:cstheme="minorEastAsia"/>
          <w:color w:val="auto"/>
          <w:sz w:val="22"/>
          <w:szCs w:val="22"/>
        </w:rPr>
        <w:t>专业监理工程师1名：具有全国注册监理工程师（房屋建筑工程）</w:t>
      </w:r>
      <w:r>
        <w:rPr>
          <w:rFonts w:hint="eastAsia" w:asciiTheme="minorEastAsia" w:hAnsiTheme="minorEastAsia" w:eastAsiaTheme="minorEastAsia" w:cstheme="minorEastAsia"/>
          <w:color w:val="auto"/>
          <w:sz w:val="22"/>
          <w:szCs w:val="22"/>
          <w:lang w:val="en-US" w:eastAsia="zh-CN"/>
        </w:rPr>
        <w:t>；</w:t>
      </w:r>
    </w:p>
    <w:p w14:paraId="16C69164">
      <w:pPr>
        <w:keepNext w:val="0"/>
        <w:keepLines w:val="0"/>
        <w:pageBreakBefore w:val="0"/>
        <w:widowControl w:val="0"/>
        <w:tabs>
          <w:tab w:val="left" w:pos="7665"/>
        </w:tabs>
        <w:kinsoku/>
        <w:wordWrap w:val="0"/>
        <w:overflowPunct/>
        <w:topLinePunct/>
        <w:autoSpaceDE/>
        <w:autoSpaceDN/>
        <w:bidi w:val="0"/>
        <w:adjustRightInd/>
        <w:snapToGrid/>
        <w:spacing w:line="360" w:lineRule="auto"/>
        <w:ind w:left="0" w:leftChars="0" w:firstLine="440" w:firstLineChars="200"/>
        <w:textAlignment w:val="auto"/>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rPr>
        <w:t>注：以上所有人员不得重复计算，人员注册证书必须在本单位注册且在有效期内，须附证书相关平台等网页查询截图，否则不予认可。</w:t>
      </w:r>
    </w:p>
    <w:p w14:paraId="4DAE8851">
      <w:pPr>
        <w:keepNext w:val="0"/>
        <w:keepLines w:val="0"/>
        <w:pageBreakBefore w:val="0"/>
        <w:widowControl w:val="0"/>
        <w:tabs>
          <w:tab w:val="left" w:pos="7665"/>
        </w:tabs>
        <w:kinsoku/>
        <w:wordWrap w:val="0"/>
        <w:overflowPunct/>
        <w:topLinePunct/>
        <w:autoSpaceDE/>
        <w:autoSpaceDN/>
        <w:bidi w:val="0"/>
        <w:adjustRightInd/>
        <w:snapToGrid/>
        <w:spacing w:line="360" w:lineRule="auto"/>
        <w:ind w:left="0" w:leftChars="0" w:firstLine="440" w:firstLineChars="200"/>
        <w:textAlignment w:val="auto"/>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（4）企业注册地不在四川省行政区域内的外地企业，必须提供在有效期内的《四川省省外建筑企业入川承揽业务验证登记证》或《四川省省外施工、监理入川承揽业务信息录入证》。</w:t>
      </w:r>
      <w:r>
        <w:rPr>
          <w:rFonts w:hint="eastAsia" w:ascii="宋体" w:hAnsi="宋体" w:cs="宋体"/>
          <w:color w:val="auto"/>
          <w:sz w:val="24"/>
          <w:szCs w:val="24"/>
          <w:highlight w:val="none"/>
          <w:lang w:val="en-US" w:eastAsia="zh-CN"/>
        </w:rPr>
        <w:t>如未办理</w:t>
      </w:r>
      <w:r>
        <w:rPr>
          <w:rFonts w:hint="eastAsia" w:ascii="宋体" w:hAnsi="宋体" w:eastAsia="宋体" w:cs="宋体"/>
          <w:color w:val="auto"/>
          <w:sz w:val="24"/>
          <w:szCs w:val="24"/>
          <w:highlight w:val="none"/>
          <w:lang w:val="en-US" w:eastAsia="zh-CN"/>
        </w:rPr>
        <w:t>入川承揽业务验证登记证</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lang w:val="en-US" w:eastAsia="zh-CN"/>
        </w:rPr>
        <w:t>入川承揽业务信息录入证</w:t>
      </w:r>
      <w:r>
        <w:rPr>
          <w:rFonts w:hint="eastAsia" w:ascii="宋体" w:hAnsi="宋体" w:cs="宋体"/>
          <w:color w:val="auto"/>
          <w:sz w:val="24"/>
          <w:szCs w:val="24"/>
          <w:highlight w:val="none"/>
          <w:lang w:val="en-US" w:eastAsia="zh-CN"/>
        </w:rPr>
        <w:t>的，提供在成交公告发布后10个工作日内办理的承诺函。</w:t>
      </w:r>
    </w:p>
    <w:p w14:paraId="6DA2ECE0">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提供中小企业声明函。</w:t>
      </w:r>
    </w:p>
    <w:p w14:paraId="4AFD651F">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二、</w:t>
      </w:r>
      <w:r>
        <w:rPr>
          <w:rFonts w:hint="eastAsia" w:ascii="宋体" w:hAnsi="宋体" w:eastAsia="宋体" w:cs="宋体"/>
          <w:b/>
          <w:bCs/>
          <w:color w:val="auto"/>
          <w:sz w:val="24"/>
          <w:szCs w:val="24"/>
        </w:rPr>
        <w:t>其他类似效力要求相关证明材料：</w:t>
      </w:r>
    </w:p>
    <w:p w14:paraId="2573F902">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（1）法定代表人/单位负责人身份证明材料复印件。</w:t>
      </w:r>
    </w:p>
    <w:p w14:paraId="5C8D89A5">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w:t>
      </w:r>
      <w:r>
        <w:rPr>
          <w:rFonts w:hint="eastAsia" w:ascii="宋体" w:hAnsi="宋体" w:cs="宋体"/>
          <w:color w:val="auto"/>
          <w:sz w:val="24"/>
          <w:szCs w:val="24"/>
          <w:lang w:eastAsia="zh-CN"/>
        </w:rPr>
        <w:t>谈判</w:t>
      </w:r>
      <w:r>
        <w:rPr>
          <w:rFonts w:hint="eastAsia" w:ascii="宋体" w:hAnsi="宋体" w:eastAsia="宋体" w:cs="宋体"/>
          <w:color w:val="auto"/>
          <w:sz w:val="24"/>
          <w:szCs w:val="24"/>
        </w:rPr>
        <w:t>的，则可不提供。）</w:t>
      </w:r>
    </w:p>
    <w:p w14:paraId="520D19A6">
      <w:pPr>
        <w:pStyle w:val="39"/>
        <w:keepNext w:val="0"/>
        <w:keepLines w:val="0"/>
        <w:pageBreakBefore w:val="0"/>
        <w:widowControl w:val="0"/>
        <w:kinsoku/>
        <w:wordWrap/>
        <w:overflowPunct/>
        <w:topLinePunct w:val="0"/>
        <w:autoSpaceDE/>
        <w:autoSpaceDN/>
        <w:bidi w:val="0"/>
        <w:adjustRightInd/>
        <w:snapToGrid/>
        <w:spacing w:before="0" w:after="0" w:line="360" w:lineRule="auto"/>
        <w:ind w:left="0" w:leftChars="0"/>
        <w:jc w:val="left"/>
        <w:textAlignment w:val="auto"/>
        <w:outlineLvl w:val="9"/>
        <w:rPr>
          <w:rFonts w:hint="eastAsia" w:ascii="宋体" w:hAnsi="宋体" w:eastAsia="宋体" w:cs="宋体"/>
          <w:color w:val="auto"/>
          <w:sz w:val="24"/>
          <w:szCs w:val="24"/>
        </w:rPr>
      </w:pPr>
      <w:bookmarkStart w:id="88" w:name="_Toc23423"/>
      <w:bookmarkStart w:id="89" w:name="_Toc6567"/>
      <w:r>
        <w:rPr>
          <w:rFonts w:hint="eastAsia" w:ascii="宋体" w:hAnsi="宋体" w:eastAsia="宋体" w:cs="宋体"/>
          <w:color w:val="auto"/>
          <w:sz w:val="24"/>
          <w:szCs w:val="24"/>
        </w:rPr>
        <w:t>注：以上要求的资料复印件（身份证明材料、采购文件购买情况证明材料除外）均须加盖供应商单位的公章（鲜章），证明材料是双面的，在单面加盖公章，不影响响应文件的实质有效性。</w:t>
      </w:r>
      <w:bookmarkEnd w:id="88"/>
      <w:bookmarkEnd w:id="89"/>
    </w:p>
    <w:p w14:paraId="48973B02">
      <w:pPr>
        <w:pStyle w:val="39"/>
        <w:keepNext w:val="0"/>
        <w:keepLines w:val="0"/>
        <w:pageBreakBefore w:val="0"/>
        <w:widowControl w:val="0"/>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宋体"/>
          <w:color w:val="auto"/>
          <w:sz w:val="24"/>
          <w:szCs w:val="24"/>
        </w:rPr>
      </w:pPr>
    </w:p>
    <w:p w14:paraId="0EF9AC93">
      <w:pPr>
        <w:pStyle w:val="39"/>
        <w:outlineLvl w:val="9"/>
        <w:rPr>
          <w:rFonts w:hint="eastAsia" w:ascii="宋体" w:hAnsi="宋体" w:eastAsia="宋体" w:cs="宋体"/>
          <w:color w:val="auto"/>
          <w:sz w:val="24"/>
          <w:szCs w:val="24"/>
        </w:rPr>
      </w:pPr>
    </w:p>
    <w:p w14:paraId="0B51B915">
      <w:pPr>
        <w:outlineLvl w:val="9"/>
        <w:rPr>
          <w:rFonts w:hint="eastAsia" w:ascii="宋体" w:hAnsi="宋体" w:eastAsia="宋体" w:cs="宋体"/>
          <w:color w:val="auto"/>
          <w:sz w:val="24"/>
          <w:szCs w:val="24"/>
        </w:rPr>
      </w:pPr>
    </w:p>
    <w:p w14:paraId="77483C55">
      <w:pPr>
        <w:pStyle w:val="60"/>
        <w:outlineLvl w:val="9"/>
        <w:rPr>
          <w:rFonts w:hint="eastAsia" w:ascii="宋体" w:hAnsi="宋体" w:eastAsia="宋体" w:cs="宋体"/>
          <w:color w:val="auto"/>
          <w:sz w:val="24"/>
          <w:szCs w:val="24"/>
        </w:rPr>
      </w:pPr>
    </w:p>
    <w:p w14:paraId="0EF02DBE">
      <w:pPr>
        <w:pStyle w:val="60"/>
        <w:outlineLvl w:val="9"/>
        <w:rPr>
          <w:rFonts w:hint="eastAsia" w:ascii="宋体" w:hAnsi="宋体" w:eastAsia="宋体" w:cs="宋体"/>
          <w:color w:val="auto"/>
          <w:sz w:val="24"/>
          <w:szCs w:val="24"/>
        </w:rPr>
      </w:pPr>
    </w:p>
    <w:p w14:paraId="03F0C9A1">
      <w:pPr>
        <w:pStyle w:val="60"/>
        <w:outlineLvl w:val="9"/>
        <w:rPr>
          <w:rFonts w:hint="eastAsia" w:ascii="宋体" w:hAnsi="宋体" w:eastAsia="宋体" w:cs="宋体"/>
          <w:color w:val="auto"/>
          <w:sz w:val="24"/>
          <w:szCs w:val="24"/>
        </w:rPr>
      </w:pPr>
    </w:p>
    <w:p w14:paraId="38F145D3">
      <w:pPr>
        <w:pStyle w:val="60"/>
        <w:outlineLvl w:val="9"/>
        <w:rPr>
          <w:rFonts w:hint="eastAsia" w:ascii="宋体" w:hAnsi="宋体" w:eastAsia="宋体" w:cs="宋体"/>
          <w:color w:val="auto"/>
          <w:sz w:val="24"/>
          <w:szCs w:val="24"/>
        </w:rPr>
      </w:pPr>
    </w:p>
    <w:p w14:paraId="12589CDE">
      <w:pPr>
        <w:pStyle w:val="60"/>
        <w:outlineLvl w:val="9"/>
        <w:rPr>
          <w:rFonts w:hint="eastAsia" w:ascii="宋体" w:hAnsi="宋体" w:eastAsia="宋体" w:cs="宋体"/>
          <w:color w:val="auto"/>
          <w:sz w:val="24"/>
          <w:szCs w:val="24"/>
        </w:rPr>
      </w:pPr>
    </w:p>
    <w:p w14:paraId="7876D848">
      <w:pPr>
        <w:outlineLvl w:val="9"/>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17FBC984">
      <w:pPr>
        <w:pStyle w:val="60"/>
        <w:rPr>
          <w:rFonts w:hint="eastAsia" w:ascii="宋体" w:hAnsi="宋体" w:eastAsia="宋体" w:cs="宋体"/>
          <w:color w:val="auto"/>
          <w:sz w:val="24"/>
          <w:szCs w:val="24"/>
        </w:rPr>
      </w:pPr>
    </w:p>
    <w:p w14:paraId="1B005F60">
      <w:pPr>
        <w:pStyle w:val="39"/>
        <w:numPr>
          <w:ilvl w:val="0"/>
          <w:numId w:val="3"/>
        </w:numPr>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 xml:space="preserve"> </w:t>
      </w:r>
      <w:bookmarkStart w:id="90" w:name="_Toc2292"/>
      <w:bookmarkStart w:id="91" w:name="_Toc1340"/>
      <w:r>
        <w:rPr>
          <w:rFonts w:hint="eastAsia" w:ascii="宋体" w:hAnsi="宋体" w:eastAsia="宋体" w:cs="宋体"/>
          <w:color w:val="auto"/>
          <w:sz w:val="32"/>
          <w:szCs w:val="32"/>
        </w:rPr>
        <w:t>采购项目技术、服务、政府采购合同内容条款及其他商务要求</w:t>
      </w:r>
      <w:bookmarkEnd w:id="86"/>
      <w:bookmarkEnd w:id="90"/>
      <w:bookmarkEnd w:id="91"/>
    </w:p>
    <w:p w14:paraId="056A0B8A">
      <w:pPr>
        <w:keepNext w:val="0"/>
        <w:keepLines w:val="0"/>
        <w:spacing w:before="0" w:after="0" w:line="360" w:lineRule="auto"/>
        <w:ind w:firstLine="588" w:firstLineChars="245"/>
        <w:jc w:val="left"/>
        <w:outlineLvl w:val="9"/>
        <w:rPr>
          <w:rFonts w:hint="eastAsia" w:ascii="仿宋" w:hAnsi="仿宋" w:eastAsia="仿宋" w:cs="仿宋"/>
          <w:color w:val="auto"/>
          <w:sz w:val="24"/>
          <w:szCs w:val="24"/>
        </w:rPr>
      </w:pPr>
    </w:p>
    <w:p w14:paraId="59F2F7F3">
      <w:pPr>
        <w:keepNext w:val="0"/>
        <w:keepLines w:val="0"/>
        <w:pageBreakBefore w:val="0"/>
        <w:widowControl w:val="0"/>
        <w:kinsoku/>
        <w:wordWrap w:val="0"/>
        <w:overflowPunct/>
        <w:topLinePunct/>
        <w:autoSpaceDE/>
        <w:autoSpaceDN/>
        <w:bidi w:val="0"/>
        <w:adjustRightInd/>
        <w:snapToGrid/>
        <w:spacing w:line="360" w:lineRule="auto"/>
        <w:textAlignment w:val="auto"/>
        <w:outlineLvl w:val="9"/>
        <w:rPr>
          <w:rFonts w:hint="eastAsia" w:ascii="黑体" w:hAnsi="黑体" w:eastAsia="黑体" w:cs="黑体"/>
          <w:b/>
          <w:bCs/>
          <w:color w:val="auto"/>
          <w:sz w:val="24"/>
          <w:szCs w:val="24"/>
        </w:rPr>
      </w:pPr>
      <w:r>
        <w:rPr>
          <w:rFonts w:hint="eastAsia" w:ascii="黑体" w:hAnsi="黑体" w:eastAsia="黑体" w:cs="黑体"/>
          <w:b/>
          <w:bCs/>
          <w:color w:val="auto"/>
          <w:sz w:val="24"/>
          <w:szCs w:val="24"/>
        </w:rPr>
        <w:t>一、人员要求和服务要求</w:t>
      </w:r>
      <w:r>
        <w:rPr>
          <w:rFonts w:hint="eastAsia" w:ascii="黑体" w:hAnsi="黑体" w:eastAsia="黑体" w:cs="黑体"/>
          <w:b/>
          <w:bCs/>
          <w:color w:val="auto"/>
          <w:sz w:val="24"/>
          <w:szCs w:val="24"/>
          <w:lang w:eastAsia="zh-CN"/>
        </w:rPr>
        <w:t>：</w:t>
      </w:r>
    </w:p>
    <w:p w14:paraId="348F0A73">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监理的主要工作任务：</w:t>
      </w:r>
    </w:p>
    <w:p w14:paraId="281E2760">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一）服务内容：</w:t>
      </w:r>
    </w:p>
    <w:p w14:paraId="2B0AE6C5">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（1）收到工程设计文件后，根据有关规定和监理工作需要编制监理规划和监理实施细则，并将成果在7日内报采购单位。</w:t>
      </w:r>
    </w:p>
    <w:p w14:paraId="02FD7D10">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（2）熟悉工程设计文件，并参加由采购单位主持的图纸会审和设计交底会议。</w:t>
      </w:r>
    </w:p>
    <w:p w14:paraId="07EF1ADA">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（3）主持监理例会并根据工程需要主持或参加专题会议。</w:t>
      </w:r>
    </w:p>
    <w:p w14:paraId="649E8C4D">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（4）审查施工承包人提交的施工组织设计，重点审查其中的质量安全技术措施、专项施工方案与工程建设强制性标准的符合性。</w:t>
      </w:r>
    </w:p>
    <w:p w14:paraId="347FD22E">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（5）检查施工承包人工程质量、安全生产管理制度及组织机构和人员资格。</w:t>
      </w:r>
    </w:p>
    <w:p w14:paraId="44794708">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（6）检查施工承包人专职安全生产管理人员的配备情况。</w:t>
      </w:r>
    </w:p>
    <w:p w14:paraId="59783276">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（7）审查施工承包人提交的施工进度计划，核查承包人对施工进度计划的调整。</w:t>
      </w:r>
    </w:p>
    <w:p w14:paraId="215142DE">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（8）查验施工承包人的施工测量放线成果。</w:t>
      </w:r>
    </w:p>
    <w:p w14:paraId="635FD141">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（9）审查工程开工条件，对条件具备的签发开工令。</w:t>
      </w:r>
    </w:p>
    <w:p w14:paraId="6250A783">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（10）审查施工承包人报送的工程材料、构配件、设备质量证明文件的有效性和符合性，并按规定对用于工程的材料采取平行检验或见证取样方式进行抽检。</w:t>
      </w:r>
    </w:p>
    <w:p w14:paraId="65B95697">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（11）审核施工承包人提交的工程款支付申请，签发或出具工程款支付证书，并报采购单位审核、批准。</w:t>
      </w:r>
    </w:p>
    <w:p w14:paraId="15A7939C">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（12）在巡视、旁站和检验过程中，发现工程质量、施工安全存在事故隐患的，要求施工承包人整改并报采购单位。</w:t>
      </w:r>
    </w:p>
    <w:p w14:paraId="01631FC3">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（13）经采购单位同意，签发工程暂停令和复工令。</w:t>
      </w:r>
    </w:p>
    <w:p w14:paraId="336B4216">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（14）审查施工承包人提交的采用新材料、新工艺、新技术、新设备的论证材料及相关验收标准。</w:t>
      </w:r>
    </w:p>
    <w:p w14:paraId="5C5FFA66">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（15）验收隐蔽工程、分部分项工程。</w:t>
      </w:r>
    </w:p>
    <w:p w14:paraId="096ECD43">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（16）审查施工承包人提交的工程变更申请，协调处理施工进度调整、费用索赔、合同争议等事项。</w:t>
      </w:r>
    </w:p>
    <w:p w14:paraId="0F388FE6">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（17）审查施工承包人提交的竣工验收申请，编写工程质量评估报告。</w:t>
      </w:r>
    </w:p>
    <w:p w14:paraId="1D9A8C16">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（18）参加工程竣工验收，签署竣工验收意见。</w:t>
      </w:r>
    </w:p>
    <w:p w14:paraId="1488E365">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（19）审查施工承包人提交的竣工结算申请并报采购单位。</w:t>
      </w:r>
    </w:p>
    <w:p w14:paraId="648135EB">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（20）编制、整理工程监理归档文件并报采购单位。</w:t>
      </w:r>
    </w:p>
    <w:p w14:paraId="3987931C">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（21）监理单位要督促施工单位每月按时足额支付民工工资。</w:t>
      </w:r>
    </w:p>
    <w:p w14:paraId="1D377DEE">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二）人员职责要求：</w:t>
      </w:r>
    </w:p>
    <w:p w14:paraId="17136E05">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监理职责及工作范围要求：</w:t>
      </w:r>
    </w:p>
    <w:p w14:paraId="0A9EE63E">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1、总监理工程师：</w:t>
      </w:r>
    </w:p>
    <w:p w14:paraId="3860968D">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(1)总监理工程师应负责管理现场监理班子。</w:t>
      </w:r>
    </w:p>
    <w:p w14:paraId="4ADC83B4">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(2)施工招标阶段，负责组织参与对承包单位资质，人员资格的审查。组织监理组审阅设计图纸，参加工程交底会。</w:t>
      </w:r>
    </w:p>
    <w:p w14:paraId="2FB5C6A7">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(3)签署开工令、停工令、复工令、隐蔽工程验收单、工程质量整改记录等监理业务联系单。</w:t>
      </w:r>
    </w:p>
    <w:p w14:paraId="253D372A">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(4)组织编写监理月报，砖体报告，施工质量评估报告，审阅施工监理记录和监理日志。</w:t>
      </w:r>
    </w:p>
    <w:p w14:paraId="34318D38">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(5)审核并签署当月完成工作量，供业主支付工程款参考。</w:t>
      </w:r>
    </w:p>
    <w:p w14:paraId="01C2273E">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(6)组织监理组参加质量事故的调查处理，按要求进行复验和签证。</w:t>
      </w:r>
    </w:p>
    <w:p w14:paraId="3760BE0C">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(7)组织召开监理例会，协调参建的有关各方关系。</w:t>
      </w:r>
    </w:p>
    <w:p w14:paraId="71B46B14">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(8)组织专业监理工程师审核竣工资料。参加完成工程的初验和终验。</w:t>
      </w:r>
    </w:p>
    <w:p w14:paraId="75B866CF">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(9)工程结束后编写监理工作总结。</w:t>
      </w:r>
    </w:p>
    <w:p w14:paraId="50AEBA15">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(10)成交后采购人将制定严格的工程监理考勤考核细则（百分制），对违反考核细则的将从保证金中扣抵。</w:t>
      </w:r>
    </w:p>
    <w:p w14:paraId="14B065A0">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(11)专业监理工程师必须做到施工阶段全时在岗监督，监理期间一律不得换人；总监理工程师必须做到每周到施工现场巡视检查一次并且召开一次监理汇报会。</w:t>
      </w:r>
    </w:p>
    <w:p w14:paraId="440830FE">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2、专业监理工程师：</w:t>
      </w:r>
    </w:p>
    <w:p w14:paraId="2143FC8A">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1）需跟踪施工全过程，进行工序的质量检查，持证送检原材料；负责进场材料、构件、半成品、机械设备等的质量检查；负责工程计量、验方及签署原始凭证；监督检查承包商的各项试验工作，复核所有试验记录并签字；监督检查承包商提出的延期和索赔申请的期限的费用计划，并提出复核意见；负责现场施工安全、防火的监督、检查；及时报告现场发生的质量事故、安全事故和异常情况；复核建筑物标高、轴线，督促施工单位搞好沉降观测，并作好记录；执行监理细则，填好各种监理图表；负责隐蔽工程检查验收并签署意见；坚持逐日填写监理日志，及时、如实地填写原始记录。</w:t>
      </w:r>
    </w:p>
    <w:p w14:paraId="0C8B9B19">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（2）熟悉掌握施工图和设计意图，施工工艺和操作规程，工程质量验收标准以及有关的法规和条例。</w:t>
      </w:r>
    </w:p>
    <w:p w14:paraId="05D5BF5A">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（3）参加施工图纸和文件、施工组织设计（施工方案），编写监理细则。审核承包方的提交的施工总进度计划、月度计划，工程量申报表及付款申请表，为总监的确认提供依据。</w:t>
      </w:r>
    </w:p>
    <w:p w14:paraId="68C8FE51">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（4）以跟踪旁站的形式现场检查工程施工质量，特别是隐蔽工程，在施工方自检合格的基础上，进行复验。对经复验合格的部位签署隐蔽工程验收单。</w:t>
      </w:r>
    </w:p>
    <w:p w14:paraId="6B21A1A6">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审核承包方提交的技术核定单，索赔申请和延长工期的申请，并就此进行调查研究，为总监的确认提供相关依据。</w:t>
      </w:r>
    </w:p>
    <w:p w14:paraId="1308EDE0">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（5）监理应按下列要求做好监理日志</w:t>
      </w:r>
    </w:p>
    <w:p w14:paraId="6B98C895">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施工情况：施工的内容，工程会议，主要材料，机械设备，劳动力的进出场情况。存在的问题：工程质量和工程进度情况。</w:t>
      </w:r>
    </w:p>
    <w:p w14:paraId="10B941C5">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问题处理：对提出的问题、处理情况及结果；签发的文书和单据（监理通知，隐蔽工程验收单等），现场的协调工作。</w:t>
      </w:r>
    </w:p>
    <w:p w14:paraId="2FDB32AF">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在施工现场发现的问题，应及时向总监汇报，以便及时做出反应，并在总监的授权下进行处理。</w:t>
      </w:r>
    </w:p>
    <w:p w14:paraId="046BE3BD">
      <w:pPr>
        <w:pStyle w:val="179"/>
        <w:keepNext w:val="0"/>
        <w:keepLines w:val="0"/>
        <w:pageBreakBefore w:val="0"/>
        <w:widowControl w:val="0"/>
        <w:kinsoku/>
        <w:wordWrap w:val="0"/>
        <w:overflowPunct/>
        <w:topLinePunct/>
        <w:autoSpaceDE/>
        <w:autoSpaceDN/>
        <w:bidi w:val="0"/>
        <w:adjustRightInd/>
        <w:snapToGrid/>
        <w:spacing w:line="360" w:lineRule="auto"/>
        <w:ind w:firstLine="210" w:firstLineChars="1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三）履行职责：</w:t>
      </w:r>
    </w:p>
    <w:p w14:paraId="2F4955A4">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（1）成交供应商应遵循职业道德准则和行为规范，严格按照法律法规、工程建设有关标准及本合同履行职责。</w:t>
      </w:r>
    </w:p>
    <w:p w14:paraId="6893F3E9">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（2）在监理与相关服务范围内，采购单位和施工承包人提出的意见和要求，成交供应商应及时提出处置意见。当采购单位与施工承包人之间发生合同争议时，成交供应商应协助采购单位、施工承包人协商解决。</w:t>
      </w:r>
    </w:p>
    <w:p w14:paraId="0426BDBF">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3）成交供应商应在专用条件约定的授权范围内，处理采购单位与施工承包人所签订合同的变更事宜。如果变更超过授权范围，应以书面形式报采购单位批准。在紧急情况下，为了保护财产和人身安全，成交供应商所发出的指令未能事先报采购单位批准时，应在发出指令后的 24 小时内以书面形式报采购单位。</w:t>
      </w:r>
    </w:p>
    <w:p w14:paraId="6F250102">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（4）除专用条件另有约定外，成交供应商发现施工承包人的人员不能胜任本职工作的，有权要求施工承包人予以调换。</w:t>
      </w:r>
    </w:p>
    <w:p w14:paraId="64817DE2">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四）监理依据：</w:t>
      </w:r>
    </w:p>
    <w:p w14:paraId="27CFBC4C">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（1）适用的法律、行政法规及部门规章；</w:t>
      </w:r>
    </w:p>
    <w:p w14:paraId="3663905D">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（2）与工程有关的标准；</w:t>
      </w:r>
    </w:p>
    <w:p w14:paraId="7A688BEB">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（3）工程设计及有关文件；</w:t>
      </w:r>
    </w:p>
    <w:p w14:paraId="5E9F368E">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（4）双方根据工程的行业和地域特点，在合同条款中具体约定监理依据。</w:t>
      </w:r>
    </w:p>
    <w:p w14:paraId="397FF58F">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五）其他：除完成规范要求监理单位必须完成的工作外，还应配合完成工程结算审计及竣工验收备案。</w:t>
      </w:r>
    </w:p>
    <w:p w14:paraId="3105FF66">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六）项目若涉及新增工程、市场询价、调整图纸等新增项目，监理费用不作任何调整。</w:t>
      </w:r>
    </w:p>
    <w:p w14:paraId="560D7377">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（二）、人员要求</w:t>
      </w:r>
    </w:p>
    <w:p w14:paraId="4D4743FB">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1、总监理工程师1名：具有全国注册监理工程师（房屋建筑工程专业）资格，同时具有高级及以上职称。</w:t>
      </w:r>
    </w:p>
    <w:p w14:paraId="1E4AB03C">
      <w:pPr>
        <w:pStyle w:val="179"/>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rPr>
        <w:t>2、房屋建筑工程专业监理工程师1名：具有全国注册监理工程师（房屋建筑工程），同时具有中级及以上职称。</w:t>
      </w:r>
    </w:p>
    <w:p w14:paraId="4974905C">
      <w:pPr>
        <w:pStyle w:val="17"/>
        <w:keepNext w:val="0"/>
        <w:keepLines w:val="0"/>
        <w:pageBreakBefore w:val="0"/>
        <w:widowControl w:val="0"/>
        <w:numPr>
          <w:ilvl w:val="0"/>
          <w:numId w:val="0"/>
        </w:numPr>
        <w:kinsoku/>
        <w:wordWrap w:val="0"/>
        <w:overflowPunct/>
        <w:topLinePunct/>
        <w:autoSpaceDE/>
        <w:autoSpaceDN/>
        <w:bidi w:val="0"/>
        <w:adjustRightInd/>
        <w:snapToGrid/>
        <w:spacing w:after="0" w:line="360" w:lineRule="auto"/>
        <w:ind w:left="0" w:leftChars="0" w:firstLine="420" w:firstLineChars="200"/>
        <w:jc w:val="left"/>
        <w:textAlignment w:val="auto"/>
        <w:outlineLvl w:val="9"/>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color w:val="auto"/>
          <w:sz w:val="21"/>
        </w:rPr>
        <w:t>注：以上所有人员不得重复计算，人员注册证书必须在本单位注册且在有效期内，须附证书相关平台等网页查询截图，否则不予认可。</w:t>
      </w:r>
    </w:p>
    <w:p w14:paraId="7D2DC18E">
      <w:pPr>
        <w:keepNext w:val="0"/>
        <w:keepLines w:val="0"/>
        <w:numPr>
          <w:ilvl w:val="0"/>
          <w:numId w:val="4"/>
        </w:numPr>
        <w:spacing w:before="0" w:after="0" w:line="360" w:lineRule="auto"/>
        <w:jc w:val="left"/>
        <w:outlineLvl w:val="9"/>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商务要求</w:t>
      </w:r>
    </w:p>
    <w:tbl>
      <w:tblPr>
        <w:tblStyle w:val="44"/>
        <w:tblW w:w="825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4"/>
        <w:gridCol w:w="1598"/>
        <w:gridCol w:w="6216"/>
      </w:tblGrid>
      <w:tr w14:paraId="3E6855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65" w:hRule="atLeast"/>
        </w:trPr>
        <w:tc>
          <w:tcPr>
            <w:tcW w:w="444" w:type="dxa"/>
            <w:vAlign w:val="center"/>
          </w:tcPr>
          <w:p w14:paraId="6E2E8760">
            <w:pPr>
              <w:pStyle w:val="179"/>
              <w:jc w:val="center"/>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序号</w:t>
            </w:r>
          </w:p>
        </w:tc>
        <w:tc>
          <w:tcPr>
            <w:tcW w:w="1598" w:type="dxa"/>
            <w:vAlign w:val="center"/>
          </w:tcPr>
          <w:p w14:paraId="61E23110">
            <w:pPr>
              <w:pStyle w:val="179"/>
              <w:jc w:val="center"/>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商务要求名称</w:t>
            </w:r>
          </w:p>
        </w:tc>
        <w:tc>
          <w:tcPr>
            <w:tcW w:w="6216" w:type="dxa"/>
            <w:vAlign w:val="center"/>
          </w:tcPr>
          <w:p w14:paraId="7993EBC8">
            <w:pPr>
              <w:pStyle w:val="179"/>
              <w:jc w:val="center"/>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商务要求内容</w:t>
            </w:r>
          </w:p>
        </w:tc>
      </w:tr>
      <w:tr w14:paraId="385C72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6" w:hRule="atLeast"/>
        </w:trPr>
        <w:tc>
          <w:tcPr>
            <w:tcW w:w="444" w:type="dxa"/>
            <w:vAlign w:val="center"/>
          </w:tcPr>
          <w:p w14:paraId="61B092BA">
            <w:pPr>
              <w:pStyle w:val="179"/>
              <w:jc w:val="center"/>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p>
        </w:tc>
        <w:tc>
          <w:tcPr>
            <w:tcW w:w="1598" w:type="dxa"/>
            <w:vAlign w:val="center"/>
          </w:tcPr>
          <w:p w14:paraId="1AEC48E2">
            <w:pPr>
              <w:pStyle w:val="179"/>
              <w:jc w:val="center"/>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服务期限</w:t>
            </w:r>
          </w:p>
        </w:tc>
        <w:tc>
          <w:tcPr>
            <w:tcW w:w="6216" w:type="dxa"/>
            <w:vAlign w:val="center"/>
          </w:tcPr>
          <w:p w14:paraId="255F00F0">
            <w:pPr>
              <w:pStyle w:val="179"/>
              <w:jc w:val="left"/>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施工工期+缺陷责任期</w:t>
            </w:r>
          </w:p>
        </w:tc>
      </w:tr>
      <w:tr w14:paraId="308E58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6" w:hRule="atLeast"/>
        </w:trPr>
        <w:tc>
          <w:tcPr>
            <w:tcW w:w="444" w:type="dxa"/>
            <w:vAlign w:val="center"/>
          </w:tcPr>
          <w:p w14:paraId="4B94A213">
            <w:pPr>
              <w:pStyle w:val="179"/>
              <w:jc w:val="center"/>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w:t>
            </w:r>
          </w:p>
        </w:tc>
        <w:tc>
          <w:tcPr>
            <w:tcW w:w="1598" w:type="dxa"/>
            <w:vAlign w:val="center"/>
          </w:tcPr>
          <w:p w14:paraId="4F3DA51F">
            <w:pPr>
              <w:pStyle w:val="179"/>
              <w:jc w:val="center"/>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服务地点</w:t>
            </w:r>
          </w:p>
        </w:tc>
        <w:tc>
          <w:tcPr>
            <w:tcW w:w="6216" w:type="dxa"/>
            <w:vAlign w:val="center"/>
          </w:tcPr>
          <w:p w14:paraId="52BF4872">
            <w:pPr>
              <w:pStyle w:val="179"/>
              <w:jc w:val="left"/>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广元市</w:t>
            </w:r>
          </w:p>
        </w:tc>
      </w:tr>
      <w:tr w14:paraId="502CA2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01" w:hRule="atLeast"/>
        </w:trPr>
        <w:tc>
          <w:tcPr>
            <w:tcW w:w="444" w:type="dxa"/>
            <w:vAlign w:val="center"/>
          </w:tcPr>
          <w:p w14:paraId="51ABB3CC">
            <w:pPr>
              <w:pStyle w:val="179"/>
              <w:jc w:val="center"/>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w:t>
            </w:r>
          </w:p>
        </w:tc>
        <w:tc>
          <w:tcPr>
            <w:tcW w:w="1598" w:type="dxa"/>
            <w:vAlign w:val="center"/>
          </w:tcPr>
          <w:p w14:paraId="3F553A9F">
            <w:pPr>
              <w:pStyle w:val="179"/>
              <w:jc w:val="center"/>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验收、交付标准和方法</w:t>
            </w:r>
          </w:p>
        </w:tc>
        <w:tc>
          <w:tcPr>
            <w:tcW w:w="6216" w:type="dxa"/>
            <w:vAlign w:val="center"/>
          </w:tcPr>
          <w:p w14:paraId="5FC86561">
            <w:pPr>
              <w:pStyle w:val="179"/>
              <w:jc w:val="left"/>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（1）采购人对项目按采购文件要求、响应文件内容、采购合同、国家及行业标准开展项目验收，发现不符合相关要求的采购人将拒绝验收。 （2）符合国家、省、行业等相关规定。</w:t>
            </w:r>
          </w:p>
        </w:tc>
      </w:tr>
      <w:tr w14:paraId="4D7029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6" w:hRule="atLeast"/>
        </w:trPr>
        <w:tc>
          <w:tcPr>
            <w:tcW w:w="444" w:type="dxa"/>
            <w:vAlign w:val="center"/>
          </w:tcPr>
          <w:p w14:paraId="5AB06115">
            <w:pPr>
              <w:pStyle w:val="179"/>
              <w:jc w:val="center"/>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w:t>
            </w:r>
          </w:p>
        </w:tc>
        <w:tc>
          <w:tcPr>
            <w:tcW w:w="1598" w:type="dxa"/>
            <w:vAlign w:val="center"/>
          </w:tcPr>
          <w:p w14:paraId="78487C3C">
            <w:pPr>
              <w:pStyle w:val="179"/>
              <w:jc w:val="center"/>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支付方式</w:t>
            </w:r>
          </w:p>
        </w:tc>
        <w:tc>
          <w:tcPr>
            <w:tcW w:w="6216" w:type="dxa"/>
            <w:vAlign w:val="center"/>
          </w:tcPr>
          <w:p w14:paraId="59273DF5">
            <w:pPr>
              <w:pStyle w:val="179"/>
              <w:jc w:val="left"/>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分期付款</w:t>
            </w:r>
          </w:p>
        </w:tc>
      </w:tr>
      <w:tr w14:paraId="43EEF8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76" w:hRule="atLeast"/>
        </w:trPr>
        <w:tc>
          <w:tcPr>
            <w:tcW w:w="444" w:type="dxa"/>
            <w:vAlign w:val="center"/>
          </w:tcPr>
          <w:p w14:paraId="1368E9A7">
            <w:pPr>
              <w:pStyle w:val="179"/>
              <w:jc w:val="center"/>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w:t>
            </w:r>
          </w:p>
        </w:tc>
        <w:tc>
          <w:tcPr>
            <w:tcW w:w="1598" w:type="dxa"/>
            <w:vAlign w:val="center"/>
          </w:tcPr>
          <w:p w14:paraId="2036A4FC">
            <w:pPr>
              <w:pStyle w:val="179"/>
              <w:jc w:val="center"/>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付款进度安排</w:t>
            </w:r>
          </w:p>
        </w:tc>
        <w:tc>
          <w:tcPr>
            <w:tcW w:w="6216" w:type="dxa"/>
            <w:vAlign w:val="center"/>
          </w:tcPr>
          <w:p w14:paraId="41DAD84F">
            <w:pPr>
              <w:pStyle w:val="179"/>
              <w:jc w:val="left"/>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r>
              <w:rPr>
                <w:rFonts w:hint="eastAsia" w:asciiTheme="minorEastAsia" w:hAnsiTheme="minorEastAsia" w:cstheme="minorEastAsia"/>
                <w:color w:val="auto"/>
                <w:lang w:val="en-US" w:eastAsia="zh-CN"/>
              </w:rPr>
              <w:t>.</w:t>
            </w:r>
            <w:r>
              <w:rPr>
                <w:rFonts w:hint="eastAsia" w:asciiTheme="minorEastAsia" w:hAnsiTheme="minorEastAsia" w:eastAsiaTheme="minorEastAsia" w:cstheme="minorEastAsia"/>
                <w:color w:val="auto"/>
              </w:rPr>
              <w:t>（预付款）成交供应商与采购人签订合同后，达到付款条件起15日内，支付合同总金额的30.00%</w:t>
            </w:r>
          </w:p>
          <w:p w14:paraId="0BFA736A">
            <w:pPr>
              <w:pStyle w:val="179"/>
              <w:jc w:val="left"/>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w:t>
            </w:r>
            <w:r>
              <w:rPr>
                <w:rFonts w:hint="eastAsia" w:asciiTheme="minorEastAsia" w:hAnsiTheme="minorEastAsia" w:cstheme="minorEastAsia"/>
                <w:color w:val="auto"/>
                <w:lang w:val="en-US" w:eastAsia="zh-CN"/>
              </w:rPr>
              <w:t>.</w:t>
            </w:r>
            <w:r>
              <w:rPr>
                <w:rFonts w:hint="eastAsia" w:asciiTheme="minorEastAsia" w:hAnsiTheme="minorEastAsia" w:eastAsiaTheme="minorEastAsia" w:cstheme="minorEastAsia"/>
                <w:color w:val="auto"/>
              </w:rPr>
              <w:t>项目完工并通过验收，监理资料整理完毕，并配合完成竣工验收备案后，达到付款条件起30日内，支付合同总金额的</w:t>
            </w:r>
            <w:r>
              <w:rPr>
                <w:rFonts w:hint="eastAsia" w:asciiTheme="minorEastAsia" w:hAnsiTheme="minorEastAsia" w:cstheme="minorEastAsia"/>
                <w:color w:val="auto"/>
                <w:lang w:val="en-US" w:eastAsia="zh-CN"/>
              </w:rPr>
              <w:t>67</w:t>
            </w:r>
            <w:r>
              <w:rPr>
                <w:rFonts w:hint="eastAsia" w:asciiTheme="minorEastAsia" w:hAnsiTheme="minorEastAsia" w:eastAsiaTheme="minorEastAsia" w:cstheme="minorEastAsia"/>
                <w:color w:val="auto"/>
              </w:rPr>
              <w:t>.00%</w:t>
            </w:r>
          </w:p>
          <w:p w14:paraId="62198E1E">
            <w:pPr>
              <w:pStyle w:val="179"/>
              <w:jc w:val="left"/>
              <w:outlineLvl w:val="9"/>
              <w:rPr>
                <w:rFonts w:hint="eastAsia" w:asciiTheme="minorEastAsia" w:hAnsiTheme="minorEastAsia" w:eastAsiaTheme="minorEastAsia" w:cstheme="minorEastAsia"/>
                <w:color w:val="auto"/>
              </w:rPr>
            </w:pPr>
            <w:r>
              <w:rPr>
                <w:rFonts w:hint="eastAsia" w:asciiTheme="minorEastAsia" w:hAnsiTheme="minorEastAsia" w:cstheme="minorEastAsia"/>
                <w:color w:val="auto"/>
                <w:lang w:val="en-US" w:eastAsia="zh-CN"/>
              </w:rPr>
              <w:t>3.</w:t>
            </w:r>
            <w:r>
              <w:rPr>
                <w:rFonts w:hint="eastAsia" w:asciiTheme="minorEastAsia" w:hAnsiTheme="minorEastAsia" w:eastAsiaTheme="minorEastAsia" w:cstheme="minorEastAsia"/>
                <w:color w:val="auto"/>
              </w:rPr>
              <w:t>缺陷责任期满后(无扣款事项)，达到付款条件起30日内，支付合同总金额的3.00%</w:t>
            </w:r>
          </w:p>
        </w:tc>
      </w:tr>
      <w:tr w14:paraId="40ADBD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92" w:hRule="atLeast"/>
        </w:trPr>
        <w:tc>
          <w:tcPr>
            <w:tcW w:w="444" w:type="dxa"/>
            <w:vAlign w:val="center"/>
          </w:tcPr>
          <w:p w14:paraId="71AF893C">
            <w:pPr>
              <w:pStyle w:val="179"/>
              <w:jc w:val="center"/>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w:t>
            </w:r>
          </w:p>
        </w:tc>
        <w:tc>
          <w:tcPr>
            <w:tcW w:w="1598" w:type="dxa"/>
            <w:vAlign w:val="center"/>
          </w:tcPr>
          <w:p w14:paraId="51650B52">
            <w:pPr>
              <w:pStyle w:val="179"/>
              <w:jc w:val="center"/>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违约责任与解决争议的方法</w:t>
            </w:r>
          </w:p>
        </w:tc>
        <w:tc>
          <w:tcPr>
            <w:tcW w:w="6216" w:type="dxa"/>
            <w:vAlign w:val="center"/>
          </w:tcPr>
          <w:p w14:paraId="1E5A82E8">
            <w:pPr>
              <w:pStyle w:val="179"/>
              <w:jc w:val="left"/>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（1）采购人及成交供应商双方必须遵守本项目采购合同并执行合同中的各项规定，保证本合同的正常履行。 （2）如因成交供应商工作人员在履行职务过程中的的疏忽、失职、过错等故意或者过失原因给采购人造成损失或侵害，包括但不限于采购人本身的财产损失、由此而导致的采购人对任何第三方的法律责任等，成交供应商对此均应承担全部的赔偿责任。 （3）合同履行期间,若双方发生争议，可协商或由有关部门调解解决，协商或调解不成的，由当事人依法向采购人住所地人民法院提起诉讼以维护其合法权益。</w:t>
            </w:r>
          </w:p>
        </w:tc>
      </w:tr>
    </w:tbl>
    <w:p w14:paraId="6F05A9EB">
      <w:pPr>
        <w:keepNext w:val="0"/>
        <w:keepLines w:val="0"/>
        <w:spacing w:before="0" w:after="0" w:line="360" w:lineRule="auto"/>
        <w:jc w:val="center"/>
        <w:outlineLvl w:val="0"/>
        <w:rPr>
          <w:rFonts w:hint="eastAsia" w:ascii="宋体" w:hAnsi="宋体" w:eastAsia="宋体" w:cs="宋体"/>
          <w:b/>
          <w:bCs/>
          <w:color w:val="auto"/>
          <w:kern w:val="2"/>
          <w:sz w:val="24"/>
          <w:szCs w:val="24"/>
          <w:lang w:val="en-US" w:eastAsia="zh-CN" w:bidi="ar-SA"/>
        </w:rPr>
      </w:pPr>
      <w:r>
        <w:rPr>
          <w:rFonts w:hint="eastAsia" w:ascii="宋体" w:hAnsi="宋体" w:eastAsia="宋体" w:cs="宋体"/>
          <w:b w:val="0"/>
          <w:bCs w:val="0"/>
          <w:color w:val="auto"/>
          <w:kern w:val="0"/>
          <w:sz w:val="24"/>
          <w:szCs w:val="24"/>
          <w:lang w:val="en-US" w:eastAsia="zh-CN" w:bidi="ar"/>
        </w:rPr>
        <w:br w:type="page"/>
      </w:r>
      <w:bookmarkEnd w:id="72"/>
      <w:bookmarkEnd w:id="73"/>
      <w:bookmarkEnd w:id="74"/>
      <w:bookmarkEnd w:id="75"/>
      <w:bookmarkEnd w:id="76"/>
      <w:bookmarkStart w:id="92" w:name="_Toc13506"/>
      <w:bookmarkStart w:id="93" w:name="_Toc509579145"/>
      <w:bookmarkStart w:id="94" w:name="_Toc183682369"/>
      <w:bookmarkStart w:id="95" w:name="_Toc183582232"/>
      <w:bookmarkStart w:id="96" w:name="_Toc217446057"/>
      <w:r>
        <w:rPr>
          <w:rFonts w:hint="eastAsia" w:ascii="宋体" w:hAnsi="宋体" w:eastAsia="宋体" w:cs="宋体"/>
          <w:b/>
          <w:bCs/>
          <w:color w:val="auto"/>
          <w:kern w:val="2"/>
          <w:sz w:val="36"/>
          <w:szCs w:val="36"/>
          <w:lang w:val="en-US" w:eastAsia="zh-CN" w:bidi="ar-SA"/>
        </w:rPr>
        <w:t>第六章</w:t>
      </w:r>
      <w:r>
        <w:rPr>
          <w:rFonts w:hint="eastAsia" w:ascii="宋体" w:hAnsi="宋体" w:cs="宋体"/>
          <w:b/>
          <w:bCs/>
          <w:color w:val="auto"/>
          <w:kern w:val="2"/>
          <w:sz w:val="36"/>
          <w:szCs w:val="36"/>
          <w:lang w:val="en-US" w:eastAsia="zh-CN" w:bidi="ar-SA"/>
        </w:rPr>
        <w:t>、</w:t>
      </w:r>
      <w:r>
        <w:rPr>
          <w:rFonts w:hint="eastAsia" w:ascii="宋体" w:hAnsi="宋体" w:eastAsia="宋体" w:cs="宋体"/>
          <w:b/>
          <w:bCs/>
          <w:color w:val="auto"/>
          <w:kern w:val="2"/>
          <w:sz w:val="36"/>
          <w:szCs w:val="36"/>
          <w:lang w:val="en-US" w:eastAsia="zh-CN" w:bidi="ar-SA"/>
        </w:rPr>
        <w:t>谈判内容、谈判过程中可实质性变动的内容</w:t>
      </w:r>
      <w:bookmarkEnd w:id="92"/>
      <w:bookmarkEnd w:id="93"/>
    </w:p>
    <w:p w14:paraId="302DA38E">
      <w:pPr>
        <w:tabs>
          <w:tab w:val="left" w:pos="7665"/>
        </w:tabs>
        <w:spacing w:line="360" w:lineRule="auto"/>
        <w:ind w:firstLine="480"/>
        <w:rPr>
          <w:rFonts w:hint="eastAsia" w:ascii="宋体" w:hAnsi="宋体" w:eastAsia="宋体" w:cs="宋体"/>
          <w:color w:val="auto"/>
          <w:sz w:val="24"/>
          <w:szCs w:val="24"/>
        </w:rPr>
      </w:pPr>
    </w:p>
    <w:p w14:paraId="510D0584">
      <w:pPr>
        <w:tabs>
          <w:tab w:val="left" w:pos="7665"/>
        </w:tabs>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针对第五章、第九章所包含的技术、服务要求以及合同草案条款，在谈判过程中，谈判小组在获得采购人代表确认的前提下，可以根据谈判情况实质性变动相关内容。谈判小组对谈判文件作出的实质性变动是谈判文件的有效组成部分，谈判小组会及时以书面形式通知所有参加谈判的供应商。</w:t>
      </w:r>
    </w:p>
    <w:p w14:paraId="5A493E15">
      <w:pPr>
        <w:tabs>
          <w:tab w:val="left" w:pos="7665"/>
        </w:tabs>
        <w:spacing w:line="360" w:lineRule="auto"/>
        <w:ind w:firstLine="480"/>
        <w:rPr>
          <w:rFonts w:hint="eastAsia" w:ascii="宋体" w:hAnsi="宋体" w:eastAsia="宋体" w:cs="宋体"/>
          <w:color w:val="auto"/>
          <w:sz w:val="24"/>
          <w:szCs w:val="24"/>
        </w:rPr>
      </w:pPr>
    </w:p>
    <w:p w14:paraId="43BC6E59">
      <w:pPr>
        <w:tabs>
          <w:tab w:val="left" w:pos="7665"/>
        </w:tabs>
        <w:spacing w:line="360" w:lineRule="auto"/>
        <w:ind w:firstLine="480"/>
        <w:rPr>
          <w:rFonts w:hint="eastAsia" w:ascii="宋体" w:hAnsi="宋体" w:eastAsia="宋体" w:cs="宋体"/>
          <w:color w:val="auto"/>
          <w:sz w:val="24"/>
          <w:szCs w:val="24"/>
        </w:rPr>
      </w:pPr>
    </w:p>
    <w:p w14:paraId="45589C05">
      <w:pPr>
        <w:tabs>
          <w:tab w:val="left" w:pos="7665"/>
        </w:tabs>
        <w:spacing w:line="360" w:lineRule="auto"/>
        <w:ind w:firstLine="480"/>
        <w:rPr>
          <w:rFonts w:hint="eastAsia" w:ascii="宋体" w:hAnsi="宋体" w:eastAsia="宋体" w:cs="宋体"/>
          <w:color w:val="auto"/>
          <w:sz w:val="24"/>
          <w:szCs w:val="24"/>
        </w:rPr>
      </w:pPr>
    </w:p>
    <w:p w14:paraId="6EDBF505">
      <w:pPr>
        <w:tabs>
          <w:tab w:val="left" w:pos="7665"/>
        </w:tabs>
        <w:spacing w:line="360" w:lineRule="auto"/>
        <w:ind w:firstLine="480"/>
        <w:jc w:val="center"/>
        <w:rPr>
          <w:rFonts w:hint="eastAsia" w:ascii="宋体" w:hAnsi="宋体" w:eastAsia="宋体" w:cs="宋体"/>
          <w:b/>
          <w:bCs/>
          <w:color w:val="auto"/>
          <w:sz w:val="24"/>
          <w:szCs w:val="24"/>
        </w:rPr>
      </w:pPr>
    </w:p>
    <w:p w14:paraId="4C34A1FF">
      <w:pPr>
        <w:tabs>
          <w:tab w:val="left" w:pos="7665"/>
        </w:tabs>
        <w:spacing w:line="360" w:lineRule="auto"/>
        <w:ind w:firstLine="480"/>
        <w:jc w:val="center"/>
        <w:rPr>
          <w:rFonts w:hint="eastAsia" w:ascii="宋体" w:hAnsi="宋体" w:eastAsia="宋体" w:cs="宋体"/>
          <w:b/>
          <w:bCs/>
          <w:color w:val="auto"/>
          <w:sz w:val="24"/>
          <w:szCs w:val="24"/>
        </w:rPr>
      </w:pPr>
    </w:p>
    <w:p w14:paraId="591559B6">
      <w:pPr>
        <w:tabs>
          <w:tab w:val="left" w:pos="7665"/>
        </w:tabs>
        <w:spacing w:line="360" w:lineRule="auto"/>
        <w:ind w:firstLine="480"/>
        <w:jc w:val="center"/>
        <w:rPr>
          <w:rFonts w:hint="eastAsia" w:ascii="宋体" w:hAnsi="宋体" w:eastAsia="宋体" w:cs="宋体"/>
          <w:b/>
          <w:bCs/>
          <w:color w:val="auto"/>
          <w:sz w:val="24"/>
          <w:szCs w:val="24"/>
        </w:rPr>
      </w:pPr>
    </w:p>
    <w:p w14:paraId="763675AF">
      <w:pPr>
        <w:tabs>
          <w:tab w:val="left" w:pos="7665"/>
        </w:tabs>
        <w:spacing w:line="360" w:lineRule="auto"/>
        <w:ind w:firstLine="480"/>
        <w:rPr>
          <w:rFonts w:hint="eastAsia" w:ascii="宋体" w:hAnsi="宋体" w:eastAsia="宋体" w:cs="宋体"/>
          <w:color w:val="auto"/>
          <w:sz w:val="24"/>
          <w:szCs w:val="24"/>
        </w:rPr>
      </w:pPr>
    </w:p>
    <w:p w14:paraId="52DCF7DB">
      <w:pPr>
        <w:tabs>
          <w:tab w:val="left" w:pos="7665"/>
        </w:tabs>
        <w:spacing w:line="360" w:lineRule="auto"/>
        <w:ind w:firstLine="480"/>
        <w:rPr>
          <w:rFonts w:hint="eastAsia" w:ascii="宋体" w:hAnsi="宋体" w:eastAsia="宋体" w:cs="宋体"/>
          <w:b/>
          <w:bCs/>
          <w:color w:val="auto"/>
          <w:sz w:val="24"/>
          <w:szCs w:val="24"/>
        </w:rPr>
      </w:pPr>
    </w:p>
    <w:p w14:paraId="17F885B3">
      <w:pPr>
        <w:tabs>
          <w:tab w:val="left" w:pos="7665"/>
        </w:tabs>
        <w:spacing w:line="360" w:lineRule="auto"/>
        <w:ind w:firstLine="480"/>
        <w:rPr>
          <w:rFonts w:hint="eastAsia" w:ascii="宋体" w:hAnsi="宋体" w:eastAsia="宋体" w:cs="宋体"/>
          <w:b/>
          <w:bCs/>
          <w:color w:val="auto"/>
          <w:sz w:val="24"/>
          <w:szCs w:val="24"/>
        </w:rPr>
      </w:pPr>
    </w:p>
    <w:p w14:paraId="6FCBAE64">
      <w:pPr>
        <w:pStyle w:val="39"/>
        <w:outlineLvl w:val="9"/>
        <w:rPr>
          <w:rFonts w:hint="eastAsia" w:ascii="宋体" w:hAnsi="宋体" w:eastAsia="宋体" w:cs="宋体"/>
          <w:color w:val="auto"/>
          <w:sz w:val="24"/>
          <w:szCs w:val="24"/>
        </w:rPr>
      </w:pPr>
      <w:r>
        <w:rPr>
          <w:rFonts w:hint="eastAsia" w:ascii="宋体" w:hAnsi="宋体" w:eastAsia="宋体" w:cs="宋体"/>
          <w:color w:val="auto"/>
          <w:sz w:val="24"/>
          <w:szCs w:val="24"/>
        </w:rPr>
        <w:br w:type="page"/>
      </w:r>
      <w:bookmarkStart w:id="97" w:name="_Toc509579146"/>
    </w:p>
    <w:p w14:paraId="658557C7">
      <w:pPr>
        <w:pStyle w:val="39"/>
        <w:rPr>
          <w:rFonts w:hint="eastAsia" w:ascii="宋体" w:hAnsi="宋体" w:eastAsia="宋体" w:cs="宋体"/>
          <w:color w:val="auto"/>
          <w:sz w:val="44"/>
          <w:szCs w:val="44"/>
        </w:rPr>
      </w:pPr>
      <w:bookmarkStart w:id="98" w:name="_Toc32253"/>
      <w:bookmarkStart w:id="99" w:name="_Toc9114"/>
      <w:r>
        <w:rPr>
          <w:rFonts w:hint="eastAsia" w:ascii="宋体" w:hAnsi="宋体" w:eastAsia="宋体" w:cs="宋体"/>
          <w:color w:val="auto"/>
          <w:sz w:val="44"/>
          <w:szCs w:val="44"/>
        </w:rPr>
        <w:t>第</w:t>
      </w:r>
      <w:r>
        <w:rPr>
          <w:rFonts w:hint="eastAsia" w:ascii="宋体" w:hAnsi="宋体" w:eastAsia="宋体" w:cs="宋体"/>
          <w:color w:val="auto"/>
          <w:sz w:val="44"/>
          <w:szCs w:val="44"/>
          <w:lang w:eastAsia="zh-CN"/>
        </w:rPr>
        <w:t>七</w:t>
      </w:r>
      <w:r>
        <w:rPr>
          <w:rFonts w:hint="eastAsia" w:ascii="宋体" w:hAnsi="宋体" w:eastAsia="宋体" w:cs="宋体"/>
          <w:color w:val="auto"/>
          <w:sz w:val="44"/>
          <w:szCs w:val="44"/>
        </w:rPr>
        <w:t>章</w:t>
      </w:r>
      <w:r>
        <w:rPr>
          <w:rFonts w:hint="eastAsia" w:ascii="宋体" w:hAnsi="宋体" w:eastAsia="宋体" w:cs="宋体"/>
          <w:color w:val="auto"/>
          <w:sz w:val="44"/>
          <w:szCs w:val="44"/>
          <w:lang w:val="en-US" w:eastAsia="zh-CN"/>
        </w:rPr>
        <w:t xml:space="preserve">  </w:t>
      </w:r>
      <w:r>
        <w:rPr>
          <w:rFonts w:hint="eastAsia" w:ascii="宋体" w:hAnsi="宋体" w:eastAsia="宋体" w:cs="宋体"/>
          <w:color w:val="auto"/>
          <w:sz w:val="44"/>
          <w:szCs w:val="44"/>
        </w:rPr>
        <w:t>响应文件格式</w:t>
      </w:r>
      <w:bookmarkEnd w:id="97"/>
      <w:bookmarkEnd w:id="98"/>
      <w:bookmarkEnd w:id="99"/>
    </w:p>
    <w:p w14:paraId="572FE0EC">
      <w:pPr>
        <w:spacing w:line="360" w:lineRule="auto"/>
        <w:jc w:val="left"/>
        <w:rPr>
          <w:rFonts w:hint="eastAsia" w:ascii="宋体" w:hAnsi="宋体" w:eastAsia="宋体" w:cs="宋体"/>
          <w:b/>
          <w:bCs/>
          <w:color w:val="auto"/>
          <w:sz w:val="24"/>
          <w:szCs w:val="24"/>
        </w:rPr>
      </w:pPr>
    </w:p>
    <w:p w14:paraId="6F3A782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一、本章所制响应文件格式（不包括签字盖章），除格式中明确将该格式作为实质性要求的，不具有强制性。</w:t>
      </w:r>
    </w:p>
    <w:p w14:paraId="4A506CC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二、本章所制响应文件格式有关表格中的备注栏，由供应商根据自身响应情况作解释性说明，不作为必填项。</w:t>
      </w:r>
    </w:p>
    <w:p w14:paraId="752F788F">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三、本章所制响应文件格式中需要填写的相关内容事项，可能会与本采购项目无关，在不改变响应文件原义、不影响本项目采购需求的情况下，供应商可以不予填写，但应当注明。  </w:t>
      </w:r>
      <w:r>
        <w:rPr>
          <w:rFonts w:hint="eastAsia" w:ascii="宋体" w:hAnsi="宋体" w:eastAsia="宋体" w:cs="宋体"/>
          <w:color w:val="auto"/>
          <w:sz w:val="24"/>
          <w:szCs w:val="24"/>
        </w:rPr>
        <w:br w:type="page"/>
      </w:r>
    </w:p>
    <w:p w14:paraId="40510C0E">
      <w:pPr>
        <w:spacing w:line="360" w:lineRule="auto"/>
        <w:jc w:val="center"/>
        <w:outlineLvl w:val="9"/>
        <w:rPr>
          <w:rFonts w:hint="eastAsia" w:ascii="宋体" w:hAnsi="宋体" w:eastAsia="宋体" w:cs="宋体"/>
          <w:b/>
          <w:bCs/>
          <w:color w:val="auto"/>
          <w:sz w:val="24"/>
          <w:szCs w:val="24"/>
        </w:rPr>
      </w:pPr>
      <w:bookmarkStart w:id="100" w:name="_Toc509579147"/>
      <w:r>
        <w:rPr>
          <w:rFonts w:hint="eastAsia" w:ascii="宋体" w:hAnsi="宋体" w:eastAsia="宋体" w:cs="宋体"/>
          <w:b/>
          <w:bCs/>
          <w:color w:val="auto"/>
          <w:sz w:val="24"/>
          <w:szCs w:val="24"/>
        </w:rPr>
        <w:t>第一部分“资格性响应文件”格式</w:t>
      </w:r>
    </w:p>
    <w:p w14:paraId="0F5CB92D">
      <w:pPr>
        <w:spacing w:line="360" w:lineRule="auto"/>
        <w:jc w:val="center"/>
        <w:outlineLvl w:val="9"/>
        <w:rPr>
          <w:rFonts w:hint="eastAsia" w:ascii="宋体" w:hAnsi="宋体" w:eastAsia="宋体" w:cs="宋体"/>
          <w:b/>
          <w:bCs/>
          <w:color w:val="auto"/>
          <w:sz w:val="24"/>
          <w:szCs w:val="24"/>
        </w:rPr>
      </w:pPr>
    </w:p>
    <w:p w14:paraId="57AD3D7C">
      <w:pPr>
        <w:spacing w:line="360" w:lineRule="auto"/>
        <w:jc w:val="right"/>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（正本/副本）</w:t>
      </w:r>
    </w:p>
    <w:p w14:paraId="45747937">
      <w:pPr>
        <w:spacing w:line="360" w:lineRule="auto"/>
        <w:jc w:val="center"/>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u w:val="single"/>
        </w:rPr>
        <w:t>XX</w:t>
      </w:r>
      <w:r>
        <w:rPr>
          <w:rFonts w:hint="eastAsia" w:ascii="宋体" w:hAnsi="宋体" w:eastAsia="宋体" w:cs="宋体"/>
          <w:b/>
          <w:bCs/>
          <w:color w:val="auto"/>
          <w:sz w:val="24"/>
          <w:szCs w:val="24"/>
        </w:rPr>
        <w:t>项目</w:t>
      </w:r>
    </w:p>
    <w:p w14:paraId="3BD661E9">
      <w:pPr>
        <w:spacing w:line="360" w:lineRule="auto"/>
        <w:outlineLvl w:val="9"/>
        <w:rPr>
          <w:rFonts w:hint="eastAsia" w:ascii="宋体" w:hAnsi="宋体" w:eastAsia="宋体" w:cs="宋体"/>
          <w:b/>
          <w:bCs/>
          <w:color w:val="auto"/>
          <w:sz w:val="24"/>
          <w:szCs w:val="24"/>
        </w:rPr>
      </w:pPr>
    </w:p>
    <w:p w14:paraId="7B890B72">
      <w:pPr>
        <w:spacing w:line="360" w:lineRule="auto"/>
        <w:jc w:val="center"/>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资格性响应文件</w:t>
      </w:r>
    </w:p>
    <w:p w14:paraId="6D9F7DC3">
      <w:pPr>
        <w:spacing w:line="360" w:lineRule="auto"/>
        <w:outlineLvl w:val="9"/>
        <w:rPr>
          <w:rFonts w:hint="eastAsia" w:ascii="宋体" w:hAnsi="宋体" w:eastAsia="宋体" w:cs="宋体"/>
          <w:b/>
          <w:bCs/>
          <w:color w:val="auto"/>
          <w:sz w:val="24"/>
          <w:szCs w:val="24"/>
        </w:rPr>
      </w:pPr>
    </w:p>
    <w:p w14:paraId="5412EE69">
      <w:pPr>
        <w:spacing w:line="360" w:lineRule="auto"/>
        <w:outlineLvl w:val="9"/>
        <w:rPr>
          <w:rFonts w:hint="eastAsia" w:ascii="宋体" w:hAnsi="宋体" w:eastAsia="宋体" w:cs="宋体"/>
          <w:b/>
          <w:bCs/>
          <w:color w:val="auto"/>
          <w:sz w:val="24"/>
          <w:szCs w:val="24"/>
        </w:rPr>
      </w:pPr>
    </w:p>
    <w:p w14:paraId="3A86261F">
      <w:pPr>
        <w:spacing w:line="360" w:lineRule="auto"/>
        <w:ind w:firstLine="482" w:firstLineChars="200"/>
        <w:jc w:val="left"/>
        <w:outlineLvl w:val="9"/>
        <w:rPr>
          <w:rFonts w:hint="eastAsia" w:ascii="宋体" w:hAnsi="宋体" w:eastAsia="宋体" w:cs="宋体"/>
          <w:b/>
          <w:bCs/>
          <w:color w:val="auto"/>
          <w:sz w:val="24"/>
          <w:szCs w:val="24"/>
          <w:u w:val="single"/>
        </w:rPr>
      </w:pPr>
      <w:r>
        <w:rPr>
          <w:rFonts w:hint="eastAsia" w:ascii="宋体" w:hAnsi="宋体" w:eastAsia="宋体" w:cs="宋体"/>
          <w:b/>
          <w:bCs/>
          <w:color w:val="auto"/>
          <w:sz w:val="24"/>
          <w:szCs w:val="24"/>
        </w:rPr>
        <w:t>供应商名称：</w:t>
      </w:r>
    </w:p>
    <w:p w14:paraId="0FB34D48">
      <w:pPr>
        <w:spacing w:line="360" w:lineRule="auto"/>
        <w:ind w:firstLine="482" w:firstLineChars="200"/>
        <w:jc w:val="left"/>
        <w:outlineLvl w:val="9"/>
        <w:rPr>
          <w:rFonts w:hint="eastAsia" w:ascii="宋体" w:hAnsi="宋体" w:eastAsia="宋体" w:cs="宋体"/>
          <w:b/>
          <w:bCs/>
          <w:color w:val="auto"/>
          <w:sz w:val="24"/>
          <w:szCs w:val="24"/>
          <w:u w:val="single"/>
        </w:rPr>
      </w:pPr>
      <w:r>
        <w:rPr>
          <w:rFonts w:hint="eastAsia" w:ascii="宋体" w:hAnsi="宋体" w:eastAsia="宋体" w:cs="宋体"/>
          <w:b/>
          <w:bCs/>
          <w:color w:val="auto"/>
          <w:sz w:val="24"/>
          <w:szCs w:val="24"/>
        </w:rPr>
        <w:t>采购项目编号：</w:t>
      </w:r>
    </w:p>
    <w:p w14:paraId="513C9F1D">
      <w:pPr>
        <w:spacing w:line="360" w:lineRule="auto"/>
        <w:ind w:firstLine="482" w:firstLineChars="200"/>
        <w:jc w:val="left"/>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包号：</w:t>
      </w:r>
    </w:p>
    <w:p w14:paraId="05219679">
      <w:pPr>
        <w:spacing w:line="360" w:lineRule="auto"/>
        <w:jc w:val="center"/>
        <w:outlineLvl w:val="9"/>
        <w:rPr>
          <w:rFonts w:hint="eastAsia" w:ascii="宋体" w:hAnsi="宋体" w:eastAsia="宋体" w:cs="宋体"/>
          <w:b/>
          <w:bCs/>
          <w:color w:val="auto"/>
          <w:sz w:val="24"/>
          <w:szCs w:val="24"/>
        </w:rPr>
      </w:pPr>
    </w:p>
    <w:p w14:paraId="1A90F822">
      <w:pPr>
        <w:spacing w:line="360" w:lineRule="auto"/>
        <w:jc w:val="center"/>
        <w:outlineLvl w:val="9"/>
        <w:rPr>
          <w:rFonts w:hint="eastAsia" w:ascii="宋体" w:hAnsi="宋体" w:eastAsia="宋体" w:cs="宋体"/>
          <w:b/>
          <w:bCs/>
          <w:color w:val="auto"/>
          <w:sz w:val="24"/>
          <w:szCs w:val="24"/>
        </w:rPr>
      </w:pPr>
    </w:p>
    <w:p w14:paraId="78A90B3B">
      <w:pPr>
        <w:spacing w:line="360" w:lineRule="auto"/>
        <w:jc w:val="center"/>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XX年XX月XX日</w:t>
      </w:r>
    </w:p>
    <w:p w14:paraId="35A3F7F6">
      <w:pPr>
        <w:widowControl/>
        <w:jc w:val="left"/>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r>
        <w:rPr>
          <w:rFonts w:hint="eastAsia" w:ascii="宋体" w:hAnsi="宋体" w:eastAsia="宋体" w:cs="宋体"/>
          <w:b/>
          <w:bCs/>
          <w:color w:val="auto"/>
          <w:sz w:val="24"/>
          <w:szCs w:val="24"/>
        </w:rPr>
        <w:t>格式1-1</w:t>
      </w:r>
    </w:p>
    <w:p w14:paraId="5937C2CA">
      <w:pPr>
        <w:tabs>
          <w:tab w:val="left" w:pos="709"/>
        </w:tabs>
        <w:ind w:left="105" w:leftChars="50" w:firstLine="1440" w:firstLineChars="600"/>
        <w:jc w:val="center"/>
        <w:outlineLvl w:val="9"/>
        <w:rPr>
          <w:rFonts w:hint="eastAsia" w:ascii="宋体" w:hAnsi="宋体" w:eastAsia="宋体" w:cs="宋体"/>
          <w:color w:val="auto"/>
          <w:sz w:val="24"/>
          <w:szCs w:val="24"/>
        </w:rPr>
      </w:pPr>
    </w:p>
    <w:p w14:paraId="5FE13B29">
      <w:pPr>
        <w:pStyle w:val="4"/>
        <w:pageBreakBefore w:val="0"/>
        <w:widowControl w:val="0"/>
        <w:numPr>
          <w:ilvl w:val="0"/>
          <w:numId w:val="0"/>
        </w:numPr>
        <w:kinsoku/>
        <w:wordWrap/>
        <w:overflowPunct/>
        <w:topLinePunct w:val="0"/>
        <w:bidi w:val="0"/>
        <w:snapToGrid/>
        <w:spacing w:before="0" w:after="0" w:line="560" w:lineRule="exact"/>
        <w:jc w:val="center"/>
        <w:textAlignment w:val="auto"/>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lang w:eastAsia="zh-CN"/>
        </w:rPr>
        <w:t>一、</w:t>
      </w:r>
      <w:r>
        <w:rPr>
          <w:rFonts w:hint="eastAsia" w:ascii="仿宋_GB2312" w:hAnsi="仿宋_GB2312" w:eastAsia="仿宋_GB2312" w:cs="仿宋_GB2312"/>
          <w:b/>
          <w:color w:val="auto"/>
          <w:sz w:val="30"/>
          <w:szCs w:val="30"/>
        </w:rPr>
        <w:t>法定代表人身份证明</w:t>
      </w:r>
    </w:p>
    <w:p w14:paraId="59E0F066">
      <w:pPr>
        <w:tabs>
          <w:tab w:val="left" w:pos="5420"/>
        </w:tabs>
        <w:autoSpaceDE w:val="0"/>
        <w:autoSpaceDN w:val="0"/>
        <w:adjustRightInd w:val="0"/>
        <w:spacing w:after="120" w:afterLines="50" w:line="400" w:lineRule="exact"/>
        <w:ind w:firstLine="600" w:firstLineChars="200"/>
        <w:jc w:val="left"/>
        <w:rPr>
          <w:rFonts w:hint="eastAsia" w:ascii="仿宋_GB2312" w:hAnsi="仿宋_GB2312" w:eastAsia="仿宋_GB2312" w:cs="仿宋_GB2312"/>
          <w:color w:val="auto"/>
          <w:kern w:val="0"/>
          <w:sz w:val="30"/>
          <w:szCs w:val="30"/>
          <w:lang w:eastAsia="zh-CN"/>
        </w:rPr>
      </w:pPr>
    </w:p>
    <w:p w14:paraId="5F254A73">
      <w:pPr>
        <w:widowControl/>
        <w:spacing w:line="360" w:lineRule="auto"/>
        <w:ind w:firstLine="470" w:firstLineChars="196"/>
        <w:jc w:val="left"/>
        <w:outlineLvl w:val="9"/>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cs="宋体"/>
          <w:color w:val="auto"/>
          <w:sz w:val="24"/>
          <w:szCs w:val="24"/>
          <w:u w:val="single"/>
          <w:lang w:val="en-US" w:eastAsia="zh-CN"/>
        </w:rPr>
        <w:t xml:space="preserve">                     </w:t>
      </w:r>
    </w:p>
    <w:p w14:paraId="69CCCABF">
      <w:pPr>
        <w:widowControl/>
        <w:spacing w:line="360" w:lineRule="auto"/>
        <w:ind w:firstLine="470" w:firstLineChars="196"/>
        <w:jc w:val="left"/>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ab/>
      </w:r>
    </w:p>
    <w:p w14:paraId="1092D55C">
      <w:pPr>
        <w:widowControl/>
        <w:spacing w:line="360" w:lineRule="auto"/>
        <w:ind w:firstLine="470" w:firstLineChars="196"/>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成立时间： </w:t>
      </w:r>
      <w:r>
        <w:rPr>
          <w:rFonts w:hint="eastAsia" w:ascii="宋体" w:hAnsi="宋体" w:eastAsia="宋体" w:cs="宋体"/>
          <w:color w:val="auto"/>
          <w:sz w:val="24"/>
          <w:szCs w:val="24"/>
          <w:u w:val="single"/>
        </w:rPr>
        <w:tab/>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月</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日</w:t>
      </w:r>
    </w:p>
    <w:p w14:paraId="4BF68A1D">
      <w:pPr>
        <w:widowControl/>
        <w:spacing w:line="360" w:lineRule="auto"/>
        <w:ind w:firstLine="470" w:firstLineChars="196"/>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经营期限：      </w:t>
      </w:r>
      <w:r>
        <w:rPr>
          <w:rFonts w:hint="eastAsia" w:ascii="宋体" w:hAnsi="宋体" w:eastAsia="宋体" w:cs="宋体"/>
          <w:color w:val="auto"/>
          <w:sz w:val="24"/>
          <w:szCs w:val="24"/>
        </w:rPr>
        <w:tab/>
      </w:r>
    </w:p>
    <w:p w14:paraId="7741BC6B">
      <w:pPr>
        <w:widowControl/>
        <w:spacing w:line="360" w:lineRule="auto"/>
        <w:ind w:firstLine="470" w:firstLineChars="196"/>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zh-CN"/>
        </w:rPr>
        <w:t>姓名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zh-CN"/>
        </w:rPr>
        <w:t>系</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zh-CN"/>
        </w:rPr>
        <w:t>（供应商名称）的法定代表人</w:t>
      </w:r>
      <w:r>
        <w:rPr>
          <w:rFonts w:hint="eastAsia" w:ascii="宋体" w:hAnsi="宋体" w:eastAsia="宋体" w:cs="宋体"/>
          <w:color w:val="auto"/>
          <w:sz w:val="24"/>
          <w:szCs w:val="24"/>
        </w:rPr>
        <w:t>（职务：</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电话：</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6C5B5AAB">
      <w:pPr>
        <w:widowControl/>
        <w:spacing w:line="360" w:lineRule="auto"/>
        <w:ind w:firstLine="470" w:firstLineChars="196"/>
        <w:jc w:val="left"/>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特此证明。</w:t>
      </w:r>
    </w:p>
    <w:p w14:paraId="65AF4EFC">
      <w:pPr>
        <w:widowControl/>
        <w:spacing w:line="360" w:lineRule="auto"/>
        <w:ind w:firstLine="470" w:firstLineChars="196"/>
        <w:jc w:val="left"/>
        <w:outlineLvl w:val="9"/>
        <w:rPr>
          <w:rFonts w:hint="eastAsia" w:ascii="宋体" w:hAnsi="宋体" w:eastAsia="宋体" w:cs="宋体"/>
          <w:color w:val="auto"/>
          <w:sz w:val="24"/>
          <w:szCs w:val="24"/>
          <w:lang w:val="zh-CN"/>
        </w:rPr>
      </w:pPr>
    </w:p>
    <w:p w14:paraId="15CB306E">
      <w:pPr>
        <w:widowControl/>
        <w:spacing w:line="360" w:lineRule="auto"/>
        <w:ind w:firstLine="470" w:firstLineChars="196"/>
        <w:jc w:val="left"/>
        <w:outlineLvl w:val="9"/>
        <w:rPr>
          <w:rFonts w:hint="eastAsia" w:ascii="宋体" w:hAnsi="宋体" w:eastAsia="宋体" w:cs="宋体"/>
          <w:color w:val="auto"/>
          <w:sz w:val="24"/>
          <w:szCs w:val="24"/>
          <w:lang w:val="zh-CN"/>
        </w:rPr>
      </w:pPr>
    </w:p>
    <w:p w14:paraId="0254AA42">
      <w:pPr>
        <w:widowControl/>
        <w:spacing w:line="360" w:lineRule="auto"/>
        <w:ind w:firstLine="470" w:firstLineChars="196"/>
        <w:jc w:val="left"/>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供应商名称：XXXX（加盖公章）</w:t>
      </w:r>
    </w:p>
    <w:p w14:paraId="3BEFC3BF">
      <w:pPr>
        <w:widowControl/>
        <w:spacing w:line="360" w:lineRule="auto"/>
        <w:ind w:firstLine="470" w:firstLineChars="196"/>
        <w:jc w:val="left"/>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日期：XX年XX月XX日</w:t>
      </w:r>
    </w:p>
    <w:p w14:paraId="57961F7F">
      <w:pPr>
        <w:spacing w:line="500" w:lineRule="exact"/>
        <w:ind w:right="560"/>
        <w:jc w:val="right"/>
        <w:outlineLvl w:val="9"/>
        <w:rPr>
          <w:rFonts w:hint="eastAsia" w:ascii="仿宋_GB2312" w:hAnsi="仿宋_GB2312" w:eastAsia="仿宋_GB2312" w:cs="仿宋_GB2312"/>
          <w:color w:val="auto"/>
          <w:sz w:val="32"/>
          <w:szCs w:val="32"/>
        </w:rPr>
      </w:pPr>
    </w:p>
    <w:p w14:paraId="7BB84C0C">
      <w:pPr>
        <w:spacing w:line="500" w:lineRule="exact"/>
        <w:ind w:right="560"/>
        <w:jc w:val="right"/>
        <w:outlineLvl w:val="9"/>
        <w:rPr>
          <w:rFonts w:hint="eastAsia" w:ascii="宋体" w:hAnsi="宋体" w:eastAsia="宋体" w:cs="宋体"/>
          <w:color w:val="auto"/>
          <w:sz w:val="24"/>
          <w:szCs w:val="24"/>
        </w:rPr>
      </w:pPr>
    </w:p>
    <w:p w14:paraId="2FF30A11">
      <w:pPr>
        <w:spacing w:line="500" w:lineRule="exact"/>
        <w:ind w:right="560"/>
        <w:jc w:val="right"/>
        <w:outlineLvl w:val="9"/>
        <w:rPr>
          <w:rFonts w:hint="eastAsia" w:ascii="宋体" w:hAnsi="宋体" w:eastAsia="宋体" w:cs="宋体"/>
          <w:color w:val="auto"/>
          <w:sz w:val="24"/>
          <w:szCs w:val="24"/>
        </w:rPr>
      </w:pPr>
    </w:p>
    <w:p w14:paraId="71131120">
      <w:pPr>
        <w:spacing w:line="500" w:lineRule="exact"/>
        <w:ind w:right="560"/>
        <w:jc w:val="right"/>
        <w:outlineLvl w:val="9"/>
        <w:rPr>
          <w:rFonts w:hint="eastAsia" w:ascii="宋体" w:hAnsi="宋体" w:eastAsia="宋体" w:cs="宋体"/>
          <w:color w:val="auto"/>
          <w:sz w:val="24"/>
          <w:szCs w:val="24"/>
        </w:rPr>
      </w:pPr>
    </w:p>
    <w:p w14:paraId="22698AD3">
      <w:pPr>
        <w:spacing w:line="500" w:lineRule="exact"/>
        <w:ind w:right="560"/>
        <w:jc w:val="right"/>
        <w:outlineLvl w:val="9"/>
        <w:rPr>
          <w:rFonts w:hint="eastAsia" w:ascii="宋体" w:hAnsi="宋体" w:eastAsia="宋体" w:cs="宋体"/>
          <w:color w:val="auto"/>
          <w:sz w:val="24"/>
          <w:szCs w:val="24"/>
        </w:rPr>
      </w:pPr>
    </w:p>
    <w:p w14:paraId="2F63EA78">
      <w:pPr>
        <w:spacing w:line="500" w:lineRule="exact"/>
        <w:ind w:right="560"/>
        <w:jc w:val="right"/>
        <w:outlineLvl w:val="9"/>
        <w:rPr>
          <w:rFonts w:hint="eastAsia" w:ascii="宋体" w:hAnsi="宋体" w:eastAsia="宋体" w:cs="宋体"/>
          <w:color w:val="auto"/>
          <w:sz w:val="24"/>
          <w:szCs w:val="24"/>
        </w:rPr>
      </w:pPr>
    </w:p>
    <w:p w14:paraId="63612DF3">
      <w:pPr>
        <w:spacing w:line="500" w:lineRule="exact"/>
        <w:ind w:right="560"/>
        <w:jc w:val="right"/>
        <w:outlineLvl w:val="9"/>
        <w:rPr>
          <w:rFonts w:hint="eastAsia" w:ascii="宋体" w:hAnsi="宋体" w:eastAsia="宋体" w:cs="宋体"/>
          <w:color w:val="auto"/>
          <w:sz w:val="24"/>
          <w:szCs w:val="24"/>
        </w:rPr>
      </w:pPr>
    </w:p>
    <w:p w14:paraId="0EC0C7FE">
      <w:pPr>
        <w:spacing w:line="500" w:lineRule="exact"/>
        <w:ind w:right="560"/>
        <w:jc w:val="right"/>
        <w:outlineLvl w:val="9"/>
        <w:rPr>
          <w:rFonts w:hint="eastAsia" w:ascii="宋体" w:hAnsi="宋体" w:eastAsia="宋体" w:cs="宋体"/>
          <w:color w:val="auto"/>
          <w:sz w:val="24"/>
          <w:szCs w:val="24"/>
        </w:rPr>
      </w:pPr>
    </w:p>
    <w:p w14:paraId="518EE7C1">
      <w:pPr>
        <w:spacing w:line="360" w:lineRule="auto"/>
        <w:ind w:firstLine="487" w:firstLineChars="202"/>
        <w:outlineLvl w:val="9"/>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说明：上述证明文件在资格性响应文件中附有法定代表人身份证复印件（身份证两面均应复印）或护照复印件（供应商的法定代表人为外籍人士的，则提供护照复印件）时才能生效。</w:t>
      </w:r>
    </w:p>
    <w:p w14:paraId="0123983F">
      <w:pPr>
        <w:widowControl/>
        <w:jc w:val="left"/>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r>
        <w:rPr>
          <w:rFonts w:hint="eastAsia" w:ascii="宋体" w:hAnsi="宋体" w:eastAsia="宋体" w:cs="宋体"/>
          <w:b/>
          <w:bCs/>
          <w:color w:val="auto"/>
          <w:sz w:val="24"/>
          <w:szCs w:val="24"/>
        </w:rPr>
        <w:t>格式1-2</w:t>
      </w:r>
    </w:p>
    <w:p w14:paraId="602261A9">
      <w:pPr>
        <w:spacing w:line="360" w:lineRule="auto"/>
        <w:jc w:val="center"/>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一、法定代表人/单位负责人授权书</w:t>
      </w:r>
    </w:p>
    <w:p w14:paraId="61F15960">
      <w:pPr>
        <w:widowControl/>
        <w:spacing w:line="360" w:lineRule="auto"/>
        <w:ind w:firstLine="472" w:firstLineChars="196"/>
        <w:jc w:val="left"/>
        <w:outlineLvl w:val="9"/>
        <w:rPr>
          <w:rFonts w:hint="eastAsia" w:ascii="宋体" w:hAnsi="宋体" w:eastAsia="宋体" w:cs="宋体"/>
          <w:b/>
          <w:bCs/>
          <w:color w:val="auto"/>
          <w:sz w:val="24"/>
          <w:szCs w:val="24"/>
        </w:rPr>
      </w:pPr>
    </w:p>
    <w:p w14:paraId="7B87D563">
      <w:pPr>
        <w:widowControl/>
        <w:spacing w:line="360" w:lineRule="auto"/>
        <w:ind w:firstLine="472" w:firstLineChars="196"/>
        <w:jc w:val="left"/>
        <w:outlineLvl w:val="9"/>
        <w:rPr>
          <w:rFonts w:hint="eastAsia" w:ascii="宋体" w:hAnsi="宋体" w:eastAsia="宋体" w:cs="宋体"/>
          <w:b/>
          <w:bCs/>
          <w:color w:val="auto"/>
          <w:sz w:val="24"/>
          <w:szCs w:val="24"/>
        </w:rPr>
      </w:pPr>
    </w:p>
    <w:p w14:paraId="133FDD57">
      <w:pPr>
        <w:widowControl/>
        <w:spacing w:line="360" w:lineRule="auto"/>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XXXXXXXX（采购代理机构名称）：</w:t>
      </w:r>
    </w:p>
    <w:p w14:paraId="554157D5">
      <w:pPr>
        <w:widowControl/>
        <w:spacing w:line="360" w:lineRule="auto"/>
        <w:ind w:firstLine="470" w:firstLineChars="196"/>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本授权声明： XXXX（供应商名称）XXXX（法定代表人/单位负责人姓名、职务）授权XXXX（被授权人姓名、职务）为我方“XXXXXXXX”项目（采购项目编号：XXXX）谈判采购活动的合法代表，以我方名义全权处理该项目有关谈判采购、签订合同以及执行合同等一切事宜。</w:t>
      </w:r>
    </w:p>
    <w:p w14:paraId="0D239278">
      <w:pPr>
        <w:widowControl/>
        <w:spacing w:line="360" w:lineRule="auto"/>
        <w:ind w:firstLine="470" w:firstLineChars="196"/>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14:paraId="128AF3F8">
      <w:pPr>
        <w:widowControl/>
        <w:spacing w:line="360" w:lineRule="auto"/>
        <w:ind w:firstLine="470" w:firstLineChars="196"/>
        <w:jc w:val="left"/>
        <w:outlineLvl w:val="9"/>
        <w:rPr>
          <w:rFonts w:hint="eastAsia" w:ascii="宋体" w:hAnsi="宋体" w:eastAsia="宋体" w:cs="宋体"/>
          <w:color w:val="auto"/>
          <w:sz w:val="24"/>
          <w:szCs w:val="24"/>
        </w:rPr>
      </w:pPr>
    </w:p>
    <w:p w14:paraId="4C0CCA9F">
      <w:pPr>
        <w:widowControl/>
        <w:spacing w:line="360" w:lineRule="auto"/>
        <w:ind w:firstLine="470" w:firstLineChars="196"/>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法定代表人/单位负责人（委托人）签字或加盖个人印章：XXXX</w:t>
      </w:r>
    </w:p>
    <w:p w14:paraId="5AF9ADF8">
      <w:pPr>
        <w:widowControl/>
        <w:spacing w:line="360" w:lineRule="auto"/>
        <w:ind w:firstLine="470" w:firstLineChars="196"/>
        <w:jc w:val="left"/>
        <w:outlineLvl w:val="9"/>
        <w:rPr>
          <w:rFonts w:hint="eastAsia" w:ascii="宋体" w:hAnsi="宋体" w:eastAsia="宋体" w:cs="宋体"/>
          <w:color w:val="auto"/>
          <w:sz w:val="24"/>
          <w:szCs w:val="24"/>
        </w:rPr>
      </w:pPr>
    </w:p>
    <w:p w14:paraId="7A0FC334">
      <w:pPr>
        <w:widowControl/>
        <w:spacing w:line="360" w:lineRule="auto"/>
        <w:ind w:firstLine="470" w:firstLineChars="196"/>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授权代表（被授权人）签字：XXXX</w:t>
      </w:r>
    </w:p>
    <w:p w14:paraId="7FA89AA7">
      <w:pPr>
        <w:widowControl/>
        <w:spacing w:line="360" w:lineRule="auto"/>
        <w:ind w:firstLine="470" w:firstLineChars="196"/>
        <w:jc w:val="left"/>
        <w:outlineLvl w:val="9"/>
        <w:rPr>
          <w:rFonts w:hint="eastAsia" w:ascii="宋体" w:hAnsi="宋体" w:eastAsia="宋体" w:cs="宋体"/>
          <w:color w:val="auto"/>
          <w:sz w:val="24"/>
          <w:szCs w:val="24"/>
        </w:rPr>
      </w:pPr>
    </w:p>
    <w:p w14:paraId="41278375">
      <w:pPr>
        <w:widowControl/>
        <w:spacing w:line="360" w:lineRule="auto"/>
        <w:ind w:firstLine="470" w:firstLineChars="196"/>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供应商名称：XXXX（单位盖章）</w:t>
      </w:r>
    </w:p>
    <w:p w14:paraId="716D2B76">
      <w:pPr>
        <w:widowControl/>
        <w:spacing w:line="360" w:lineRule="auto"/>
        <w:ind w:firstLine="470" w:firstLineChars="196"/>
        <w:jc w:val="left"/>
        <w:outlineLvl w:val="9"/>
        <w:rPr>
          <w:rFonts w:hint="eastAsia" w:ascii="宋体" w:hAnsi="宋体" w:eastAsia="宋体" w:cs="宋体"/>
          <w:color w:val="auto"/>
          <w:sz w:val="24"/>
          <w:szCs w:val="24"/>
        </w:rPr>
      </w:pPr>
    </w:p>
    <w:p w14:paraId="158DCB19">
      <w:pPr>
        <w:widowControl/>
        <w:spacing w:line="360" w:lineRule="auto"/>
        <w:ind w:firstLine="470" w:firstLineChars="196"/>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日期：XXXX            </w:t>
      </w:r>
    </w:p>
    <w:p w14:paraId="3A4A1CB9">
      <w:pPr>
        <w:widowControl/>
        <w:spacing w:line="360" w:lineRule="auto"/>
        <w:jc w:val="left"/>
        <w:outlineLvl w:val="9"/>
        <w:rPr>
          <w:rFonts w:hint="eastAsia" w:ascii="宋体" w:hAnsi="宋体" w:eastAsia="宋体" w:cs="宋体"/>
          <w:b/>
          <w:bCs/>
          <w:color w:val="auto"/>
          <w:sz w:val="24"/>
          <w:szCs w:val="24"/>
        </w:rPr>
      </w:pPr>
      <w:bookmarkStart w:id="101" w:name="_Toc217446084"/>
    </w:p>
    <w:p w14:paraId="22700774">
      <w:pPr>
        <w:widowControl/>
        <w:spacing w:line="360" w:lineRule="auto"/>
        <w:jc w:val="left"/>
        <w:outlineLvl w:val="9"/>
        <w:rPr>
          <w:rFonts w:hint="eastAsia" w:ascii="宋体" w:hAnsi="宋体" w:eastAsia="宋体" w:cs="宋体"/>
          <w:b/>
          <w:bCs/>
          <w:color w:val="auto"/>
          <w:sz w:val="24"/>
          <w:szCs w:val="24"/>
        </w:rPr>
      </w:pPr>
    </w:p>
    <w:p w14:paraId="60A0AE6C">
      <w:pPr>
        <w:spacing w:line="360" w:lineRule="auto"/>
        <w:ind w:left="31680" w:hanging="840" w:hangingChars="35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3B2C5BAA">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1、供应商为法人单位时提供“法定代表人授权书”，供应商为其他组织时提供“单位负责人授权书”，供应商为自然人时提供“自然人身份证明材料”。</w:t>
      </w:r>
    </w:p>
    <w:p w14:paraId="7EF26A8A">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2、应附法定代表人/单位负责人身份证明材料复印件和授权代表身份证明材料复印件。</w:t>
      </w:r>
    </w:p>
    <w:p w14:paraId="48F8C84D">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3、身份证明材料包括居民身份证或户口本或军官证或护照等。</w:t>
      </w:r>
    </w:p>
    <w:p w14:paraId="6617EA5B">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4、身份证明材料应同时提供其在有效期的材料，如居民身份证正、反面复印件。</w:t>
      </w:r>
    </w:p>
    <w:bookmarkEnd w:id="101"/>
    <w:p w14:paraId="5EDA21BD">
      <w:pPr>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r>
        <w:rPr>
          <w:rFonts w:hint="eastAsia" w:ascii="宋体" w:hAnsi="宋体" w:eastAsia="宋体" w:cs="宋体"/>
          <w:b/>
          <w:bCs/>
          <w:color w:val="auto"/>
          <w:sz w:val="24"/>
          <w:szCs w:val="24"/>
        </w:rPr>
        <w:t>格式1-3</w:t>
      </w:r>
    </w:p>
    <w:p w14:paraId="04DE5AC0">
      <w:pPr>
        <w:spacing w:line="360" w:lineRule="auto"/>
        <w:jc w:val="center"/>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二、承诺函</w:t>
      </w:r>
    </w:p>
    <w:p w14:paraId="17119BFF">
      <w:pPr>
        <w:widowControl/>
        <w:spacing w:line="360" w:lineRule="auto"/>
        <w:jc w:val="center"/>
        <w:outlineLvl w:val="9"/>
        <w:rPr>
          <w:rFonts w:hint="eastAsia" w:ascii="宋体" w:hAnsi="宋体" w:eastAsia="宋体" w:cs="宋体"/>
          <w:b/>
          <w:bCs/>
          <w:color w:val="auto"/>
          <w:sz w:val="24"/>
          <w:szCs w:val="24"/>
        </w:rPr>
      </w:pPr>
    </w:p>
    <w:p w14:paraId="37F6265A">
      <w:pPr>
        <w:widowControl/>
        <w:spacing w:line="360" w:lineRule="auto"/>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XXXX（采购代理机构名称）：</w:t>
      </w:r>
    </w:p>
    <w:p w14:paraId="6FB7F65D">
      <w:pPr>
        <w:widowControl/>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我单位作为本次采购项目的供应商，根据谈判文件要求，现郑重承诺如下：</w:t>
      </w:r>
    </w:p>
    <w:p w14:paraId="1F4179BA">
      <w:pPr>
        <w:widowControl/>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一、具备《中华人民共和国政府采购法》第二十二条第一款和本项目规定的条件：</w:t>
      </w:r>
    </w:p>
    <w:p w14:paraId="619A7E81">
      <w:pPr>
        <w:widowControl/>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（一）具有独立承担民事责任的能力；</w:t>
      </w:r>
    </w:p>
    <w:p w14:paraId="5603EBD0">
      <w:pPr>
        <w:widowControl/>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（二）具有良好的商业信誉和健全的财务会计制度；</w:t>
      </w:r>
    </w:p>
    <w:p w14:paraId="2B280194">
      <w:pPr>
        <w:widowControl/>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（三）具有履行合同所必需的设备和专业技术能力；</w:t>
      </w:r>
    </w:p>
    <w:p w14:paraId="79697C2A">
      <w:pPr>
        <w:widowControl/>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（四）有依法缴纳税收和社会保障资金的良好记录；</w:t>
      </w:r>
    </w:p>
    <w:p w14:paraId="48774385">
      <w:pPr>
        <w:widowControl/>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（五）参加政府采购活动前三年内，在经营活动中没有重大违法记录；</w:t>
      </w:r>
    </w:p>
    <w:p w14:paraId="53CE5B67">
      <w:pPr>
        <w:widowControl/>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（六）法律、行政法规规定的其他条件；</w:t>
      </w:r>
    </w:p>
    <w:p w14:paraId="639A1F2E">
      <w:pPr>
        <w:tabs>
          <w:tab w:val="left" w:pos="7665"/>
        </w:tabs>
        <w:spacing w:line="360" w:lineRule="auto"/>
        <w:ind w:firstLine="480" w:firstLineChars="200"/>
        <w:outlineLvl w:val="9"/>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（七）</w:t>
      </w:r>
      <w:r>
        <w:rPr>
          <w:rFonts w:hint="eastAsia" w:ascii="宋体" w:hAnsi="宋体" w:eastAsia="宋体" w:cs="宋体"/>
          <w:color w:val="auto"/>
          <w:sz w:val="24"/>
          <w:szCs w:val="24"/>
          <w:lang w:val="en-US" w:eastAsia="zh-CN"/>
        </w:rPr>
        <w:t>采购人根据采购项目提出的特殊条件</w:t>
      </w:r>
      <w:r>
        <w:rPr>
          <w:rFonts w:hint="eastAsia" w:ascii="宋体" w:hAnsi="宋体" w:cs="宋体"/>
          <w:color w:val="auto"/>
          <w:sz w:val="24"/>
          <w:szCs w:val="24"/>
          <w:lang w:val="en-US" w:eastAsia="zh-CN"/>
        </w:rPr>
        <w:t>：</w:t>
      </w:r>
    </w:p>
    <w:p w14:paraId="757CB6F0">
      <w:pPr>
        <w:tabs>
          <w:tab w:val="left" w:pos="7665"/>
        </w:tabs>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（八）</w:t>
      </w:r>
      <w:r>
        <w:rPr>
          <w:rFonts w:hint="eastAsia" w:ascii="宋体" w:hAnsi="宋体" w:eastAsia="宋体" w:cs="宋体"/>
          <w:color w:val="auto"/>
          <w:sz w:val="24"/>
          <w:szCs w:val="24"/>
          <w:lang w:val="en-US" w:eastAsia="zh-CN"/>
        </w:rPr>
        <w:t>本项目不允许联合体参加。</w:t>
      </w:r>
    </w:p>
    <w:p w14:paraId="4A60F25F">
      <w:pPr>
        <w:widowControl/>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二、截至响应文件递交截止日未被列入失信被执行人、重大税收违法案件当事人名单、政府采购严重违法失信行为记录名单。</w:t>
      </w:r>
    </w:p>
    <w:p w14:paraId="0C03FFBB">
      <w:pPr>
        <w:widowControl/>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本单位对上述承诺的内容事项真实性负责。如经查实上述承诺的内容事项存在虚假，我单位愿意接受以提供虚假材料谋取成交追究法律责任。</w:t>
      </w:r>
    </w:p>
    <w:p w14:paraId="5F7C6DDE">
      <w:pPr>
        <w:widowControl/>
        <w:spacing w:line="360" w:lineRule="auto"/>
        <w:ind w:firstLine="470" w:firstLineChars="196"/>
        <w:jc w:val="left"/>
        <w:outlineLvl w:val="9"/>
        <w:rPr>
          <w:rFonts w:hint="eastAsia" w:ascii="宋体" w:hAnsi="宋体" w:eastAsia="宋体" w:cs="宋体"/>
          <w:color w:val="auto"/>
          <w:sz w:val="24"/>
          <w:szCs w:val="24"/>
        </w:rPr>
      </w:pPr>
    </w:p>
    <w:p w14:paraId="3CD68025">
      <w:pPr>
        <w:widowControl/>
        <w:spacing w:line="360" w:lineRule="auto"/>
        <w:ind w:firstLine="470" w:firstLineChars="196"/>
        <w:jc w:val="left"/>
        <w:outlineLvl w:val="9"/>
        <w:rPr>
          <w:rFonts w:hint="eastAsia" w:ascii="宋体" w:hAnsi="宋体" w:eastAsia="宋体" w:cs="宋体"/>
          <w:color w:val="auto"/>
          <w:sz w:val="24"/>
          <w:szCs w:val="24"/>
        </w:rPr>
      </w:pPr>
    </w:p>
    <w:p w14:paraId="55BCBCDE">
      <w:pPr>
        <w:widowControl/>
        <w:spacing w:line="360" w:lineRule="auto"/>
        <w:ind w:firstLine="470" w:firstLineChars="196"/>
        <w:jc w:val="right"/>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供应商名称：XXXX（单位公章）</w:t>
      </w:r>
    </w:p>
    <w:p w14:paraId="435F4F7B">
      <w:pPr>
        <w:widowControl/>
        <w:wordWrap/>
        <w:spacing w:line="360" w:lineRule="auto"/>
        <w:ind w:firstLine="470" w:firstLineChars="196"/>
        <w:jc w:val="right"/>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日期：XXXX             </w:t>
      </w:r>
      <w:r>
        <w:rPr>
          <w:rFonts w:hint="eastAsia" w:ascii="宋体" w:hAnsi="宋体" w:eastAsia="宋体" w:cs="宋体"/>
          <w:color w:val="auto"/>
          <w:sz w:val="24"/>
          <w:szCs w:val="24"/>
        </w:rPr>
        <w:br w:type="page"/>
      </w:r>
      <w:r>
        <w:rPr>
          <w:rFonts w:hint="eastAsia" w:ascii="宋体" w:hAnsi="宋体" w:eastAsia="宋体" w:cs="宋体"/>
          <w:b/>
          <w:bCs/>
          <w:color w:val="auto"/>
          <w:sz w:val="24"/>
          <w:szCs w:val="24"/>
        </w:rPr>
        <w:t>格式1-4</w:t>
      </w:r>
    </w:p>
    <w:p w14:paraId="759F1228">
      <w:pPr>
        <w:spacing w:line="360" w:lineRule="auto"/>
        <w:jc w:val="center"/>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供应商资格、资质性及其他类似效力要求的相关证明材料</w:t>
      </w:r>
    </w:p>
    <w:p w14:paraId="54B38604">
      <w:pPr>
        <w:spacing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注：供应商应按谈判文件第四章相关要求提供佐证材料，有格式要求的从其要求，无格式要求的格式自拟。</w:t>
      </w:r>
    </w:p>
    <w:p w14:paraId="289D66FB">
      <w:pPr>
        <w:widowControl/>
        <w:spacing w:line="360" w:lineRule="auto"/>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37B95E1C">
      <w:pPr>
        <w:widowControl/>
        <w:spacing w:line="360" w:lineRule="auto"/>
        <w:jc w:val="center"/>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第二部分“</w:t>
      </w:r>
      <w:r>
        <w:rPr>
          <w:rFonts w:hint="eastAsia" w:ascii="宋体" w:hAnsi="宋体" w:cs="宋体"/>
          <w:b/>
          <w:bCs/>
          <w:color w:val="auto"/>
          <w:sz w:val="24"/>
          <w:szCs w:val="24"/>
          <w:lang w:eastAsia="zh-CN"/>
        </w:rPr>
        <w:t>响应文件</w:t>
      </w:r>
      <w:r>
        <w:rPr>
          <w:rFonts w:hint="eastAsia" w:ascii="宋体" w:hAnsi="宋体" w:eastAsia="宋体" w:cs="宋体"/>
          <w:b/>
          <w:bCs/>
          <w:color w:val="auto"/>
          <w:sz w:val="24"/>
          <w:szCs w:val="24"/>
        </w:rPr>
        <w:t>”格式</w:t>
      </w:r>
    </w:p>
    <w:p w14:paraId="204A8353">
      <w:pPr>
        <w:spacing w:line="360" w:lineRule="auto"/>
        <w:outlineLvl w:val="9"/>
        <w:rPr>
          <w:rFonts w:hint="eastAsia" w:ascii="宋体" w:hAnsi="宋体" w:eastAsia="宋体" w:cs="宋体"/>
          <w:b/>
          <w:bCs/>
          <w:color w:val="auto"/>
          <w:sz w:val="24"/>
          <w:szCs w:val="24"/>
        </w:rPr>
      </w:pPr>
    </w:p>
    <w:p w14:paraId="0301F0C0">
      <w:pPr>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格式2-1</w:t>
      </w:r>
    </w:p>
    <w:p w14:paraId="5EF6FA96">
      <w:pPr>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封面：</w:t>
      </w:r>
    </w:p>
    <w:p w14:paraId="4E52BF31">
      <w:pPr>
        <w:spacing w:line="360" w:lineRule="auto"/>
        <w:jc w:val="right"/>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（正本/副本）</w:t>
      </w:r>
    </w:p>
    <w:p w14:paraId="55B03A0C">
      <w:pPr>
        <w:spacing w:line="360" w:lineRule="auto"/>
        <w:outlineLvl w:val="9"/>
        <w:rPr>
          <w:rFonts w:hint="eastAsia" w:ascii="宋体" w:hAnsi="宋体" w:eastAsia="宋体" w:cs="宋体"/>
          <w:b/>
          <w:bCs/>
          <w:color w:val="auto"/>
          <w:sz w:val="24"/>
          <w:szCs w:val="24"/>
        </w:rPr>
      </w:pPr>
    </w:p>
    <w:p w14:paraId="54203FEE">
      <w:pPr>
        <w:spacing w:line="360" w:lineRule="auto"/>
        <w:jc w:val="center"/>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XX项目</w:t>
      </w:r>
    </w:p>
    <w:p w14:paraId="361EF131">
      <w:pPr>
        <w:spacing w:line="360" w:lineRule="auto"/>
        <w:outlineLvl w:val="9"/>
        <w:rPr>
          <w:rFonts w:hint="eastAsia" w:ascii="宋体" w:hAnsi="宋体" w:eastAsia="宋体" w:cs="宋体"/>
          <w:b/>
          <w:bCs/>
          <w:color w:val="auto"/>
          <w:sz w:val="24"/>
          <w:szCs w:val="24"/>
        </w:rPr>
      </w:pPr>
    </w:p>
    <w:p w14:paraId="4926AD0D">
      <w:pPr>
        <w:spacing w:line="360" w:lineRule="auto"/>
        <w:jc w:val="center"/>
        <w:outlineLvl w:val="9"/>
        <w:rPr>
          <w:rFonts w:hint="eastAsia" w:ascii="宋体" w:hAnsi="宋体" w:eastAsia="宋体" w:cs="宋体"/>
          <w:b/>
          <w:bCs/>
          <w:color w:val="auto"/>
          <w:sz w:val="24"/>
          <w:szCs w:val="24"/>
          <w:lang w:eastAsia="zh-CN"/>
        </w:rPr>
      </w:pPr>
      <w:r>
        <w:rPr>
          <w:rFonts w:hint="eastAsia" w:ascii="宋体" w:hAnsi="宋体" w:cs="宋体"/>
          <w:b/>
          <w:bCs/>
          <w:color w:val="auto"/>
          <w:sz w:val="24"/>
          <w:szCs w:val="24"/>
          <w:lang w:val="en-US" w:eastAsia="zh-CN"/>
        </w:rPr>
        <w:t>其他</w:t>
      </w:r>
      <w:r>
        <w:rPr>
          <w:rFonts w:hint="eastAsia" w:ascii="宋体" w:hAnsi="宋体" w:cs="宋体"/>
          <w:b/>
          <w:bCs/>
          <w:color w:val="auto"/>
          <w:sz w:val="24"/>
          <w:szCs w:val="24"/>
          <w:lang w:eastAsia="zh-CN"/>
        </w:rPr>
        <w:t>响应文件</w:t>
      </w:r>
    </w:p>
    <w:p w14:paraId="298A1C86">
      <w:pPr>
        <w:spacing w:line="360" w:lineRule="auto"/>
        <w:ind w:firstLine="482" w:firstLineChars="200"/>
        <w:jc w:val="left"/>
        <w:outlineLvl w:val="9"/>
        <w:rPr>
          <w:rFonts w:hint="eastAsia" w:ascii="宋体" w:hAnsi="宋体" w:eastAsia="宋体" w:cs="宋体"/>
          <w:b/>
          <w:bCs/>
          <w:color w:val="auto"/>
          <w:sz w:val="24"/>
          <w:szCs w:val="24"/>
          <w:u w:val="single"/>
        </w:rPr>
      </w:pPr>
      <w:r>
        <w:rPr>
          <w:rFonts w:hint="eastAsia" w:ascii="宋体" w:hAnsi="宋体" w:eastAsia="宋体" w:cs="宋体"/>
          <w:b/>
          <w:bCs/>
          <w:color w:val="auto"/>
          <w:sz w:val="24"/>
          <w:szCs w:val="24"/>
        </w:rPr>
        <w:t>供应商名称：</w:t>
      </w:r>
    </w:p>
    <w:p w14:paraId="187C29FE">
      <w:pPr>
        <w:spacing w:line="360" w:lineRule="auto"/>
        <w:ind w:firstLine="482" w:firstLineChars="200"/>
        <w:jc w:val="left"/>
        <w:outlineLvl w:val="9"/>
        <w:rPr>
          <w:rFonts w:hint="eastAsia" w:ascii="宋体" w:hAnsi="宋体" w:eastAsia="宋体" w:cs="宋体"/>
          <w:b/>
          <w:bCs/>
          <w:color w:val="auto"/>
          <w:sz w:val="24"/>
          <w:szCs w:val="24"/>
          <w:u w:val="single"/>
        </w:rPr>
      </w:pPr>
      <w:r>
        <w:rPr>
          <w:rFonts w:hint="eastAsia" w:ascii="宋体" w:hAnsi="宋体" w:eastAsia="宋体" w:cs="宋体"/>
          <w:b/>
          <w:bCs/>
          <w:color w:val="auto"/>
          <w:sz w:val="24"/>
          <w:szCs w:val="24"/>
        </w:rPr>
        <w:t>采购项目编号：</w:t>
      </w:r>
    </w:p>
    <w:p w14:paraId="60A90F01">
      <w:pPr>
        <w:spacing w:line="360" w:lineRule="auto"/>
        <w:ind w:firstLine="482" w:firstLineChars="200"/>
        <w:jc w:val="left"/>
        <w:outlineLvl w:val="9"/>
        <w:rPr>
          <w:rFonts w:hint="eastAsia" w:ascii="宋体" w:hAnsi="宋体" w:eastAsia="宋体" w:cs="宋体"/>
          <w:b/>
          <w:bCs/>
          <w:color w:val="auto"/>
          <w:sz w:val="24"/>
          <w:szCs w:val="24"/>
          <w:u w:val="single"/>
        </w:rPr>
      </w:pPr>
      <w:r>
        <w:rPr>
          <w:rFonts w:hint="eastAsia" w:ascii="宋体" w:hAnsi="宋体" w:eastAsia="宋体" w:cs="宋体"/>
          <w:b/>
          <w:bCs/>
          <w:color w:val="auto"/>
          <w:sz w:val="24"/>
          <w:szCs w:val="24"/>
        </w:rPr>
        <w:t>包号：</w:t>
      </w:r>
    </w:p>
    <w:p w14:paraId="5A9E0EDF">
      <w:pPr>
        <w:spacing w:line="360" w:lineRule="auto"/>
        <w:ind w:firstLine="593" w:firstLineChars="246"/>
        <w:jc w:val="center"/>
        <w:outlineLvl w:val="9"/>
        <w:rPr>
          <w:rFonts w:hint="eastAsia" w:ascii="宋体" w:hAnsi="宋体" w:eastAsia="宋体" w:cs="宋体"/>
          <w:b/>
          <w:bCs/>
          <w:color w:val="auto"/>
          <w:sz w:val="24"/>
          <w:szCs w:val="24"/>
        </w:rPr>
      </w:pPr>
    </w:p>
    <w:p w14:paraId="14CAFD61">
      <w:pPr>
        <w:spacing w:line="360" w:lineRule="auto"/>
        <w:ind w:firstLine="593" w:firstLineChars="246"/>
        <w:jc w:val="center"/>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XX年XX月XX日</w:t>
      </w:r>
    </w:p>
    <w:p w14:paraId="4AB49EEF">
      <w:pPr>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r>
        <w:rPr>
          <w:rFonts w:hint="eastAsia" w:ascii="宋体" w:hAnsi="宋体" w:eastAsia="宋体" w:cs="宋体"/>
          <w:b/>
          <w:bCs/>
          <w:color w:val="auto"/>
          <w:sz w:val="24"/>
          <w:szCs w:val="24"/>
        </w:rPr>
        <w:t>格式2-2</w:t>
      </w:r>
    </w:p>
    <w:p w14:paraId="20D4C7D2">
      <w:pPr>
        <w:spacing w:line="360" w:lineRule="auto"/>
        <w:jc w:val="center"/>
        <w:outlineLvl w:val="9"/>
        <w:rPr>
          <w:rFonts w:hint="eastAsia" w:ascii="宋体" w:hAnsi="宋体" w:eastAsia="宋体" w:cs="宋体"/>
          <w:b/>
          <w:bCs/>
          <w:color w:val="auto"/>
          <w:sz w:val="24"/>
          <w:szCs w:val="24"/>
        </w:rPr>
      </w:pPr>
      <w:bookmarkStart w:id="102" w:name="_Toc308164824"/>
      <w:r>
        <w:rPr>
          <w:rFonts w:hint="eastAsia" w:ascii="宋体" w:hAnsi="宋体" w:eastAsia="宋体" w:cs="宋体"/>
          <w:b/>
          <w:bCs/>
          <w:color w:val="auto"/>
          <w:sz w:val="24"/>
          <w:szCs w:val="24"/>
        </w:rPr>
        <w:t>一、报价函</w:t>
      </w:r>
    </w:p>
    <w:p w14:paraId="5BCFB9C9">
      <w:pPr>
        <w:spacing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u w:val="single"/>
        </w:rPr>
        <w:t>XXXXXXX</w:t>
      </w:r>
      <w:r>
        <w:rPr>
          <w:rFonts w:hint="eastAsia" w:ascii="宋体" w:hAnsi="宋体" w:eastAsia="宋体" w:cs="宋体"/>
          <w:color w:val="auto"/>
          <w:sz w:val="24"/>
          <w:szCs w:val="24"/>
        </w:rPr>
        <w:t xml:space="preserve">（采购代理机构名称）: </w:t>
      </w:r>
    </w:p>
    <w:p w14:paraId="36979535">
      <w:pPr>
        <w:pStyle w:val="97"/>
        <w:numPr>
          <w:ilvl w:val="0"/>
          <w:numId w:val="5"/>
        </w:numPr>
        <w:spacing w:line="360" w:lineRule="auto"/>
        <w:ind w:firstLineChars="0"/>
        <w:outlineLvl w:val="9"/>
        <w:rPr>
          <w:rFonts w:hint="eastAsia" w:ascii="宋体" w:hAnsi="宋体" w:eastAsia="宋体" w:cs="宋体"/>
          <w:color w:val="auto"/>
          <w:sz w:val="24"/>
          <w:szCs w:val="24"/>
        </w:rPr>
      </w:pPr>
      <w:r>
        <w:rPr>
          <w:rFonts w:hint="eastAsia" w:ascii="宋体" w:hAnsi="宋体" w:eastAsia="宋体" w:cs="宋体"/>
          <w:color w:val="auto"/>
          <w:sz w:val="24"/>
          <w:szCs w:val="24"/>
        </w:rPr>
        <w:t>我方己仔细研究了（项目名称）谈判文件的全部内容，愿意以人民币（大写）</w:t>
      </w:r>
    </w:p>
    <w:p w14:paraId="1866F3B2">
      <w:pPr>
        <w:pStyle w:val="97"/>
        <w:spacing w:line="360" w:lineRule="auto"/>
        <w:ind w:left="-44" w:leftChars="-21" w:firstLine="0" w:firstLineChars="0"/>
        <w:outlineLvl w:val="9"/>
        <w:rPr>
          <w:rFonts w:hint="eastAsia" w:ascii="宋体" w:hAnsi="宋体" w:eastAsia="宋体" w:cs="宋体"/>
          <w:color w:val="auto"/>
          <w:sz w:val="24"/>
          <w:szCs w:val="24"/>
        </w:rPr>
      </w:pPr>
      <w:r>
        <w:rPr>
          <w:rFonts w:hint="eastAsia" w:ascii="宋体" w:hAnsi="宋体" w:eastAsia="宋体" w:cs="宋体"/>
          <w:color w:val="auto"/>
          <w:sz w:val="24"/>
          <w:szCs w:val="24"/>
          <w:u w:val="single"/>
        </w:rPr>
        <w:t>XX</w:t>
      </w:r>
      <w:r>
        <w:rPr>
          <w:rFonts w:hint="eastAsia" w:ascii="宋体" w:hAnsi="宋体" w:eastAsia="宋体" w:cs="宋体"/>
          <w:color w:val="auto"/>
          <w:sz w:val="24"/>
          <w:szCs w:val="24"/>
        </w:rPr>
        <w:t>（￥</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）的总报价，</w:t>
      </w:r>
      <w:r>
        <w:rPr>
          <w:rFonts w:hint="eastAsia" w:asciiTheme="minorEastAsia" w:hAnsiTheme="minorEastAsia" w:eastAsiaTheme="minorEastAsia" w:cstheme="minorEastAsia"/>
          <w:color w:val="auto"/>
        </w:rPr>
        <w:t>服务期限</w:t>
      </w:r>
      <w:r>
        <w:rPr>
          <w:rFonts w:hint="eastAsia" w:asciiTheme="minorEastAsia" w:hAnsiTheme="minorEastAsia" w:eastAsiaTheme="minorEastAsia" w:cstheme="minorEastAsia"/>
          <w:color w:val="auto"/>
          <w:u w:val="single"/>
          <w:lang w:val="en-US" w:eastAsia="zh-CN"/>
        </w:rPr>
        <w:t xml:space="preserve">     </w:t>
      </w:r>
      <w:r>
        <w:rPr>
          <w:rFonts w:hint="eastAsia" w:ascii="宋体" w:hAnsi="宋体" w:eastAsia="宋体" w:cs="宋体"/>
          <w:color w:val="auto"/>
          <w:sz w:val="24"/>
          <w:szCs w:val="24"/>
        </w:rPr>
        <w:t>，按合同约定实施和完成承包</w:t>
      </w:r>
      <w:r>
        <w:rPr>
          <w:rFonts w:hint="eastAsia" w:ascii="宋体" w:hAnsi="宋体" w:cs="宋体"/>
          <w:color w:val="auto"/>
          <w:sz w:val="24"/>
          <w:szCs w:val="24"/>
          <w:lang w:val="en-US" w:eastAsia="zh-CN"/>
        </w:rPr>
        <w:t>内容</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并</w:t>
      </w:r>
      <w:r>
        <w:rPr>
          <w:rFonts w:hint="eastAsia" w:ascii="宋体" w:hAnsi="宋体" w:eastAsia="宋体" w:cs="宋体"/>
          <w:color w:val="auto"/>
          <w:sz w:val="24"/>
          <w:szCs w:val="24"/>
        </w:rPr>
        <w:t>达到规定要求标准。</w:t>
      </w:r>
    </w:p>
    <w:p w14:paraId="7ECB7EF4">
      <w:pPr>
        <w:spacing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2．我方承诺在响应文件有效期</w:t>
      </w:r>
      <w:r>
        <w:rPr>
          <w:rFonts w:hint="eastAsia" w:ascii="宋体" w:hAnsi="宋体" w:cs="宋体"/>
          <w:color w:val="auto"/>
          <w:sz w:val="24"/>
          <w:szCs w:val="24"/>
          <w:lang w:val="en-US" w:eastAsia="zh-CN"/>
        </w:rPr>
        <w:t>90</w:t>
      </w:r>
      <w:r>
        <w:rPr>
          <w:rFonts w:hint="eastAsia" w:ascii="宋体" w:hAnsi="宋体" w:eastAsia="宋体" w:cs="宋体"/>
          <w:color w:val="auto"/>
          <w:sz w:val="24"/>
          <w:szCs w:val="24"/>
        </w:rPr>
        <w:t>天内不修改、撤销响应文件。</w:t>
      </w:r>
    </w:p>
    <w:p w14:paraId="56C92CB0">
      <w:pPr>
        <w:spacing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3．如我方成交：</w:t>
      </w:r>
    </w:p>
    <w:p w14:paraId="4230C4FD">
      <w:pPr>
        <w:spacing w:line="360" w:lineRule="auto"/>
        <w:ind w:firstLine="120" w:firstLineChars="50"/>
        <w:outlineLvl w:val="9"/>
        <w:rPr>
          <w:rFonts w:hint="eastAsia" w:ascii="宋体" w:hAnsi="宋体" w:eastAsia="宋体" w:cs="宋体"/>
          <w:color w:val="auto"/>
          <w:sz w:val="24"/>
          <w:szCs w:val="24"/>
        </w:rPr>
      </w:pPr>
      <w:r>
        <w:rPr>
          <w:rFonts w:hint="eastAsia" w:ascii="宋体" w:hAnsi="宋体" w:eastAsia="宋体" w:cs="宋体"/>
          <w:color w:val="auto"/>
          <w:sz w:val="24"/>
          <w:szCs w:val="24"/>
        </w:rPr>
        <w:t>(l）我方承诺在收到成交通知书后，在规定的期限内与采购人签订合同。</w:t>
      </w:r>
    </w:p>
    <w:p w14:paraId="65BBEC7F">
      <w:pPr>
        <w:spacing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（2）我方承诺按照谈判文件规定的金额和方式向采购人缴纳履约保证金。</w:t>
      </w:r>
    </w:p>
    <w:p w14:paraId="36E40070">
      <w:pPr>
        <w:spacing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（3）我方将严格履行政府采购合同规定的责任和义务。</w:t>
      </w:r>
    </w:p>
    <w:p w14:paraId="5E484188">
      <w:pPr>
        <w:spacing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我方同意本谈判文件依据《四川省公共资源交易领域严重失信联合惩戒实施办法》（川发改信用规〔2019〕405号）、《关于对政府采购领域严重违法失信主体开展联合惩戒的合作备忘录》（发改财金〔2018〕1614号）对我方可能存在的失信行为进行惩戒。</w:t>
      </w:r>
    </w:p>
    <w:p w14:paraId="0FBF03A8">
      <w:pPr>
        <w:spacing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（5）我方愿意提供贵单位可能另外要求的，与谈判报价有关的文件资料，并保证我方已提供和将要提供的文件资料是真实、准确的。</w:t>
      </w:r>
    </w:p>
    <w:p w14:paraId="0156B894">
      <w:pPr>
        <w:spacing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（6）我方自愿按照谈判文件规定的各项要求完成工程建设项目，最后报价以《最后报价表》为准，接受采购人按照政府采购合同约定金额支付采购资金。</w:t>
      </w:r>
    </w:p>
    <w:p w14:paraId="090811D4">
      <w:pPr>
        <w:spacing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（7）我方递交的响应文件有效期为</w:t>
      </w:r>
      <w:r>
        <w:rPr>
          <w:rFonts w:hint="eastAsia" w:ascii="宋体" w:hAnsi="宋体" w:cs="宋体"/>
          <w:color w:val="auto"/>
          <w:sz w:val="24"/>
          <w:szCs w:val="24"/>
          <w:lang w:eastAsia="zh-CN"/>
        </w:rPr>
        <w:t>竞争性谈判</w:t>
      </w:r>
      <w:r>
        <w:rPr>
          <w:rFonts w:hint="eastAsia" w:ascii="宋体" w:hAnsi="宋体" w:eastAsia="宋体" w:cs="宋体"/>
          <w:color w:val="auto"/>
          <w:sz w:val="24"/>
          <w:szCs w:val="24"/>
        </w:rPr>
        <w:t>文件规定起算之日起</w:t>
      </w:r>
      <w:r>
        <w:rPr>
          <w:rFonts w:hint="eastAsia" w:ascii="宋体" w:hAnsi="宋体" w:cs="宋体"/>
          <w:color w:val="auto"/>
          <w:sz w:val="24"/>
          <w:szCs w:val="24"/>
          <w:lang w:val="en-US" w:eastAsia="zh-CN"/>
        </w:rPr>
        <w:t>90</w:t>
      </w:r>
      <w:r>
        <w:rPr>
          <w:rFonts w:hint="eastAsia" w:ascii="宋体" w:hAnsi="宋体" w:eastAsia="宋体" w:cs="宋体"/>
          <w:color w:val="auto"/>
          <w:sz w:val="24"/>
          <w:szCs w:val="24"/>
        </w:rPr>
        <w:t>天。</w:t>
      </w:r>
    </w:p>
    <w:p w14:paraId="294023B6">
      <w:pPr>
        <w:adjustRightInd w:val="0"/>
        <w:spacing w:line="360" w:lineRule="auto"/>
        <w:ind w:firstLine="480" w:firstLineChars="200"/>
        <w:jc w:val="left"/>
        <w:outlineLvl w:val="9"/>
        <w:rPr>
          <w:rFonts w:hint="eastAsia" w:ascii="宋体" w:hAnsi="宋体" w:eastAsia="宋体" w:cs="宋体"/>
          <w:color w:val="auto"/>
          <w:sz w:val="24"/>
          <w:szCs w:val="24"/>
        </w:rPr>
      </w:pPr>
    </w:p>
    <w:p w14:paraId="16D7C005">
      <w:pPr>
        <w:adjustRightInd w:val="0"/>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供应商名称：XXX（盖单位公章）</w:t>
      </w:r>
    </w:p>
    <w:p w14:paraId="3A1842F0">
      <w:pPr>
        <w:spacing w:line="360" w:lineRule="auto"/>
        <w:ind w:firstLine="470" w:firstLineChars="196"/>
        <w:outlineLvl w:val="9"/>
        <w:rPr>
          <w:rFonts w:hint="eastAsia" w:ascii="宋体" w:hAnsi="宋体" w:eastAsia="宋体" w:cs="宋体"/>
          <w:color w:val="auto"/>
          <w:sz w:val="24"/>
          <w:szCs w:val="24"/>
        </w:rPr>
      </w:pPr>
      <w:r>
        <w:rPr>
          <w:rFonts w:hint="eastAsia" w:ascii="宋体" w:hAnsi="宋体" w:eastAsia="宋体" w:cs="宋体"/>
          <w:color w:val="auto"/>
          <w:sz w:val="24"/>
          <w:szCs w:val="24"/>
        </w:rPr>
        <w:t>法定代表人/单位负责人或授权代表（签字或加盖个人印章）：XXX</w:t>
      </w:r>
    </w:p>
    <w:p w14:paraId="640A7F2E">
      <w:pPr>
        <w:spacing w:line="360" w:lineRule="auto"/>
        <w:ind w:firstLine="470" w:firstLineChars="196"/>
        <w:outlineLvl w:val="9"/>
        <w:rPr>
          <w:rFonts w:hint="eastAsia" w:ascii="宋体" w:hAnsi="宋体" w:eastAsia="宋体" w:cs="宋体"/>
          <w:color w:val="auto"/>
          <w:sz w:val="24"/>
          <w:szCs w:val="24"/>
        </w:rPr>
      </w:pPr>
      <w:r>
        <w:rPr>
          <w:rFonts w:hint="eastAsia" w:ascii="宋体" w:hAnsi="宋体" w:eastAsia="宋体" w:cs="宋体"/>
          <w:color w:val="auto"/>
          <w:sz w:val="24"/>
          <w:szCs w:val="24"/>
        </w:rPr>
        <w:t>通讯地址：XXX</w:t>
      </w:r>
    </w:p>
    <w:p w14:paraId="5225E2BD">
      <w:pPr>
        <w:spacing w:line="360" w:lineRule="auto"/>
        <w:ind w:firstLine="470" w:firstLineChars="196"/>
        <w:outlineLvl w:val="9"/>
        <w:rPr>
          <w:rFonts w:hint="eastAsia" w:ascii="宋体" w:hAnsi="宋体" w:eastAsia="宋体" w:cs="宋体"/>
          <w:color w:val="auto"/>
          <w:sz w:val="24"/>
          <w:szCs w:val="24"/>
        </w:rPr>
      </w:pPr>
      <w:r>
        <w:rPr>
          <w:rFonts w:hint="eastAsia" w:ascii="宋体" w:hAnsi="宋体" w:eastAsia="宋体" w:cs="宋体"/>
          <w:color w:val="auto"/>
          <w:sz w:val="24"/>
          <w:szCs w:val="24"/>
        </w:rPr>
        <w:t>邮政编码：XXX</w:t>
      </w:r>
    </w:p>
    <w:p w14:paraId="57BF995F">
      <w:pPr>
        <w:spacing w:line="360" w:lineRule="auto"/>
        <w:ind w:firstLine="470" w:firstLineChars="196"/>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联系电话：XXX</w:t>
      </w:r>
    </w:p>
    <w:p w14:paraId="151F65C8">
      <w:pPr>
        <w:spacing w:line="360" w:lineRule="auto"/>
        <w:ind w:firstLine="470" w:firstLineChars="196"/>
        <w:outlineLvl w:val="9"/>
        <w:rPr>
          <w:rFonts w:hint="eastAsia" w:ascii="宋体" w:hAnsi="宋体" w:eastAsia="宋体" w:cs="宋体"/>
          <w:color w:val="auto"/>
          <w:sz w:val="24"/>
          <w:szCs w:val="24"/>
        </w:rPr>
      </w:pPr>
      <w:r>
        <w:rPr>
          <w:rFonts w:hint="eastAsia" w:ascii="宋体" w:hAnsi="宋体" w:eastAsia="宋体" w:cs="宋体"/>
          <w:color w:val="auto"/>
          <w:sz w:val="24"/>
          <w:szCs w:val="24"/>
        </w:rPr>
        <w:t>传真：XXX</w:t>
      </w:r>
    </w:p>
    <w:p w14:paraId="18A877CB">
      <w:pPr>
        <w:ind w:firstLine="480" w:firstLineChars="200"/>
        <w:outlineLvl w:val="9"/>
        <w:rPr>
          <w:rFonts w:hint="eastAsia" w:ascii="宋体" w:hAnsi="宋体" w:eastAsia="宋体" w:cs="宋体"/>
          <w:b/>
          <w:bCs/>
          <w:color w:val="auto"/>
          <w:sz w:val="24"/>
          <w:szCs w:val="24"/>
        </w:rPr>
      </w:pPr>
      <w:r>
        <w:rPr>
          <w:rFonts w:hint="eastAsia" w:ascii="宋体" w:hAnsi="宋体" w:eastAsia="宋体" w:cs="宋体"/>
          <w:color w:val="auto"/>
          <w:sz w:val="24"/>
          <w:szCs w:val="24"/>
        </w:rPr>
        <w:t>日期：XXX年XXX月XXX日</w:t>
      </w:r>
      <w:r>
        <w:rPr>
          <w:rFonts w:hint="eastAsia" w:ascii="宋体" w:hAnsi="宋体" w:eastAsia="宋体" w:cs="宋体"/>
          <w:b/>
          <w:bCs/>
          <w:color w:val="auto"/>
          <w:sz w:val="24"/>
          <w:szCs w:val="24"/>
        </w:rPr>
        <w:br w:type="page"/>
      </w:r>
      <w:r>
        <w:rPr>
          <w:rFonts w:hint="eastAsia" w:ascii="宋体" w:hAnsi="宋体" w:eastAsia="宋体" w:cs="宋体"/>
          <w:b/>
          <w:bCs/>
          <w:color w:val="auto"/>
          <w:sz w:val="24"/>
          <w:szCs w:val="24"/>
        </w:rPr>
        <w:t>格式2-3</w:t>
      </w:r>
    </w:p>
    <w:p w14:paraId="439BE1BA">
      <w:pPr>
        <w:widowControl/>
        <w:jc w:val="center"/>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二、承诺函（实质性要求）</w:t>
      </w:r>
    </w:p>
    <w:p w14:paraId="754BF6EA">
      <w:pPr>
        <w:widowControl/>
        <w:jc w:val="center"/>
        <w:outlineLvl w:val="9"/>
        <w:rPr>
          <w:rFonts w:hint="eastAsia" w:ascii="宋体" w:hAnsi="宋体" w:eastAsia="宋体" w:cs="宋体"/>
          <w:b/>
          <w:bCs/>
          <w:color w:val="auto"/>
          <w:sz w:val="24"/>
          <w:szCs w:val="24"/>
        </w:rPr>
      </w:pPr>
    </w:p>
    <w:p w14:paraId="22B95093">
      <w:pPr>
        <w:spacing w:line="440" w:lineRule="exact"/>
        <w:outlineLvl w:val="9"/>
        <w:rPr>
          <w:rFonts w:hint="eastAsia" w:ascii="宋体" w:hAnsi="宋体" w:eastAsia="宋体" w:cs="宋体"/>
          <w:color w:val="auto"/>
          <w:sz w:val="24"/>
          <w:szCs w:val="24"/>
        </w:rPr>
      </w:pPr>
      <w:r>
        <w:rPr>
          <w:rFonts w:hint="eastAsia" w:ascii="宋体" w:hAnsi="宋体" w:eastAsia="宋体" w:cs="宋体"/>
          <w:color w:val="auto"/>
          <w:sz w:val="24"/>
          <w:szCs w:val="24"/>
        </w:rPr>
        <w:t>XXX（采购代理机构名称）：</w:t>
      </w:r>
    </w:p>
    <w:p w14:paraId="3939E858">
      <w:pPr>
        <w:spacing w:line="44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我方作为本次采购项目的供应商，根据谈判文件要求，现郑重承诺如下：</w:t>
      </w:r>
    </w:p>
    <w:p w14:paraId="70930FD6">
      <w:pPr>
        <w:spacing w:line="44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一、我方已认真阅读并接受本项目</w:t>
      </w:r>
      <w:r>
        <w:rPr>
          <w:rFonts w:hint="eastAsia" w:ascii="宋体" w:hAnsi="宋体" w:cs="宋体"/>
          <w:color w:val="auto"/>
          <w:sz w:val="24"/>
          <w:szCs w:val="24"/>
          <w:lang w:eastAsia="zh-CN"/>
        </w:rPr>
        <w:t>谈判</w:t>
      </w:r>
      <w:r>
        <w:rPr>
          <w:rFonts w:hint="eastAsia" w:ascii="宋体" w:hAnsi="宋体" w:eastAsia="宋体" w:cs="宋体"/>
          <w:color w:val="auto"/>
          <w:sz w:val="24"/>
          <w:szCs w:val="24"/>
        </w:rPr>
        <w:t>文件的全部实质性要求。</w:t>
      </w:r>
    </w:p>
    <w:p w14:paraId="71E0AF49">
      <w:pPr>
        <w:spacing w:line="44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二、在参加本次采购活动中，不存在与单位负责人为同一人或者存在直接控股、管理关系的其他供应商参与同一合同项下的政府采购活动的行为。</w:t>
      </w:r>
    </w:p>
    <w:p w14:paraId="2DE84125">
      <w:pPr>
        <w:spacing w:line="44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三、为采购项目提供整体设计、规范编制或者项目管理、监理、检测等服务的供应商，不得再参加该采购项目的其他采购活动，我方承诺不属于此类禁止参加本项目的供应商。</w:t>
      </w:r>
    </w:p>
    <w:p w14:paraId="5FF9E474">
      <w:pPr>
        <w:spacing w:line="44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四、在参加本次采购活动中，不存在和其他供应商在同一合同项下的采购项目中，同时委托同一个自然人、同一家庭的人员、同一单位的人员作为代理人的行为。</w:t>
      </w:r>
    </w:p>
    <w:p w14:paraId="448D1A18">
      <w:pPr>
        <w:spacing w:line="44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五、我方实际控制人或者中高级管理人员或者其他工作人员，不存在同时是采购代理机构工作人员的情形。</w:t>
      </w:r>
    </w:p>
    <w:p w14:paraId="7282C969">
      <w:pPr>
        <w:spacing w:line="44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六、不存在同一母公司的两家以上的子公司，以不同供应商身份同时参加本项目同一合同项下的采购活动的情形。</w:t>
      </w:r>
    </w:p>
    <w:p w14:paraId="2725C7BF">
      <w:pPr>
        <w:spacing w:line="44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七、我方与采购代理机构不存在关联关系，也不是采购代理机构的母公司或子公司。</w:t>
      </w:r>
    </w:p>
    <w:p w14:paraId="50EBBD8A">
      <w:pPr>
        <w:spacing w:line="44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八、如果有《四川省政府采购当事人诚信管理办法》（川财采[2015]33号）规定的记入诚信档案的失信行为，将在响应文件中全面如实反映。</w:t>
      </w:r>
    </w:p>
    <w:p w14:paraId="5C4A1F69">
      <w:pPr>
        <w:spacing w:line="44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九、响应文件中提供的任何资料和技术、服务、商务等响应承诺情况都是真实的、有效的、合法的。</w:t>
      </w:r>
    </w:p>
    <w:p w14:paraId="1B9E5EB8">
      <w:pPr>
        <w:spacing w:line="44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十、如本项目谈判采购过程中需要提供样品，则我方提供的样品即为成交后将要提供的成交产品，我方对提供样品的性能和质量负责，因样品存在缺陷或者不符合谈判文件要求导致未能成交的，我方愿意承担相应不利后果。</w:t>
      </w:r>
    </w:p>
    <w:p w14:paraId="2D474058">
      <w:pPr>
        <w:spacing w:line="44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十一、国家或行业主管部门对工程项目的技术标准、质量标准和资格资质条件等有强制性规定的，我方承诺符合其要求。</w:t>
      </w:r>
    </w:p>
    <w:p w14:paraId="6D0EAB44">
      <w:pPr>
        <w:spacing w:line="44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十二、参加本次采购活动，我方完全同意谈判文件第二章关于“谈判费用”、“合同分包”、“合同转包”、“履约保证金”的实质性要求，并承诺严格按照谈判文件要求履行。</w:t>
      </w:r>
    </w:p>
    <w:p w14:paraId="30442E85">
      <w:pPr>
        <w:spacing w:line="44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十三、我方保证在本项目使用的任何技术、产品和服务（包括部分使用）时，不会产生因第三方提出侵犯其专利权、商标权或其它知识产权而引起的法律和经济纠纷，如因专利权、商标权或其它知识产权而引起法律和经济纠纷，由我方承担所有相关责任。除非谈判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32CC7C9C">
      <w:pPr>
        <w:spacing w:line="44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十四、与我方存在直接控股关系的单位为：XXX；存在管理关系单位为：XXX。</w:t>
      </w:r>
    </w:p>
    <w:p w14:paraId="00130A17">
      <w:pPr>
        <w:spacing w:line="44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我方对上述承诺的内容事项真实性负责。如经查实上述承诺的内容事项存在虚假，我方愿意接受以提供虚假材料谋取成交的法律责任。</w:t>
      </w:r>
    </w:p>
    <w:p w14:paraId="668AAF5B">
      <w:pPr>
        <w:spacing w:line="440" w:lineRule="exact"/>
        <w:ind w:firstLine="480" w:firstLineChars="200"/>
        <w:outlineLvl w:val="9"/>
        <w:rPr>
          <w:rFonts w:hint="eastAsia" w:ascii="宋体" w:hAnsi="宋体" w:eastAsia="宋体" w:cs="宋体"/>
          <w:color w:val="auto"/>
          <w:sz w:val="24"/>
          <w:szCs w:val="24"/>
        </w:rPr>
      </w:pPr>
    </w:p>
    <w:p w14:paraId="7C19E297">
      <w:pPr>
        <w:spacing w:line="440" w:lineRule="exact"/>
        <w:ind w:firstLine="480" w:firstLineChars="200"/>
        <w:outlineLvl w:val="9"/>
        <w:rPr>
          <w:rFonts w:hint="eastAsia" w:ascii="宋体" w:hAnsi="宋体" w:eastAsia="宋体" w:cs="宋体"/>
          <w:color w:val="auto"/>
          <w:sz w:val="24"/>
          <w:szCs w:val="24"/>
        </w:rPr>
      </w:pPr>
    </w:p>
    <w:p w14:paraId="2E5D9C09">
      <w:pPr>
        <w:spacing w:line="360" w:lineRule="auto"/>
        <w:ind w:firstLine="470" w:firstLineChars="196"/>
        <w:outlineLvl w:val="9"/>
        <w:rPr>
          <w:rFonts w:hint="eastAsia" w:ascii="宋体" w:hAnsi="宋体" w:eastAsia="宋体" w:cs="宋体"/>
          <w:color w:val="auto"/>
          <w:sz w:val="24"/>
          <w:szCs w:val="24"/>
        </w:rPr>
      </w:pPr>
      <w:r>
        <w:rPr>
          <w:rFonts w:hint="eastAsia" w:ascii="宋体" w:hAnsi="宋体" w:eastAsia="宋体" w:cs="宋体"/>
          <w:color w:val="auto"/>
          <w:sz w:val="24"/>
          <w:szCs w:val="24"/>
        </w:rPr>
        <w:t>法定代表人/单位负责人或授权代表（签字或加盖个人印章）：XXX</w:t>
      </w:r>
    </w:p>
    <w:p w14:paraId="301778B5">
      <w:pPr>
        <w:spacing w:line="44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供应商名称：XXXX（盖章）</w:t>
      </w:r>
    </w:p>
    <w:p w14:paraId="284090D4">
      <w:pPr>
        <w:spacing w:line="44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日期：XXX年XXX月XXX日</w:t>
      </w:r>
    </w:p>
    <w:p w14:paraId="2E3FBAEE">
      <w:pPr>
        <w:spacing w:line="360" w:lineRule="auto"/>
        <w:ind w:firstLine="480" w:firstLineChars="200"/>
        <w:outlineLvl w:val="9"/>
        <w:rPr>
          <w:rFonts w:hint="eastAsia" w:ascii="宋体" w:hAnsi="宋体" w:eastAsia="宋体" w:cs="宋体"/>
          <w:color w:val="auto"/>
          <w:sz w:val="24"/>
          <w:szCs w:val="24"/>
        </w:rPr>
      </w:pPr>
    </w:p>
    <w:bookmarkEnd w:id="102"/>
    <w:p w14:paraId="2F6144B2">
      <w:pPr>
        <w:pStyle w:val="97"/>
        <w:widowControl/>
        <w:numPr>
          <w:ilvl w:val="0"/>
          <w:numId w:val="0"/>
        </w:numPr>
        <w:spacing w:line="360" w:lineRule="auto"/>
        <w:ind w:leftChars="0"/>
        <w:outlineLvl w:val="9"/>
        <w:rPr>
          <w:rFonts w:hint="eastAsia" w:ascii="宋体" w:hAnsi="宋体" w:eastAsia="宋体" w:cs="宋体"/>
          <w:color w:val="auto"/>
          <w:sz w:val="24"/>
          <w:szCs w:val="24"/>
          <w:lang w:val="en-US" w:eastAsia="zh-CN"/>
        </w:rPr>
      </w:pPr>
      <w:bookmarkStart w:id="103" w:name="_Toc217446087"/>
      <w:r>
        <w:rPr>
          <w:rFonts w:hint="eastAsia" w:ascii="宋体" w:hAnsi="宋体" w:eastAsia="宋体" w:cs="宋体"/>
          <w:color w:val="auto"/>
          <w:sz w:val="24"/>
          <w:szCs w:val="24"/>
        </w:rPr>
        <w:br w:type="page"/>
      </w:r>
      <w:r>
        <w:rPr>
          <w:rFonts w:hint="eastAsia" w:ascii="宋体" w:hAnsi="宋体" w:eastAsia="宋体" w:cs="宋体"/>
          <w:b/>
          <w:bCs/>
          <w:color w:val="auto"/>
          <w:sz w:val="24"/>
          <w:szCs w:val="24"/>
        </w:rPr>
        <w:t>格式2-</w:t>
      </w:r>
      <w:r>
        <w:rPr>
          <w:rFonts w:hint="eastAsia" w:ascii="宋体" w:hAnsi="宋体" w:cs="宋体"/>
          <w:b/>
          <w:bCs/>
          <w:color w:val="auto"/>
          <w:sz w:val="24"/>
          <w:szCs w:val="24"/>
          <w:lang w:val="en-US" w:eastAsia="zh-CN"/>
        </w:rPr>
        <w:t>4</w:t>
      </w:r>
    </w:p>
    <w:p w14:paraId="2BA54ED2">
      <w:pPr>
        <w:spacing w:line="360" w:lineRule="auto"/>
        <w:jc w:val="center"/>
        <w:outlineLvl w:val="9"/>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三</w:t>
      </w:r>
      <w:r>
        <w:rPr>
          <w:rFonts w:hint="eastAsia" w:ascii="宋体" w:hAnsi="宋体" w:eastAsia="宋体" w:cs="宋体"/>
          <w:b/>
          <w:bCs/>
          <w:color w:val="auto"/>
          <w:sz w:val="24"/>
          <w:szCs w:val="24"/>
        </w:rPr>
        <w:t>、供应商基本情况表</w:t>
      </w:r>
    </w:p>
    <w:tbl>
      <w:tblPr>
        <w:tblStyle w:val="4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65F59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6C8B8F0A">
            <w:pPr>
              <w:spacing w:line="360" w:lineRule="auto"/>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p>
        </w:tc>
        <w:tc>
          <w:tcPr>
            <w:tcW w:w="7560" w:type="dxa"/>
            <w:gridSpan w:val="11"/>
            <w:vAlign w:val="center"/>
          </w:tcPr>
          <w:p w14:paraId="0FF7C0E1">
            <w:pPr>
              <w:spacing w:line="360" w:lineRule="auto"/>
              <w:jc w:val="center"/>
              <w:outlineLvl w:val="9"/>
              <w:rPr>
                <w:rFonts w:hint="eastAsia" w:ascii="宋体" w:hAnsi="宋体" w:eastAsia="宋体" w:cs="宋体"/>
                <w:color w:val="auto"/>
                <w:sz w:val="24"/>
                <w:szCs w:val="24"/>
              </w:rPr>
            </w:pPr>
          </w:p>
        </w:tc>
      </w:tr>
      <w:tr w14:paraId="1E272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46173272">
            <w:pPr>
              <w:spacing w:line="360" w:lineRule="auto"/>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4680" w:type="dxa"/>
            <w:gridSpan w:val="6"/>
            <w:vAlign w:val="center"/>
          </w:tcPr>
          <w:p w14:paraId="576A02A4">
            <w:pPr>
              <w:spacing w:line="360" w:lineRule="auto"/>
              <w:jc w:val="center"/>
              <w:outlineLvl w:val="9"/>
              <w:rPr>
                <w:rFonts w:hint="eastAsia" w:ascii="宋体" w:hAnsi="宋体" w:eastAsia="宋体" w:cs="宋体"/>
                <w:color w:val="auto"/>
                <w:sz w:val="24"/>
                <w:szCs w:val="24"/>
              </w:rPr>
            </w:pPr>
          </w:p>
        </w:tc>
        <w:tc>
          <w:tcPr>
            <w:tcW w:w="1260" w:type="dxa"/>
            <w:gridSpan w:val="3"/>
            <w:vAlign w:val="center"/>
          </w:tcPr>
          <w:p w14:paraId="140A559C">
            <w:pPr>
              <w:spacing w:line="360" w:lineRule="auto"/>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1620" w:type="dxa"/>
            <w:gridSpan w:val="2"/>
            <w:vAlign w:val="center"/>
          </w:tcPr>
          <w:p w14:paraId="4A4A8F80">
            <w:pPr>
              <w:spacing w:line="360" w:lineRule="auto"/>
              <w:jc w:val="center"/>
              <w:outlineLvl w:val="9"/>
              <w:rPr>
                <w:rFonts w:hint="eastAsia" w:ascii="宋体" w:hAnsi="宋体" w:eastAsia="宋体" w:cs="宋体"/>
                <w:color w:val="auto"/>
                <w:sz w:val="24"/>
                <w:szCs w:val="24"/>
              </w:rPr>
            </w:pPr>
          </w:p>
        </w:tc>
      </w:tr>
      <w:tr w14:paraId="0CC4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5A312DA5">
            <w:pPr>
              <w:spacing w:line="360" w:lineRule="auto"/>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1080" w:type="dxa"/>
            <w:vAlign w:val="center"/>
          </w:tcPr>
          <w:p w14:paraId="1F6EE830">
            <w:pPr>
              <w:spacing w:line="360" w:lineRule="auto"/>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3600" w:type="dxa"/>
            <w:gridSpan w:val="5"/>
            <w:vAlign w:val="center"/>
          </w:tcPr>
          <w:p w14:paraId="7B49F16A">
            <w:pPr>
              <w:spacing w:line="360" w:lineRule="auto"/>
              <w:jc w:val="center"/>
              <w:outlineLvl w:val="9"/>
              <w:rPr>
                <w:rFonts w:hint="eastAsia" w:ascii="宋体" w:hAnsi="宋体" w:eastAsia="宋体" w:cs="宋体"/>
                <w:color w:val="auto"/>
                <w:sz w:val="24"/>
                <w:szCs w:val="24"/>
              </w:rPr>
            </w:pPr>
          </w:p>
        </w:tc>
        <w:tc>
          <w:tcPr>
            <w:tcW w:w="1260" w:type="dxa"/>
            <w:gridSpan w:val="3"/>
            <w:vAlign w:val="center"/>
          </w:tcPr>
          <w:p w14:paraId="5687A4EF">
            <w:pPr>
              <w:spacing w:line="360" w:lineRule="auto"/>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1620" w:type="dxa"/>
            <w:gridSpan w:val="2"/>
            <w:vAlign w:val="center"/>
          </w:tcPr>
          <w:p w14:paraId="162DA70A">
            <w:pPr>
              <w:spacing w:line="360" w:lineRule="auto"/>
              <w:jc w:val="center"/>
              <w:outlineLvl w:val="9"/>
              <w:rPr>
                <w:rFonts w:hint="eastAsia" w:ascii="宋体" w:hAnsi="宋体" w:eastAsia="宋体" w:cs="宋体"/>
                <w:color w:val="auto"/>
                <w:sz w:val="24"/>
                <w:szCs w:val="24"/>
              </w:rPr>
            </w:pPr>
          </w:p>
        </w:tc>
      </w:tr>
      <w:tr w14:paraId="77A7B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7B1596DD">
            <w:pPr>
              <w:spacing w:line="360" w:lineRule="auto"/>
              <w:jc w:val="center"/>
              <w:outlineLvl w:val="9"/>
              <w:rPr>
                <w:rFonts w:hint="eastAsia" w:ascii="宋体" w:hAnsi="宋体" w:eastAsia="宋体" w:cs="宋体"/>
                <w:color w:val="auto"/>
                <w:sz w:val="24"/>
                <w:szCs w:val="24"/>
              </w:rPr>
            </w:pPr>
          </w:p>
        </w:tc>
        <w:tc>
          <w:tcPr>
            <w:tcW w:w="1080" w:type="dxa"/>
            <w:vAlign w:val="center"/>
          </w:tcPr>
          <w:p w14:paraId="207C8FB1">
            <w:pPr>
              <w:spacing w:line="360" w:lineRule="auto"/>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3600" w:type="dxa"/>
            <w:gridSpan w:val="5"/>
            <w:vAlign w:val="center"/>
          </w:tcPr>
          <w:p w14:paraId="793FFCBC">
            <w:pPr>
              <w:spacing w:line="360" w:lineRule="auto"/>
              <w:jc w:val="center"/>
              <w:outlineLvl w:val="9"/>
              <w:rPr>
                <w:rFonts w:hint="eastAsia" w:ascii="宋体" w:hAnsi="宋体" w:eastAsia="宋体" w:cs="宋体"/>
                <w:color w:val="auto"/>
                <w:sz w:val="24"/>
                <w:szCs w:val="24"/>
              </w:rPr>
            </w:pPr>
          </w:p>
        </w:tc>
        <w:tc>
          <w:tcPr>
            <w:tcW w:w="1260" w:type="dxa"/>
            <w:gridSpan w:val="3"/>
            <w:vAlign w:val="center"/>
          </w:tcPr>
          <w:p w14:paraId="76484FD2">
            <w:pPr>
              <w:spacing w:line="360" w:lineRule="auto"/>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1620" w:type="dxa"/>
            <w:gridSpan w:val="2"/>
            <w:vAlign w:val="center"/>
          </w:tcPr>
          <w:p w14:paraId="3552778E">
            <w:pPr>
              <w:spacing w:line="360" w:lineRule="auto"/>
              <w:jc w:val="center"/>
              <w:outlineLvl w:val="9"/>
              <w:rPr>
                <w:rFonts w:hint="eastAsia" w:ascii="宋体" w:hAnsi="宋体" w:eastAsia="宋体" w:cs="宋体"/>
                <w:color w:val="auto"/>
                <w:sz w:val="24"/>
                <w:szCs w:val="24"/>
              </w:rPr>
            </w:pPr>
          </w:p>
        </w:tc>
      </w:tr>
      <w:tr w14:paraId="53EF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593C90E7">
            <w:pPr>
              <w:spacing w:line="360" w:lineRule="auto"/>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法定代表人/主要负责人</w:t>
            </w:r>
          </w:p>
        </w:tc>
        <w:tc>
          <w:tcPr>
            <w:tcW w:w="1260" w:type="dxa"/>
            <w:gridSpan w:val="2"/>
            <w:vAlign w:val="center"/>
          </w:tcPr>
          <w:p w14:paraId="2496B821">
            <w:pPr>
              <w:spacing w:line="360" w:lineRule="auto"/>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1260" w:type="dxa"/>
            <w:vAlign w:val="center"/>
          </w:tcPr>
          <w:p w14:paraId="25B0BA9C">
            <w:pPr>
              <w:spacing w:line="360" w:lineRule="auto"/>
              <w:jc w:val="center"/>
              <w:outlineLvl w:val="9"/>
              <w:rPr>
                <w:rFonts w:hint="eastAsia" w:ascii="宋体" w:hAnsi="宋体" w:eastAsia="宋体" w:cs="宋体"/>
                <w:color w:val="auto"/>
                <w:sz w:val="24"/>
                <w:szCs w:val="24"/>
              </w:rPr>
            </w:pPr>
          </w:p>
        </w:tc>
        <w:tc>
          <w:tcPr>
            <w:tcW w:w="1260" w:type="dxa"/>
            <w:vAlign w:val="center"/>
          </w:tcPr>
          <w:p w14:paraId="6E008F24">
            <w:pPr>
              <w:spacing w:line="360" w:lineRule="auto"/>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技术职称</w:t>
            </w:r>
          </w:p>
        </w:tc>
        <w:tc>
          <w:tcPr>
            <w:tcW w:w="1260" w:type="dxa"/>
            <w:gridSpan w:val="3"/>
            <w:vAlign w:val="center"/>
          </w:tcPr>
          <w:p w14:paraId="6CA4BE84">
            <w:pPr>
              <w:spacing w:line="360" w:lineRule="auto"/>
              <w:jc w:val="center"/>
              <w:outlineLvl w:val="9"/>
              <w:rPr>
                <w:rFonts w:hint="eastAsia" w:ascii="宋体" w:hAnsi="宋体" w:eastAsia="宋体" w:cs="宋体"/>
                <w:color w:val="auto"/>
                <w:sz w:val="24"/>
                <w:szCs w:val="24"/>
              </w:rPr>
            </w:pPr>
          </w:p>
        </w:tc>
        <w:tc>
          <w:tcPr>
            <w:tcW w:w="1260" w:type="dxa"/>
            <w:gridSpan w:val="3"/>
            <w:vAlign w:val="center"/>
          </w:tcPr>
          <w:p w14:paraId="1ACF2ADF">
            <w:pPr>
              <w:spacing w:line="360" w:lineRule="auto"/>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1260" w:type="dxa"/>
            <w:vAlign w:val="center"/>
          </w:tcPr>
          <w:p w14:paraId="6A93DAE5">
            <w:pPr>
              <w:spacing w:line="360" w:lineRule="auto"/>
              <w:jc w:val="center"/>
              <w:outlineLvl w:val="9"/>
              <w:rPr>
                <w:rFonts w:hint="eastAsia" w:ascii="宋体" w:hAnsi="宋体" w:eastAsia="宋体" w:cs="宋体"/>
                <w:color w:val="auto"/>
                <w:sz w:val="24"/>
                <w:szCs w:val="24"/>
              </w:rPr>
            </w:pPr>
          </w:p>
        </w:tc>
      </w:tr>
      <w:tr w14:paraId="0CDD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14:paraId="1A6988CF">
            <w:pPr>
              <w:spacing w:line="360" w:lineRule="auto"/>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技术负责人</w:t>
            </w:r>
          </w:p>
        </w:tc>
        <w:tc>
          <w:tcPr>
            <w:tcW w:w="1260" w:type="dxa"/>
            <w:gridSpan w:val="2"/>
            <w:vAlign w:val="center"/>
          </w:tcPr>
          <w:p w14:paraId="499E3083">
            <w:pPr>
              <w:spacing w:line="360" w:lineRule="auto"/>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1260" w:type="dxa"/>
            <w:vAlign w:val="center"/>
          </w:tcPr>
          <w:p w14:paraId="2C68DDA9">
            <w:pPr>
              <w:spacing w:line="360" w:lineRule="auto"/>
              <w:jc w:val="center"/>
              <w:outlineLvl w:val="9"/>
              <w:rPr>
                <w:rFonts w:hint="eastAsia" w:ascii="宋体" w:hAnsi="宋体" w:eastAsia="宋体" w:cs="宋体"/>
                <w:color w:val="auto"/>
                <w:sz w:val="24"/>
                <w:szCs w:val="24"/>
              </w:rPr>
            </w:pPr>
          </w:p>
        </w:tc>
        <w:tc>
          <w:tcPr>
            <w:tcW w:w="1260" w:type="dxa"/>
            <w:vAlign w:val="center"/>
          </w:tcPr>
          <w:p w14:paraId="18A8E312">
            <w:pPr>
              <w:spacing w:line="360" w:lineRule="auto"/>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技术职称</w:t>
            </w:r>
          </w:p>
        </w:tc>
        <w:tc>
          <w:tcPr>
            <w:tcW w:w="1260" w:type="dxa"/>
            <w:gridSpan w:val="3"/>
            <w:vAlign w:val="center"/>
          </w:tcPr>
          <w:p w14:paraId="066875E6">
            <w:pPr>
              <w:spacing w:line="360" w:lineRule="auto"/>
              <w:jc w:val="center"/>
              <w:outlineLvl w:val="9"/>
              <w:rPr>
                <w:rFonts w:hint="eastAsia" w:ascii="宋体" w:hAnsi="宋体" w:eastAsia="宋体" w:cs="宋体"/>
                <w:color w:val="auto"/>
                <w:sz w:val="24"/>
                <w:szCs w:val="24"/>
              </w:rPr>
            </w:pPr>
          </w:p>
        </w:tc>
        <w:tc>
          <w:tcPr>
            <w:tcW w:w="1260" w:type="dxa"/>
            <w:gridSpan w:val="3"/>
            <w:vAlign w:val="center"/>
          </w:tcPr>
          <w:p w14:paraId="45969EF5">
            <w:pPr>
              <w:spacing w:line="360" w:lineRule="auto"/>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1260" w:type="dxa"/>
            <w:vAlign w:val="center"/>
          </w:tcPr>
          <w:p w14:paraId="0E597A62">
            <w:pPr>
              <w:spacing w:line="360" w:lineRule="auto"/>
              <w:jc w:val="center"/>
              <w:outlineLvl w:val="9"/>
              <w:rPr>
                <w:rFonts w:hint="eastAsia" w:ascii="宋体" w:hAnsi="宋体" w:eastAsia="宋体" w:cs="宋体"/>
                <w:color w:val="auto"/>
                <w:sz w:val="24"/>
                <w:szCs w:val="24"/>
              </w:rPr>
            </w:pPr>
          </w:p>
        </w:tc>
      </w:tr>
      <w:tr w14:paraId="6AB16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6585F63D">
            <w:pPr>
              <w:spacing w:line="360" w:lineRule="auto"/>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2520" w:type="dxa"/>
            <w:gridSpan w:val="3"/>
            <w:vAlign w:val="center"/>
          </w:tcPr>
          <w:p w14:paraId="4364E779">
            <w:pPr>
              <w:spacing w:line="360" w:lineRule="auto"/>
              <w:jc w:val="center"/>
              <w:outlineLvl w:val="9"/>
              <w:rPr>
                <w:rFonts w:hint="eastAsia" w:ascii="宋体" w:hAnsi="宋体" w:eastAsia="宋体" w:cs="宋体"/>
                <w:color w:val="auto"/>
                <w:sz w:val="24"/>
                <w:szCs w:val="24"/>
              </w:rPr>
            </w:pPr>
          </w:p>
        </w:tc>
        <w:tc>
          <w:tcPr>
            <w:tcW w:w="5040" w:type="dxa"/>
            <w:gridSpan w:val="8"/>
            <w:vAlign w:val="center"/>
          </w:tcPr>
          <w:p w14:paraId="32749E3C">
            <w:pPr>
              <w:spacing w:line="360" w:lineRule="auto"/>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员工总人数：</w:t>
            </w:r>
          </w:p>
        </w:tc>
      </w:tr>
      <w:tr w14:paraId="1A166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3D8D945F">
            <w:pPr>
              <w:spacing w:line="360" w:lineRule="auto"/>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企业资质等级</w:t>
            </w:r>
          </w:p>
        </w:tc>
        <w:tc>
          <w:tcPr>
            <w:tcW w:w="2520" w:type="dxa"/>
            <w:gridSpan w:val="3"/>
            <w:vAlign w:val="center"/>
          </w:tcPr>
          <w:p w14:paraId="546FF766">
            <w:pPr>
              <w:spacing w:line="360" w:lineRule="auto"/>
              <w:jc w:val="center"/>
              <w:outlineLvl w:val="9"/>
              <w:rPr>
                <w:rFonts w:hint="eastAsia" w:ascii="宋体" w:hAnsi="宋体" w:eastAsia="宋体" w:cs="宋体"/>
                <w:color w:val="auto"/>
                <w:sz w:val="24"/>
                <w:szCs w:val="24"/>
              </w:rPr>
            </w:pPr>
          </w:p>
        </w:tc>
        <w:tc>
          <w:tcPr>
            <w:tcW w:w="1680" w:type="dxa"/>
            <w:gridSpan w:val="2"/>
            <w:vMerge w:val="restart"/>
            <w:vAlign w:val="center"/>
          </w:tcPr>
          <w:p w14:paraId="7B130FF0">
            <w:pPr>
              <w:spacing w:line="360" w:lineRule="auto"/>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其中</w:t>
            </w:r>
          </w:p>
        </w:tc>
        <w:tc>
          <w:tcPr>
            <w:tcW w:w="1680" w:type="dxa"/>
            <w:gridSpan w:val="3"/>
            <w:vAlign w:val="center"/>
          </w:tcPr>
          <w:p w14:paraId="1C4A7772">
            <w:pPr>
              <w:spacing w:line="360" w:lineRule="auto"/>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项目经理</w:t>
            </w:r>
          </w:p>
        </w:tc>
        <w:tc>
          <w:tcPr>
            <w:tcW w:w="1680" w:type="dxa"/>
            <w:gridSpan w:val="3"/>
            <w:vAlign w:val="center"/>
          </w:tcPr>
          <w:p w14:paraId="3D1E510A">
            <w:pPr>
              <w:spacing w:line="360" w:lineRule="auto"/>
              <w:jc w:val="center"/>
              <w:outlineLvl w:val="9"/>
              <w:rPr>
                <w:rFonts w:hint="eastAsia" w:ascii="宋体" w:hAnsi="宋体" w:eastAsia="宋体" w:cs="宋体"/>
                <w:color w:val="auto"/>
                <w:sz w:val="24"/>
                <w:szCs w:val="24"/>
              </w:rPr>
            </w:pPr>
          </w:p>
        </w:tc>
      </w:tr>
      <w:tr w14:paraId="180C0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3A36C4DE">
            <w:pPr>
              <w:spacing w:line="360" w:lineRule="auto"/>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营业执照号</w:t>
            </w:r>
          </w:p>
        </w:tc>
        <w:tc>
          <w:tcPr>
            <w:tcW w:w="2520" w:type="dxa"/>
            <w:gridSpan w:val="3"/>
            <w:vAlign w:val="center"/>
          </w:tcPr>
          <w:p w14:paraId="25442714">
            <w:pPr>
              <w:spacing w:line="360" w:lineRule="auto"/>
              <w:jc w:val="center"/>
              <w:outlineLvl w:val="9"/>
              <w:rPr>
                <w:rFonts w:hint="eastAsia" w:ascii="宋体" w:hAnsi="宋体" w:eastAsia="宋体" w:cs="宋体"/>
                <w:color w:val="auto"/>
                <w:sz w:val="24"/>
                <w:szCs w:val="24"/>
              </w:rPr>
            </w:pPr>
          </w:p>
        </w:tc>
        <w:tc>
          <w:tcPr>
            <w:tcW w:w="1680" w:type="dxa"/>
            <w:gridSpan w:val="2"/>
            <w:vMerge w:val="continue"/>
            <w:vAlign w:val="center"/>
          </w:tcPr>
          <w:p w14:paraId="33AA66D5">
            <w:pPr>
              <w:spacing w:line="360" w:lineRule="auto"/>
              <w:jc w:val="center"/>
              <w:outlineLvl w:val="9"/>
              <w:rPr>
                <w:rFonts w:hint="eastAsia" w:ascii="宋体" w:hAnsi="宋体" w:eastAsia="宋体" w:cs="宋体"/>
                <w:color w:val="auto"/>
                <w:sz w:val="24"/>
                <w:szCs w:val="24"/>
              </w:rPr>
            </w:pPr>
          </w:p>
        </w:tc>
        <w:tc>
          <w:tcPr>
            <w:tcW w:w="1680" w:type="dxa"/>
            <w:gridSpan w:val="3"/>
            <w:vAlign w:val="center"/>
          </w:tcPr>
          <w:p w14:paraId="3C94B8AD">
            <w:pPr>
              <w:spacing w:line="360" w:lineRule="auto"/>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高级职称人员</w:t>
            </w:r>
          </w:p>
        </w:tc>
        <w:tc>
          <w:tcPr>
            <w:tcW w:w="1680" w:type="dxa"/>
            <w:gridSpan w:val="3"/>
            <w:vAlign w:val="center"/>
          </w:tcPr>
          <w:p w14:paraId="5390BE96">
            <w:pPr>
              <w:spacing w:line="360" w:lineRule="auto"/>
              <w:jc w:val="center"/>
              <w:outlineLvl w:val="9"/>
              <w:rPr>
                <w:rFonts w:hint="eastAsia" w:ascii="宋体" w:hAnsi="宋体" w:eastAsia="宋体" w:cs="宋体"/>
                <w:color w:val="auto"/>
                <w:sz w:val="24"/>
                <w:szCs w:val="24"/>
              </w:rPr>
            </w:pPr>
          </w:p>
        </w:tc>
      </w:tr>
      <w:tr w14:paraId="62642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2504F331">
            <w:pPr>
              <w:spacing w:line="360" w:lineRule="auto"/>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2520" w:type="dxa"/>
            <w:gridSpan w:val="3"/>
            <w:vAlign w:val="center"/>
          </w:tcPr>
          <w:p w14:paraId="4DE82A44">
            <w:pPr>
              <w:spacing w:line="360" w:lineRule="auto"/>
              <w:jc w:val="center"/>
              <w:outlineLvl w:val="9"/>
              <w:rPr>
                <w:rFonts w:hint="eastAsia" w:ascii="宋体" w:hAnsi="宋体" w:eastAsia="宋体" w:cs="宋体"/>
                <w:color w:val="auto"/>
                <w:sz w:val="24"/>
                <w:szCs w:val="24"/>
              </w:rPr>
            </w:pPr>
          </w:p>
        </w:tc>
        <w:tc>
          <w:tcPr>
            <w:tcW w:w="1680" w:type="dxa"/>
            <w:gridSpan w:val="2"/>
            <w:vMerge w:val="continue"/>
            <w:vAlign w:val="center"/>
          </w:tcPr>
          <w:p w14:paraId="0A1A5EFC">
            <w:pPr>
              <w:spacing w:line="360" w:lineRule="auto"/>
              <w:jc w:val="center"/>
              <w:outlineLvl w:val="9"/>
              <w:rPr>
                <w:rFonts w:hint="eastAsia" w:ascii="宋体" w:hAnsi="宋体" w:eastAsia="宋体" w:cs="宋体"/>
                <w:color w:val="auto"/>
                <w:sz w:val="24"/>
                <w:szCs w:val="24"/>
              </w:rPr>
            </w:pPr>
          </w:p>
        </w:tc>
        <w:tc>
          <w:tcPr>
            <w:tcW w:w="1680" w:type="dxa"/>
            <w:gridSpan w:val="3"/>
            <w:vAlign w:val="center"/>
          </w:tcPr>
          <w:p w14:paraId="640B0956">
            <w:pPr>
              <w:spacing w:line="360" w:lineRule="auto"/>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中级职称人员</w:t>
            </w:r>
          </w:p>
        </w:tc>
        <w:tc>
          <w:tcPr>
            <w:tcW w:w="1680" w:type="dxa"/>
            <w:gridSpan w:val="3"/>
            <w:vAlign w:val="center"/>
          </w:tcPr>
          <w:p w14:paraId="04E54F02">
            <w:pPr>
              <w:spacing w:line="360" w:lineRule="auto"/>
              <w:jc w:val="center"/>
              <w:outlineLvl w:val="9"/>
              <w:rPr>
                <w:rFonts w:hint="eastAsia" w:ascii="宋体" w:hAnsi="宋体" w:eastAsia="宋体" w:cs="宋体"/>
                <w:color w:val="auto"/>
                <w:sz w:val="24"/>
                <w:szCs w:val="24"/>
              </w:rPr>
            </w:pPr>
          </w:p>
        </w:tc>
      </w:tr>
      <w:tr w14:paraId="46136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7B6D0107">
            <w:pPr>
              <w:spacing w:line="360" w:lineRule="auto"/>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c>
          <w:tcPr>
            <w:tcW w:w="2520" w:type="dxa"/>
            <w:gridSpan w:val="3"/>
            <w:vAlign w:val="center"/>
          </w:tcPr>
          <w:p w14:paraId="0C65432C">
            <w:pPr>
              <w:spacing w:line="360" w:lineRule="auto"/>
              <w:jc w:val="center"/>
              <w:outlineLvl w:val="9"/>
              <w:rPr>
                <w:rFonts w:hint="eastAsia" w:ascii="宋体" w:hAnsi="宋体" w:eastAsia="宋体" w:cs="宋体"/>
                <w:color w:val="auto"/>
                <w:sz w:val="24"/>
                <w:szCs w:val="24"/>
              </w:rPr>
            </w:pPr>
          </w:p>
        </w:tc>
        <w:tc>
          <w:tcPr>
            <w:tcW w:w="1680" w:type="dxa"/>
            <w:gridSpan w:val="2"/>
            <w:vMerge w:val="continue"/>
            <w:vAlign w:val="center"/>
          </w:tcPr>
          <w:p w14:paraId="46F2EF07">
            <w:pPr>
              <w:spacing w:line="360" w:lineRule="auto"/>
              <w:jc w:val="center"/>
              <w:outlineLvl w:val="9"/>
              <w:rPr>
                <w:rFonts w:hint="eastAsia" w:ascii="宋体" w:hAnsi="宋体" w:eastAsia="宋体" w:cs="宋体"/>
                <w:color w:val="auto"/>
                <w:sz w:val="24"/>
                <w:szCs w:val="24"/>
              </w:rPr>
            </w:pPr>
          </w:p>
        </w:tc>
        <w:tc>
          <w:tcPr>
            <w:tcW w:w="1680" w:type="dxa"/>
            <w:gridSpan w:val="3"/>
            <w:vAlign w:val="center"/>
          </w:tcPr>
          <w:p w14:paraId="396132E2">
            <w:pPr>
              <w:spacing w:line="360" w:lineRule="auto"/>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初级职称人员</w:t>
            </w:r>
          </w:p>
        </w:tc>
        <w:tc>
          <w:tcPr>
            <w:tcW w:w="1680" w:type="dxa"/>
            <w:gridSpan w:val="3"/>
            <w:vAlign w:val="center"/>
          </w:tcPr>
          <w:p w14:paraId="711606E7">
            <w:pPr>
              <w:spacing w:line="360" w:lineRule="auto"/>
              <w:jc w:val="center"/>
              <w:outlineLvl w:val="9"/>
              <w:rPr>
                <w:rFonts w:hint="eastAsia" w:ascii="宋体" w:hAnsi="宋体" w:eastAsia="宋体" w:cs="宋体"/>
                <w:color w:val="auto"/>
                <w:sz w:val="24"/>
                <w:szCs w:val="24"/>
              </w:rPr>
            </w:pPr>
          </w:p>
        </w:tc>
      </w:tr>
      <w:tr w14:paraId="0E30E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14:paraId="5A47427E">
            <w:pPr>
              <w:spacing w:line="360" w:lineRule="auto"/>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账号</w:t>
            </w:r>
          </w:p>
        </w:tc>
        <w:tc>
          <w:tcPr>
            <w:tcW w:w="2520" w:type="dxa"/>
            <w:gridSpan w:val="3"/>
            <w:vAlign w:val="center"/>
          </w:tcPr>
          <w:p w14:paraId="302FBF4B">
            <w:pPr>
              <w:spacing w:line="360" w:lineRule="auto"/>
              <w:jc w:val="center"/>
              <w:outlineLvl w:val="9"/>
              <w:rPr>
                <w:rFonts w:hint="eastAsia" w:ascii="宋体" w:hAnsi="宋体" w:eastAsia="宋体" w:cs="宋体"/>
                <w:color w:val="auto"/>
                <w:sz w:val="24"/>
                <w:szCs w:val="24"/>
              </w:rPr>
            </w:pPr>
          </w:p>
        </w:tc>
        <w:tc>
          <w:tcPr>
            <w:tcW w:w="1680" w:type="dxa"/>
            <w:gridSpan w:val="2"/>
            <w:vMerge w:val="continue"/>
            <w:vAlign w:val="center"/>
          </w:tcPr>
          <w:p w14:paraId="1C67E82D">
            <w:pPr>
              <w:spacing w:line="360" w:lineRule="auto"/>
              <w:jc w:val="center"/>
              <w:outlineLvl w:val="9"/>
              <w:rPr>
                <w:rFonts w:hint="eastAsia" w:ascii="宋体" w:hAnsi="宋体" w:eastAsia="宋体" w:cs="宋体"/>
                <w:color w:val="auto"/>
                <w:sz w:val="24"/>
                <w:szCs w:val="24"/>
              </w:rPr>
            </w:pPr>
          </w:p>
        </w:tc>
        <w:tc>
          <w:tcPr>
            <w:tcW w:w="1680" w:type="dxa"/>
            <w:gridSpan w:val="3"/>
            <w:vAlign w:val="center"/>
          </w:tcPr>
          <w:p w14:paraId="30540372">
            <w:pPr>
              <w:spacing w:line="360" w:lineRule="auto"/>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技工</w:t>
            </w:r>
          </w:p>
        </w:tc>
        <w:tc>
          <w:tcPr>
            <w:tcW w:w="1680" w:type="dxa"/>
            <w:gridSpan w:val="3"/>
            <w:vAlign w:val="center"/>
          </w:tcPr>
          <w:p w14:paraId="0796819F">
            <w:pPr>
              <w:spacing w:line="360" w:lineRule="auto"/>
              <w:jc w:val="center"/>
              <w:outlineLvl w:val="9"/>
              <w:rPr>
                <w:rFonts w:hint="eastAsia" w:ascii="宋体" w:hAnsi="宋体" w:eastAsia="宋体" w:cs="宋体"/>
                <w:color w:val="auto"/>
                <w:sz w:val="24"/>
                <w:szCs w:val="24"/>
              </w:rPr>
            </w:pPr>
          </w:p>
        </w:tc>
      </w:tr>
      <w:tr w14:paraId="759A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283DC895">
            <w:pPr>
              <w:spacing w:line="360" w:lineRule="auto"/>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经营范围</w:t>
            </w:r>
          </w:p>
        </w:tc>
        <w:tc>
          <w:tcPr>
            <w:tcW w:w="7560" w:type="dxa"/>
            <w:gridSpan w:val="11"/>
            <w:vAlign w:val="center"/>
          </w:tcPr>
          <w:p w14:paraId="2012A30B">
            <w:pPr>
              <w:spacing w:line="360" w:lineRule="auto"/>
              <w:jc w:val="center"/>
              <w:outlineLvl w:val="9"/>
              <w:rPr>
                <w:rFonts w:hint="eastAsia" w:ascii="宋体" w:hAnsi="宋体" w:eastAsia="宋体" w:cs="宋体"/>
                <w:color w:val="auto"/>
                <w:sz w:val="24"/>
                <w:szCs w:val="24"/>
              </w:rPr>
            </w:pPr>
          </w:p>
        </w:tc>
      </w:tr>
      <w:tr w14:paraId="5096B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676F93FF">
            <w:pPr>
              <w:spacing w:line="360" w:lineRule="auto"/>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7560" w:type="dxa"/>
            <w:gridSpan w:val="11"/>
            <w:vAlign w:val="center"/>
          </w:tcPr>
          <w:p w14:paraId="48D503D0">
            <w:pPr>
              <w:spacing w:line="360" w:lineRule="auto"/>
              <w:jc w:val="center"/>
              <w:outlineLvl w:val="9"/>
              <w:rPr>
                <w:rFonts w:hint="eastAsia" w:ascii="宋体" w:hAnsi="宋体" w:eastAsia="宋体" w:cs="宋体"/>
                <w:color w:val="auto"/>
                <w:sz w:val="24"/>
                <w:szCs w:val="24"/>
              </w:rPr>
            </w:pPr>
          </w:p>
        </w:tc>
      </w:tr>
    </w:tbl>
    <w:p w14:paraId="50B25312">
      <w:pPr>
        <w:adjustRightInd w:val="0"/>
        <w:spacing w:line="360" w:lineRule="auto"/>
        <w:jc w:val="left"/>
        <w:outlineLvl w:val="9"/>
        <w:rPr>
          <w:rFonts w:hint="eastAsia" w:ascii="宋体" w:hAnsi="宋体" w:eastAsia="宋体" w:cs="宋体"/>
          <w:color w:val="auto"/>
          <w:sz w:val="24"/>
          <w:szCs w:val="24"/>
        </w:rPr>
      </w:pPr>
    </w:p>
    <w:p w14:paraId="1FE9CEDD">
      <w:pPr>
        <w:adjustRightInd w:val="0"/>
        <w:spacing w:line="360" w:lineRule="auto"/>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供应商名称：XXX（盖单位公章）</w:t>
      </w:r>
    </w:p>
    <w:p w14:paraId="3EF8C1C8">
      <w:pPr>
        <w:adjustRightInd w:val="0"/>
        <w:spacing w:line="360" w:lineRule="auto"/>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法定代表人/单位负责人或授权代表（签字或加盖个人印章）：XXX</w:t>
      </w:r>
    </w:p>
    <w:p w14:paraId="7A812B33">
      <w:pPr>
        <w:adjustRightInd w:val="0"/>
        <w:spacing w:line="360" w:lineRule="auto"/>
        <w:jc w:val="left"/>
        <w:outlineLvl w:val="9"/>
        <w:rPr>
          <w:rFonts w:hint="eastAsia" w:ascii="宋体" w:hAnsi="宋体" w:eastAsia="宋体" w:cs="宋体"/>
          <w:b/>
          <w:bCs/>
          <w:color w:val="auto"/>
          <w:sz w:val="24"/>
          <w:szCs w:val="24"/>
          <w:lang w:val="en-US" w:eastAsia="zh-CN"/>
        </w:rPr>
      </w:pPr>
      <w:r>
        <w:rPr>
          <w:rFonts w:hint="eastAsia" w:ascii="宋体" w:hAnsi="宋体" w:eastAsia="宋体" w:cs="宋体"/>
          <w:color w:val="auto"/>
          <w:sz w:val="24"/>
          <w:szCs w:val="24"/>
        </w:rPr>
        <w:t>日期：XXX年XXX月XXX日</w:t>
      </w:r>
      <w:r>
        <w:rPr>
          <w:rFonts w:hint="eastAsia" w:ascii="宋体" w:hAnsi="宋体" w:eastAsia="宋体" w:cs="宋体"/>
          <w:b/>
          <w:bCs/>
          <w:color w:val="auto"/>
          <w:sz w:val="24"/>
          <w:szCs w:val="24"/>
        </w:rPr>
        <w:br w:type="page"/>
      </w:r>
      <w:r>
        <w:rPr>
          <w:rFonts w:hint="eastAsia" w:ascii="宋体" w:hAnsi="宋体" w:eastAsia="宋体" w:cs="宋体"/>
          <w:b/>
          <w:bCs/>
          <w:color w:val="auto"/>
          <w:sz w:val="24"/>
          <w:szCs w:val="24"/>
        </w:rPr>
        <w:t>格式2-</w:t>
      </w:r>
      <w:r>
        <w:rPr>
          <w:rFonts w:hint="eastAsia" w:ascii="宋体" w:hAnsi="宋体" w:cs="宋体"/>
          <w:b/>
          <w:bCs/>
          <w:color w:val="auto"/>
          <w:sz w:val="24"/>
          <w:szCs w:val="24"/>
          <w:lang w:val="en-US" w:eastAsia="zh-CN"/>
        </w:rPr>
        <w:t>5</w:t>
      </w:r>
    </w:p>
    <w:p w14:paraId="6F785EFF">
      <w:pPr>
        <w:pStyle w:val="60"/>
        <w:outlineLvl w:val="9"/>
        <w:rPr>
          <w:rFonts w:hint="eastAsia" w:ascii="宋体" w:hAnsi="宋体" w:eastAsia="宋体" w:cs="宋体"/>
          <w:b/>
          <w:bCs/>
          <w:color w:val="auto"/>
          <w:sz w:val="24"/>
          <w:szCs w:val="24"/>
        </w:rPr>
      </w:pPr>
    </w:p>
    <w:p w14:paraId="28DBD589">
      <w:pPr>
        <w:pStyle w:val="60"/>
        <w:outlineLvl w:val="9"/>
        <w:rPr>
          <w:rFonts w:hint="eastAsia" w:ascii="宋体" w:hAnsi="宋体" w:eastAsia="宋体" w:cs="宋体"/>
          <w:b/>
          <w:bCs/>
          <w:color w:val="auto"/>
          <w:sz w:val="24"/>
          <w:szCs w:val="24"/>
        </w:rPr>
      </w:pPr>
    </w:p>
    <w:p w14:paraId="2DC44618">
      <w:pPr>
        <w:keepNext w:val="0"/>
        <w:keepLines w:val="0"/>
        <w:widowControl/>
        <w:numPr>
          <w:ilvl w:val="0"/>
          <w:numId w:val="6"/>
        </w:numPr>
        <w:suppressLineNumbers w:val="0"/>
        <w:jc w:val="center"/>
        <w:outlineLvl w:val="9"/>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中小企业声明函（工程、服务）</w:t>
      </w:r>
    </w:p>
    <w:p w14:paraId="159E7C4D">
      <w:pPr>
        <w:keepNext w:val="0"/>
        <w:keepLines w:val="0"/>
        <w:widowControl/>
        <w:numPr>
          <w:ilvl w:val="0"/>
          <w:numId w:val="0"/>
        </w:numPr>
        <w:suppressLineNumbers w:val="0"/>
        <w:jc w:val="both"/>
        <w:outlineLvl w:val="9"/>
        <w:rPr>
          <w:rFonts w:hint="eastAsia" w:ascii="宋体" w:hAnsi="宋体" w:eastAsia="宋体" w:cs="宋体"/>
          <w:b/>
          <w:bCs/>
          <w:color w:val="auto"/>
          <w:kern w:val="0"/>
          <w:sz w:val="24"/>
          <w:szCs w:val="24"/>
          <w:lang w:val="en-US" w:eastAsia="zh-CN" w:bidi="ar"/>
        </w:rPr>
      </w:pPr>
    </w:p>
    <w:p w14:paraId="25D5E15D">
      <w:pPr>
        <w:spacing w:line="360" w:lineRule="auto"/>
        <w:ind w:firstLine="504" w:firstLineChars="200"/>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lang w:val="en-US" w:eastAsia="zh-CN"/>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C7BC158">
      <w:pPr>
        <w:spacing w:line="360" w:lineRule="auto"/>
        <w:ind w:firstLine="504" w:firstLineChars="200"/>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lang w:val="en-US" w:eastAsia="zh-CN"/>
        </w:rPr>
        <w:t xml:space="preserve">1. （标的名称） ，属于（采购文件中明确的所属行业）；承建（承接）企业为（企业名称），从业人员人，营业收入为 万元，资产总额为 万元，属于（中型企业、小型企业、微型企业）； 2. （标的名称） ，属于（采购文件中明确的所属行业）；承建（承接）企业为（企业名称），从业人员 人，营业收入为 万元，资产总额为 万元，属于（中型企业、小型企业、微型企业）； </w:t>
      </w:r>
    </w:p>
    <w:p w14:paraId="2541715A">
      <w:pPr>
        <w:spacing w:line="360" w:lineRule="auto"/>
        <w:ind w:firstLine="504" w:firstLineChars="200"/>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lang w:val="en-US" w:eastAsia="zh-CN"/>
        </w:rPr>
        <w:t>……</w:t>
      </w:r>
    </w:p>
    <w:p w14:paraId="721372A2">
      <w:pPr>
        <w:spacing w:line="360" w:lineRule="auto"/>
        <w:ind w:firstLine="504" w:firstLineChars="200"/>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lang w:val="en-US" w:eastAsia="zh-CN"/>
        </w:rPr>
        <w:t xml:space="preserve">以上企业，不属于大企业的分支机构，不存在控股股东为大企业的情形，也不存在与大企业的负责人为同一人的情形。本企业对上述声明内容的真实性负责。如有虚假，将依法承担相应责任。 </w:t>
      </w:r>
    </w:p>
    <w:p w14:paraId="08E9713C">
      <w:pPr>
        <w:spacing w:line="360" w:lineRule="auto"/>
        <w:ind w:firstLine="504" w:firstLineChars="200"/>
        <w:jc w:val="right"/>
        <w:outlineLvl w:val="9"/>
        <w:rPr>
          <w:rFonts w:hint="eastAsia" w:ascii="宋体" w:hAnsi="宋体" w:eastAsia="宋体" w:cs="宋体"/>
          <w:color w:val="auto"/>
          <w:spacing w:val="6"/>
          <w:sz w:val="24"/>
          <w:szCs w:val="24"/>
          <w:lang w:val="en-US" w:eastAsia="zh-CN"/>
        </w:rPr>
      </w:pPr>
    </w:p>
    <w:p w14:paraId="70C20F45">
      <w:pPr>
        <w:spacing w:line="360" w:lineRule="auto"/>
        <w:ind w:firstLine="504" w:firstLineChars="200"/>
        <w:jc w:val="right"/>
        <w:outlineLvl w:val="9"/>
        <w:rPr>
          <w:rFonts w:hint="eastAsia" w:ascii="宋体" w:hAnsi="宋体" w:eastAsia="宋体" w:cs="宋体"/>
          <w:color w:val="auto"/>
          <w:spacing w:val="6"/>
          <w:sz w:val="24"/>
          <w:szCs w:val="24"/>
          <w:lang w:val="en-US" w:eastAsia="zh-CN"/>
        </w:rPr>
      </w:pPr>
    </w:p>
    <w:p w14:paraId="356DD382">
      <w:pPr>
        <w:spacing w:line="360" w:lineRule="auto"/>
        <w:ind w:firstLine="504" w:firstLineChars="200"/>
        <w:jc w:val="right"/>
        <w:outlineLvl w:val="9"/>
        <w:rPr>
          <w:rFonts w:hint="eastAsia" w:ascii="宋体" w:hAnsi="宋体" w:eastAsia="宋体" w:cs="宋体"/>
          <w:color w:val="auto"/>
          <w:spacing w:val="6"/>
          <w:sz w:val="24"/>
          <w:szCs w:val="24"/>
          <w:lang w:val="en-US" w:eastAsia="zh-CN"/>
        </w:rPr>
      </w:pPr>
    </w:p>
    <w:p w14:paraId="70ADE825">
      <w:pPr>
        <w:spacing w:line="360" w:lineRule="auto"/>
        <w:ind w:firstLine="504" w:firstLineChars="200"/>
        <w:jc w:val="right"/>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lang w:val="en-US" w:eastAsia="zh-CN"/>
        </w:rPr>
        <w:t xml:space="preserve">企业名称（盖章）： </w:t>
      </w:r>
    </w:p>
    <w:p w14:paraId="5B5B6609">
      <w:pPr>
        <w:spacing w:line="360" w:lineRule="auto"/>
        <w:ind w:firstLine="504" w:firstLineChars="200"/>
        <w:jc w:val="right"/>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lang w:val="en-US" w:eastAsia="zh-CN"/>
        </w:rPr>
        <w:t xml:space="preserve">日 期： </w:t>
      </w:r>
    </w:p>
    <w:p w14:paraId="2B5E6792">
      <w:pPr>
        <w:keepNext w:val="0"/>
        <w:keepLines w:val="0"/>
        <w:widowControl/>
        <w:suppressLineNumbers w:val="0"/>
        <w:jc w:val="left"/>
        <w:outlineLvl w:val="9"/>
        <w:rPr>
          <w:rFonts w:hint="eastAsia" w:ascii="宋体" w:hAnsi="宋体" w:eastAsia="宋体" w:cs="宋体"/>
          <w:color w:val="auto"/>
          <w:kern w:val="0"/>
          <w:sz w:val="24"/>
          <w:szCs w:val="24"/>
          <w:lang w:val="en-US" w:eastAsia="zh-CN" w:bidi="ar"/>
        </w:rPr>
      </w:pPr>
    </w:p>
    <w:p w14:paraId="7DC99336">
      <w:pPr>
        <w:keepNext w:val="0"/>
        <w:keepLines w:val="0"/>
        <w:widowControl/>
        <w:suppressLineNumbers w:val="0"/>
        <w:jc w:val="left"/>
        <w:outlineLvl w:val="9"/>
        <w:rPr>
          <w:rFonts w:hint="eastAsia" w:ascii="宋体" w:hAnsi="宋体" w:eastAsia="宋体" w:cs="宋体"/>
          <w:color w:val="auto"/>
          <w:kern w:val="0"/>
          <w:sz w:val="24"/>
          <w:szCs w:val="24"/>
          <w:lang w:val="en-US" w:eastAsia="zh-CN" w:bidi="ar"/>
        </w:rPr>
      </w:pPr>
    </w:p>
    <w:p w14:paraId="1CD81835">
      <w:pPr>
        <w:keepNext w:val="0"/>
        <w:keepLines w:val="0"/>
        <w:widowControl/>
        <w:suppressLineNumbers w:val="0"/>
        <w:jc w:val="left"/>
        <w:outlineLvl w:val="9"/>
        <w:rPr>
          <w:rFonts w:hint="eastAsia" w:ascii="宋体" w:hAnsi="宋体" w:eastAsia="宋体" w:cs="宋体"/>
          <w:color w:val="auto"/>
          <w:kern w:val="0"/>
          <w:sz w:val="24"/>
          <w:szCs w:val="24"/>
          <w:lang w:val="en-US" w:eastAsia="zh-CN" w:bidi="ar"/>
        </w:rPr>
      </w:pPr>
    </w:p>
    <w:p w14:paraId="5A931EDB">
      <w:pPr>
        <w:keepNext w:val="0"/>
        <w:keepLines w:val="0"/>
        <w:widowControl/>
        <w:suppressLineNumbers w:val="0"/>
        <w:jc w:val="left"/>
        <w:outlineLvl w:val="9"/>
        <w:rPr>
          <w:rFonts w:hint="eastAsia" w:ascii="宋体" w:hAnsi="宋体" w:eastAsia="宋体" w:cs="宋体"/>
          <w:color w:val="auto"/>
          <w:kern w:val="0"/>
          <w:sz w:val="24"/>
          <w:szCs w:val="24"/>
          <w:lang w:val="en-US" w:eastAsia="zh-CN" w:bidi="ar"/>
        </w:rPr>
      </w:pPr>
    </w:p>
    <w:p w14:paraId="345EA522">
      <w:pPr>
        <w:keepNext w:val="0"/>
        <w:keepLines w:val="0"/>
        <w:widowControl/>
        <w:suppressLineNumbers w:val="0"/>
        <w:jc w:val="left"/>
        <w:outlineLvl w:val="9"/>
        <w:rPr>
          <w:rFonts w:hint="eastAsia" w:ascii="宋体" w:hAnsi="宋体" w:eastAsia="宋体" w:cs="宋体"/>
          <w:color w:val="auto"/>
          <w:kern w:val="0"/>
          <w:sz w:val="24"/>
          <w:szCs w:val="24"/>
          <w:lang w:val="en-US" w:eastAsia="zh-CN" w:bidi="ar"/>
        </w:rPr>
      </w:pPr>
    </w:p>
    <w:p w14:paraId="0C7465EC">
      <w:pPr>
        <w:keepNext w:val="0"/>
        <w:keepLines w:val="0"/>
        <w:widowControl/>
        <w:suppressLineNumbers w:val="0"/>
        <w:jc w:val="left"/>
        <w:outlineLvl w:val="9"/>
        <w:rPr>
          <w:rFonts w:hint="eastAsia" w:ascii="宋体" w:hAnsi="宋体" w:eastAsia="宋体" w:cs="宋体"/>
          <w:color w:val="auto"/>
          <w:kern w:val="0"/>
          <w:sz w:val="24"/>
          <w:szCs w:val="24"/>
          <w:lang w:val="en-US" w:eastAsia="zh-CN" w:bidi="ar"/>
        </w:rPr>
      </w:pPr>
    </w:p>
    <w:p w14:paraId="7A60F8EC">
      <w:pPr>
        <w:keepNext w:val="0"/>
        <w:keepLines w:val="0"/>
        <w:widowControl/>
        <w:suppressLineNumbers w:val="0"/>
        <w:jc w:val="left"/>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 从业人员、营业收入、资产总额填报上一年度数据，无上一年度数据的新成立企业可不填报。</w:t>
      </w:r>
    </w:p>
    <w:p w14:paraId="732B1BAE">
      <w:pPr>
        <w:spacing w:line="360" w:lineRule="auto"/>
        <w:outlineLvl w:val="9"/>
        <w:rPr>
          <w:rFonts w:hint="eastAsia" w:ascii="宋体" w:hAnsi="宋体" w:eastAsia="宋体" w:cs="宋体"/>
          <w:b/>
          <w:bCs/>
          <w:color w:val="auto"/>
          <w:sz w:val="24"/>
          <w:szCs w:val="24"/>
        </w:rPr>
      </w:pPr>
    </w:p>
    <w:p w14:paraId="00AD0119">
      <w:pPr>
        <w:spacing w:line="360" w:lineRule="auto"/>
        <w:outlineLvl w:val="9"/>
        <w:rPr>
          <w:rFonts w:hint="eastAsia" w:ascii="宋体" w:hAnsi="宋体" w:eastAsia="宋体" w:cs="宋体"/>
          <w:b/>
          <w:bCs/>
          <w:color w:val="auto"/>
          <w:sz w:val="24"/>
          <w:szCs w:val="24"/>
        </w:rPr>
      </w:pPr>
    </w:p>
    <w:p w14:paraId="3C29F9EC">
      <w:pPr>
        <w:spacing w:line="360" w:lineRule="auto"/>
        <w:outlineLvl w:val="9"/>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rPr>
        <w:t>格式2-</w:t>
      </w:r>
      <w:r>
        <w:rPr>
          <w:rFonts w:hint="eastAsia" w:ascii="宋体" w:hAnsi="宋体" w:cs="宋体"/>
          <w:b/>
          <w:bCs/>
          <w:color w:val="auto"/>
          <w:sz w:val="24"/>
          <w:szCs w:val="24"/>
          <w:lang w:val="en-US" w:eastAsia="zh-CN"/>
        </w:rPr>
        <w:t>6</w:t>
      </w:r>
    </w:p>
    <w:p w14:paraId="09115055">
      <w:pPr>
        <w:spacing w:line="360" w:lineRule="auto"/>
        <w:jc w:val="center"/>
        <w:outlineLvl w:val="9"/>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五</w:t>
      </w:r>
      <w:r>
        <w:rPr>
          <w:rFonts w:hint="eastAsia" w:ascii="宋体" w:hAnsi="宋体" w:eastAsia="宋体" w:cs="宋体"/>
          <w:b/>
          <w:bCs/>
          <w:color w:val="auto"/>
          <w:sz w:val="24"/>
          <w:szCs w:val="24"/>
        </w:rPr>
        <w:t>、残疾人福利性单位声明函</w:t>
      </w:r>
    </w:p>
    <w:p w14:paraId="384ADE38">
      <w:pPr>
        <w:spacing w:line="360" w:lineRule="auto"/>
        <w:outlineLvl w:val="9"/>
        <w:rPr>
          <w:rFonts w:hint="eastAsia" w:ascii="宋体" w:hAnsi="宋体" w:eastAsia="宋体" w:cs="宋体"/>
          <w:b/>
          <w:bCs/>
          <w:color w:val="auto"/>
          <w:spacing w:val="6"/>
          <w:sz w:val="24"/>
          <w:szCs w:val="24"/>
        </w:rPr>
      </w:pPr>
    </w:p>
    <w:p w14:paraId="69523F5F">
      <w:pPr>
        <w:spacing w:line="360" w:lineRule="auto"/>
        <w:ind w:firstLine="504" w:firstLineChars="200"/>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本单位郑重声明，根据《财政部民政部中国残疾人联合会关于促进残疾人就业政府采购政策的通知》（财库</w:t>
      </w:r>
      <w:r>
        <w:rPr>
          <w:rFonts w:hint="eastAsia" w:ascii="宋体" w:hAnsi="宋体" w:eastAsia="宋体" w:cs="宋体"/>
          <w:color w:val="auto"/>
          <w:sz w:val="24"/>
          <w:szCs w:val="24"/>
        </w:rPr>
        <w:t>〔2017〕 141</w:t>
      </w:r>
      <w:r>
        <w:rPr>
          <w:rFonts w:hint="eastAsia" w:ascii="宋体" w:hAnsi="宋体" w:eastAsia="宋体" w:cs="宋体"/>
          <w:color w:val="auto"/>
          <w:spacing w:val="6"/>
          <w:sz w:val="24"/>
          <w:szCs w:val="24"/>
        </w:rPr>
        <w:t>号）的规定，本单位为符合条件的残疾人福利性单位，且本单位参加</w:t>
      </w:r>
      <w:r>
        <w:rPr>
          <w:rFonts w:hint="eastAsia" w:ascii="宋体" w:hAnsi="宋体" w:eastAsia="宋体" w:cs="宋体"/>
          <w:color w:val="auto"/>
          <w:sz w:val="24"/>
          <w:szCs w:val="24"/>
          <w:u w:val="single"/>
        </w:rPr>
        <w:t>XXXX</w:t>
      </w:r>
      <w:r>
        <w:rPr>
          <w:rFonts w:hint="eastAsia" w:ascii="宋体" w:hAnsi="宋体" w:eastAsia="宋体" w:cs="宋体"/>
          <w:color w:val="auto"/>
          <w:spacing w:val="6"/>
          <w:sz w:val="24"/>
          <w:szCs w:val="24"/>
        </w:rPr>
        <w:t>单位的</w:t>
      </w:r>
      <w:r>
        <w:rPr>
          <w:rFonts w:hint="eastAsia" w:ascii="宋体" w:hAnsi="宋体" w:eastAsia="宋体" w:cs="宋体"/>
          <w:color w:val="auto"/>
          <w:sz w:val="24"/>
          <w:szCs w:val="24"/>
          <w:u w:val="single"/>
        </w:rPr>
        <w:t>XXXX</w:t>
      </w:r>
      <w:r>
        <w:rPr>
          <w:rFonts w:hint="eastAsia" w:ascii="宋体" w:hAnsi="宋体" w:eastAsia="宋体" w:cs="宋体"/>
          <w:color w:val="auto"/>
          <w:spacing w:val="6"/>
          <w:sz w:val="24"/>
          <w:szCs w:val="24"/>
        </w:rPr>
        <w:t>项目采购活动由本单位承担工程。</w:t>
      </w:r>
    </w:p>
    <w:p w14:paraId="50CBF6D7">
      <w:pPr>
        <w:spacing w:line="360" w:lineRule="auto"/>
        <w:ind w:firstLine="504" w:firstLineChars="200"/>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本单位对上述声明的真实性负责。如有虚假，将依法承担相应责任。</w:t>
      </w:r>
    </w:p>
    <w:p w14:paraId="71CB7F29">
      <w:pPr>
        <w:spacing w:line="360" w:lineRule="auto"/>
        <w:outlineLvl w:val="9"/>
        <w:rPr>
          <w:rFonts w:hint="eastAsia" w:ascii="宋体" w:hAnsi="宋体" w:eastAsia="宋体" w:cs="宋体"/>
          <w:color w:val="auto"/>
          <w:spacing w:val="6"/>
          <w:sz w:val="24"/>
          <w:szCs w:val="24"/>
        </w:rPr>
      </w:pPr>
    </w:p>
    <w:p w14:paraId="6F6E5139">
      <w:pPr>
        <w:spacing w:line="360" w:lineRule="auto"/>
        <w:outlineLvl w:val="9"/>
        <w:rPr>
          <w:rFonts w:hint="eastAsia" w:ascii="宋体" w:hAnsi="宋体" w:eastAsia="宋体" w:cs="宋体"/>
          <w:color w:val="auto"/>
          <w:spacing w:val="6"/>
          <w:sz w:val="24"/>
          <w:szCs w:val="24"/>
        </w:rPr>
      </w:pPr>
    </w:p>
    <w:p w14:paraId="55096B51">
      <w:pPr>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单位名称：XXXX（盖单位公章）</w:t>
      </w:r>
    </w:p>
    <w:p w14:paraId="5C2F7D00">
      <w:pPr>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法定代表人/单位负责人或授权代表（签字或加盖个人印章）：XXXX</w:t>
      </w:r>
    </w:p>
    <w:p w14:paraId="3C5C5A51">
      <w:pPr>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日期：XXXX</w:t>
      </w:r>
    </w:p>
    <w:p w14:paraId="3A51AFA9">
      <w:pPr>
        <w:spacing w:line="360" w:lineRule="auto"/>
        <w:outlineLvl w:val="9"/>
        <w:rPr>
          <w:rFonts w:hint="eastAsia" w:ascii="宋体" w:hAnsi="宋体" w:eastAsia="宋体" w:cs="宋体"/>
          <w:color w:val="auto"/>
          <w:sz w:val="24"/>
          <w:szCs w:val="24"/>
        </w:rPr>
      </w:pPr>
    </w:p>
    <w:p w14:paraId="56B25C77">
      <w:pPr>
        <w:spacing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3ACF5794">
      <w:pPr>
        <w:numPr>
          <w:ilvl w:val="0"/>
          <w:numId w:val="0"/>
        </w:numPr>
        <w:spacing w:after="160" w:line="360" w:lineRule="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残疾人福利性单位视同小型、微型企业，享受预留份额、评审中价格扣除等促进中小企业发展的政府采购政策。残疾人福利性单位属于小型、微型企业的，不重复享受政策。</w:t>
      </w:r>
    </w:p>
    <w:p w14:paraId="60BBFA28">
      <w:pPr>
        <w:numPr>
          <w:ilvl w:val="0"/>
          <w:numId w:val="0"/>
        </w:numPr>
        <w:spacing w:after="160" w:line="360" w:lineRule="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供应商为非残疾人福利性单位的，不得提供此声明，提供此声明的，声明无效。</w:t>
      </w:r>
    </w:p>
    <w:p w14:paraId="0CDEB911">
      <w:pPr>
        <w:widowControl/>
        <w:spacing w:line="360" w:lineRule="auto"/>
        <w:ind w:firstLine="470" w:firstLineChars="196"/>
        <w:jc w:val="left"/>
        <w:outlineLvl w:val="9"/>
        <w:rPr>
          <w:rFonts w:hint="eastAsia" w:ascii="宋体" w:hAnsi="宋体" w:eastAsia="宋体" w:cs="宋体"/>
          <w:color w:val="auto"/>
          <w:sz w:val="24"/>
          <w:szCs w:val="24"/>
        </w:rPr>
      </w:pPr>
    </w:p>
    <w:p w14:paraId="41D956DA">
      <w:pPr>
        <w:widowControl/>
        <w:spacing w:line="360" w:lineRule="auto"/>
        <w:ind w:firstLine="470" w:firstLineChars="196"/>
        <w:jc w:val="left"/>
        <w:outlineLvl w:val="9"/>
        <w:rPr>
          <w:rFonts w:hint="eastAsia" w:ascii="宋体" w:hAnsi="宋体" w:eastAsia="宋体" w:cs="宋体"/>
          <w:color w:val="auto"/>
          <w:sz w:val="24"/>
          <w:szCs w:val="24"/>
        </w:rPr>
      </w:pPr>
    </w:p>
    <w:p w14:paraId="2A6019D1">
      <w:pPr>
        <w:widowControl/>
        <w:spacing w:line="360" w:lineRule="auto"/>
        <w:ind w:firstLine="470" w:firstLineChars="196"/>
        <w:jc w:val="left"/>
        <w:outlineLvl w:val="9"/>
        <w:rPr>
          <w:rFonts w:hint="eastAsia" w:ascii="宋体" w:hAnsi="宋体" w:eastAsia="宋体" w:cs="宋体"/>
          <w:color w:val="auto"/>
          <w:sz w:val="24"/>
          <w:szCs w:val="24"/>
        </w:rPr>
      </w:pPr>
    </w:p>
    <w:p w14:paraId="697440E9">
      <w:pPr>
        <w:widowControl/>
        <w:spacing w:line="360" w:lineRule="auto"/>
        <w:jc w:val="left"/>
        <w:outlineLvl w:val="9"/>
        <w:rPr>
          <w:rFonts w:hint="eastAsia" w:ascii="宋体" w:hAnsi="宋体" w:eastAsia="宋体" w:cs="宋体"/>
          <w:color w:val="auto"/>
          <w:sz w:val="24"/>
          <w:szCs w:val="24"/>
        </w:rPr>
      </w:pPr>
    </w:p>
    <w:p w14:paraId="44641CED">
      <w:pPr>
        <w:spacing w:line="360" w:lineRule="auto"/>
        <w:outlineLvl w:val="9"/>
        <w:rPr>
          <w:rFonts w:hint="eastAsia" w:ascii="宋体" w:hAnsi="宋体" w:eastAsia="宋体" w:cs="宋体"/>
          <w:b/>
          <w:bCs/>
          <w:color w:val="auto"/>
          <w:sz w:val="24"/>
          <w:szCs w:val="24"/>
        </w:rPr>
        <w:sectPr>
          <w:headerReference r:id="rId5" w:type="default"/>
          <w:footerReference r:id="rId6" w:type="default"/>
          <w:pgSz w:w="11907" w:h="16840"/>
          <w:pgMar w:top="1440" w:right="1800" w:bottom="1440" w:left="1800" w:header="851" w:footer="992" w:gutter="0"/>
          <w:cols w:space="425" w:num="1"/>
          <w:docGrid w:linePitch="312" w:charSpace="0"/>
        </w:sectPr>
      </w:pPr>
    </w:p>
    <w:p w14:paraId="654A0BA7">
      <w:pPr>
        <w:spacing w:line="360" w:lineRule="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格式2-</w:t>
      </w:r>
      <w:r>
        <w:rPr>
          <w:rFonts w:hint="eastAsia" w:ascii="宋体" w:hAnsi="宋体" w:cs="宋体"/>
          <w:b/>
          <w:bCs/>
          <w:color w:val="auto"/>
          <w:sz w:val="24"/>
          <w:szCs w:val="24"/>
          <w:lang w:val="en-US" w:eastAsia="zh-CN"/>
        </w:rPr>
        <w:t>7</w:t>
      </w:r>
    </w:p>
    <w:p w14:paraId="7E048737">
      <w:pPr>
        <w:spacing w:line="360" w:lineRule="auto"/>
        <w:jc w:val="center"/>
        <w:outlineLvl w:val="9"/>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六</w:t>
      </w:r>
      <w:r>
        <w:rPr>
          <w:rFonts w:hint="eastAsia" w:ascii="宋体" w:hAnsi="宋体" w:eastAsia="宋体" w:cs="宋体"/>
          <w:b/>
          <w:bCs/>
          <w:color w:val="auto"/>
          <w:sz w:val="24"/>
          <w:szCs w:val="24"/>
        </w:rPr>
        <w:t>、技术、服务、合同条款要求应答表</w:t>
      </w:r>
    </w:p>
    <w:p w14:paraId="0D31BCB1">
      <w:pPr>
        <w:adjustRightInd w:val="0"/>
        <w:spacing w:line="360" w:lineRule="auto"/>
        <w:ind w:firstLine="813" w:firstLineChars="225"/>
        <w:jc w:val="center"/>
        <w:outlineLvl w:val="9"/>
        <w:rPr>
          <w:rFonts w:hint="eastAsia" w:ascii="宋体" w:hAnsi="宋体" w:eastAsia="宋体" w:cs="宋体"/>
          <w:color w:val="auto"/>
          <w:sz w:val="36"/>
          <w:szCs w:val="36"/>
        </w:rPr>
      </w:pPr>
      <w:r>
        <w:rPr>
          <w:rFonts w:hint="eastAsia" w:ascii="宋体" w:hAnsi="宋体" w:cs="宋体"/>
          <w:b/>
          <w:bCs/>
          <w:color w:val="auto"/>
          <w:sz w:val="36"/>
          <w:szCs w:val="36"/>
          <w:lang w:val="en-US" w:eastAsia="zh-CN"/>
        </w:rPr>
        <w:t>（格式自拟）</w:t>
      </w:r>
    </w:p>
    <w:p w14:paraId="645E34F0">
      <w:pPr>
        <w:spacing w:line="360" w:lineRule="auto"/>
        <w:jc w:val="center"/>
        <w:outlineLvl w:val="9"/>
        <w:rPr>
          <w:rFonts w:hint="eastAsia" w:ascii="宋体" w:hAnsi="宋体" w:eastAsia="宋体" w:cs="宋体"/>
          <w:b/>
          <w:bCs/>
          <w:color w:val="auto"/>
          <w:sz w:val="36"/>
          <w:szCs w:val="36"/>
        </w:rPr>
      </w:pPr>
    </w:p>
    <w:p w14:paraId="744039DE">
      <w:pPr>
        <w:pStyle w:val="60"/>
        <w:jc w:val="center"/>
        <w:outlineLvl w:val="9"/>
        <w:rPr>
          <w:rFonts w:hint="eastAsia" w:ascii="宋体" w:hAnsi="宋体" w:eastAsia="宋体" w:cs="宋体"/>
          <w:b/>
          <w:bCs/>
          <w:color w:val="auto"/>
          <w:sz w:val="36"/>
          <w:szCs w:val="36"/>
        </w:rPr>
      </w:pPr>
    </w:p>
    <w:p w14:paraId="50320A1A">
      <w:pPr>
        <w:pStyle w:val="60"/>
        <w:outlineLvl w:val="9"/>
        <w:rPr>
          <w:rFonts w:hint="eastAsia" w:ascii="宋体" w:hAnsi="宋体" w:eastAsia="宋体" w:cs="宋体"/>
          <w:b/>
          <w:bCs/>
          <w:color w:val="auto"/>
          <w:sz w:val="24"/>
          <w:szCs w:val="24"/>
        </w:rPr>
      </w:pPr>
    </w:p>
    <w:p w14:paraId="175C7817">
      <w:pPr>
        <w:spacing w:line="360" w:lineRule="auto"/>
        <w:outlineLvl w:val="9"/>
        <w:rPr>
          <w:rFonts w:hint="eastAsia" w:ascii="宋体" w:hAnsi="宋体" w:eastAsia="宋体" w:cs="宋体"/>
          <w:b/>
          <w:bCs/>
          <w:color w:val="auto"/>
          <w:sz w:val="24"/>
          <w:szCs w:val="24"/>
        </w:rPr>
      </w:pPr>
    </w:p>
    <w:p w14:paraId="768EEC89">
      <w:pPr>
        <w:spacing w:line="360" w:lineRule="auto"/>
        <w:outlineLvl w:val="9"/>
        <w:rPr>
          <w:rFonts w:hint="eastAsia" w:ascii="宋体" w:hAnsi="宋体" w:eastAsia="宋体" w:cs="宋体"/>
          <w:b/>
          <w:bCs/>
          <w:color w:val="auto"/>
          <w:sz w:val="24"/>
          <w:szCs w:val="24"/>
        </w:rPr>
      </w:pPr>
    </w:p>
    <w:p w14:paraId="75670229">
      <w:pPr>
        <w:spacing w:line="360" w:lineRule="auto"/>
        <w:outlineLvl w:val="9"/>
        <w:rPr>
          <w:rFonts w:hint="eastAsia" w:ascii="宋体" w:hAnsi="宋体" w:eastAsia="宋体" w:cs="宋体"/>
          <w:b/>
          <w:bCs/>
          <w:color w:val="auto"/>
          <w:sz w:val="24"/>
          <w:szCs w:val="24"/>
        </w:rPr>
      </w:pPr>
    </w:p>
    <w:p w14:paraId="1A944707">
      <w:pPr>
        <w:spacing w:line="360" w:lineRule="auto"/>
        <w:outlineLvl w:val="9"/>
        <w:rPr>
          <w:rFonts w:hint="eastAsia" w:ascii="宋体" w:hAnsi="宋体" w:eastAsia="宋体" w:cs="宋体"/>
          <w:b/>
          <w:bCs/>
          <w:color w:val="auto"/>
          <w:sz w:val="24"/>
          <w:szCs w:val="24"/>
        </w:rPr>
      </w:pPr>
    </w:p>
    <w:p w14:paraId="2E7CE9DE">
      <w:pPr>
        <w:spacing w:line="360" w:lineRule="auto"/>
        <w:outlineLvl w:val="9"/>
        <w:rPr>
          <w:rFonts w:hint="eastAsia" w:ascii="宋体" w:hAnsi="宋体" w:eastAsia="宋体" w:cs="宋体"/>
          <w:b/>
          <w:bCs/>
          <w:color w:val="auto"/>
          <w:sz w:val="24"/>
          <w:szCs w:val="24"/>
        </w:rPr>
      </w:pPr>
    </w:p>
    <w:p w14:paraId="724DFA07">
      <w:pPr>
        <w:spacing w:line="360" w:lineRule="auto"/>
        <w:outlineLvl w:val="9"/>
        <w:rPr>
          <w:rFonts w:hint="eastAsia" w:ascii="宋体" w:hAnsi="宋体" w:eastAsia="宋体" w:cs="宋体"/>
          <w:b/>
          <w:bCs/>
          <w:color w:val="auto"/>
          <w:sz w:val="24"/>
          <w:szCs w:val="24"/>
        </w:rPr>
      </w:pPr>
    </w:p>
    <w:p w14:paraId="50BF7E65">
      <w:pPr>
        <w:spacing w:line="360" w:lineRule="auto"/>
        <w:outlineLvl w:val="9"/>
        <w:rPr>
          <w:rFonts w:hint="eastAsia" w:ascii="宋体" w:hAnsi="宋体" w:eastAsia="宋体" w:cs="宋体"/>
          <w:b/>
          <w:bCs/>
          <w:color w:val="auto"/>
          <w:sz w:val="24"/>
          <w:szCs w:val="24"/>
        </w:rPr>
      </w:pPr>
    </w:p>
    <w:p w14:paraId="245E5499">
      <w:pPr>
        <w:spacing w:line="360" w:lineRule="auto"/>
        <w:outlineLvl w:val="9"/>
        <w:rPr>
          <w:rFonts w:hint="eastAsia" w:ascii="宋体" w:hAnsi="宋体" w:eastAsia="宋体" w:cs="宋体"/>
          <w:b/>
          <w:bCs/>
          <w:color w:val="auto"/>
          <w:sz w:val="24"/>
          <w:szCs w:val="24"/>
        </w:rPr>
      </w:pPr>
    </w:p>
    <w:p w14:paraId="2A162041">
      <w:pPr>
        <w:spacing w:line="360" w:lineRule="auto"/>
        <w:outlineLvl w:val="9"/>
        <w:rPr>
          <w:rFonts w:hint="eastAsia" w:ascii="宋体" w:hAnsi="宋体" w:eastAsia="宋体" w:cs="宋体"/>
          <w:b/>
          <w:bCs/>
          <w:color w:val="auto"/>
          <w:sz w:val="24"/>
          <w:szCs w:val="24"/>
        </w:rPr>
      </w:pPr>
    </w:p>
    <w:p w14:paraId="749B1E57">
      <w:pPr>
        <w:spacing w:line="360" w:lineRule="auto"/>
        <w:outlineLvl w:val="9"/>
        <w:rPr>
          <w:rFonts w:hint="eastAsia" w:ascii="宋体" w:hAnsi="宋体" w:eastAsia="宋体" w:cs="宋体"/>
          <w:b/>
          <w:bCs/>
          <w:color w:val="auto"/>
          <w:sz w:val="24"/>
          <w:szCs w:val="24"/>
        </w:rPr>
      </w:pPr>
    </w:p>
    <w:p w14:paraId="66443297">
      <w:pPr>
        <w:spacing w:line="360" w:lineRule="auto"/>
        <w:outlineLvl w:val="9"/>
        <w:rPr>
          <w:rFonts w:hint="eastAsia" w:ascii="宋体" w:hAnsi="宋体" w:eastAsia="宋体" w:cs="宋体"/>
          <w:b/>
          <w:bCs/>
          <w:color w:val="auto"/>
          <w:sz w:val="24"/>
          <w:szCs w:val="24"/>
        </w:rPr>
      </w:pPr>
    </w:p>
    <w:p w14:paraId="0F25CB86">
      <w:pPr>
        <w:spacing w:line="360" w:lineRule="auto"/>
        <w:outlineLvl w:val="9"/>
        <w:rPr>
          <w:rFonts w:hint="eastAsia" w:ascii="宋体" w:hAnsi="宋体" w:eastAsia="宋体" w:cs="宋体"/>
          <w:b/>
          <w:bCs/>
          <w:color w:val="auto"/>
          <w:sz w:val="24"/>
          <w:szCs w:val="24"/>
        </w:rPr>
      </w:pPr>
    </w:p>
    <w:p w14:paraId="15A46D4D">
      <w:pPr>
        <w:spacing w:line="360" w:lineRule="auto"/>
        <w:outlineLvl w:val="9"/>
        <w:rPr>
          <w:rFonts w:hint="eastAsia" w:ascii="宋体" w:hAnsi="宋体" w:eastAsia="宋体" w:cs="宋体"/>
          <w:b/>
          <w:bCs/>
          <w:color w:val="auto"/>
          <w:sz w:val="24"/>
          <w:szCs w:val="24"/>
        </w:rPr>
      </w:pPr>
    </w:p>
    <w:p w14:paraId="64BC52B1">
      <w:pPr>
        <w:spacing w:line="360" w:lineRule="auto"/>
        <w:outlineLvl w:val="9"/>
        <w:rPr>
          <w:rFonts w:hint="eastAsia" w:ascii="宋体" w:hAnsi="宋体" w:eastAsia="宋体" w:cs="宋体"/>
          <w:b/>
          <w:bCs/>
          <w:color w:val="auto"/>
          <w:sz w:val="24"/>
          <w:szCs w:val="24"/>
        </w:rPr>
      </w:pPr>
    </w:p>
    <w:p w14:paraId="028A2084">
      <w:pPr>
        <w:spacing w:line="360" w:lineRule="auto"/>
        <w:outlineLvl w:val="9"/>
        <w:rPr>
          <w:rFonts w:hint="eastAsia" w:ascii="宋体" w:hAnsi="宋体" w:eastAsia="宋体" w:cs="宋体"/>
          <w:b/>
          <w:bCs/>
          <w:color w:val="auto"/>
          <w:sz w:val="24"/>
          <w:szCs w:val="24"/>
        </w:rPr>
      </w:pPr>
    </w:p>
    <w:p w14:paraId="12D5DF15">
      <w:pPr>
        <w:spacing w:line="360" w:lineRule="auto"/>
        <w:outlineLvl w:val="9"/>
        <w:rPr>
          <w:rFonts w:hint="eastAsia" w:ascii="宋体" w:hAnsi="宋体" w:eastAsia="宋体" w:cs="宋体"/>
          <w:b/>
          <w:bCs/>
          <w:color w:val="auto"/>
          <w:sz w:val="24"/>
          <w:szCs w:val="24"/>
        </w:rPr>
      </w:pPr>
    </w:p>
    <w:p w14:paraId="794E7CE7">
      <w:pPr>
        <w:spacing w:line="360" w:lineRule="auto"/>
        <w:outlineLvl w:val="9"/>
        <w:rPr>
          <w:rFonts w:hint="eastAsia" w:ascii="宋体" w:hAnsi="宋体" w:eastAsia="宋体" w:cs="宋体"/>
          <w:b/>
          <w:bCs/>
          <w:color w:val="auto"/>
          <w:sz w:val="24"/>
          <w:szCs w:val="24"/>
        </w:rPr>
      </w:pPr>
    </w:p>
    <w:p w14:paraId="1BD57229">
      <w:pPr>
        <w:spacing w:line="360" w:lineRule="auto"/>
        <w:outlineLvl w:val="9"/>
        <w:rPr>
          <w:rFonts w:hint="eastAsia" w:ascii="宋体" w:hAnsi="宋体" w:eastAsia="宋体" w:cs="宋体"/>
          <w:b/>
          <w:bCs/>
          <w:color w:val="auto"/>
          <w:sz w:val="24"/>
          <w:szCs w:val="24"/>
        </w:rPr>
      </w:pPr>
    </w:p>
    <w:p w14:paraId="0DE90406">
      <w:pPr>
        <w:spacing w:line="360" w:lineRule="auto"/>
        <w:outlineLvl w:val="9"/>
        <w:rPr>
          <w:rFonts w:hint="eastAsia" w:ascii="宋体" w:hAnsi="宋体" w:eastAsia="宋体" w:cs="宋体"/>
          <w:b/>
          <w:bCs/>
          <w:color w:val="auto"/>
          <w:sz w:val="24"/>
          <w:szCs w:val="24"/>
        </w:rPr>
      </w:pPr>
    </w:p>
    <w:p w14:paraId="5B143C5D">
      <w:pPr>
        <w:spacing w:line="360" w:lineRule="auto"/>
        <w:outlineLvl w:val="9"/>
        <w:rPr>
          <w:rFonts w:hint="eastAsia" w:ascii="宋体" w:hAnsi="宋体" w:eastAsia="宋体" w:cs="宋体"/>
          <w:b/>
          <w:bCs/>
          <w:color w:val="auto"/>
          <w:sz w:val="24"/>
          <w:szCs w:val="24"/>
        </w:rPr>
      </w:pPr>
    </w:p>
    <w:p w14:paraId="6B9E3DC4">
      <w:pPr>
        <w:spacing w:line="360" w:lineRule="auto"/>
        <w:outlineLvl w:val="9"/>
        <w:rPr>
          <w:rFonts w:hint="eastAsia" w:ascii="宋体" w:hAnsi="宋体" w:eastAsia="宋体" w:cs="宋体"/>
          <w:b/>
          <w:bCs/>
          <w:color w:val="auto"/>
          <w:sz w:val="24"/>
          <w:szCs w:val="24"/>
        </w:rPr>
      </w:pPr>
    </w:p>
    <w:p w14:paraId="42CB7B1D">
      <w:pPr>
        <w:spacing w:line="360" w:lineRule="auto"/>
        <w:outlineLvl w:val="9"/>
        <w:rPr>
          <w:rFonts w:hint="eastAsia" w:ascii="宋体" w:hAnsi="宋体" w:eastAsia="宋体" w:cs="宋体"/>
          <w:b/>
          <w:bCs/>
          <w:color w:val="auto"/>
          <w:sz w:val="24"/>
          <w:szCs w:val="24"/>
        </w:rPr>
      </w:pPr>
    </w:p>
    <w:p w14:paraId="77B3A2F2">
      <w:pPr>
        <w:spacing w:line="360" w:lineRule="auto"/>
        <w:outlineLvl w:val="9"/>
        <w:rPr>
          <w:rFonts w:hint="eastAsia" w:ascii="宋体" w:hAnsi="宋体" w:eastAsia="宋体" w:cs="宋体"/>
          <w:b/>
          <w:bCs/>
          <w:color w:val="auto"/>
          <w:sz w:val="24"/>
          <w:szCs w:val="24"/>
        </w:rPr>
      </w:pPr>
    </w:p>
    <w:p w14:paraId="78758F2C">
      <w:pPr>
        <w:spacing w:line="360" w:lineRule="auto"/>
        <w:jc w:val="left"/>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格式2-</w:t>
      </w:r>
      <w:r>
        <w:rPr>
          <w:rFonts w:hint="eastAsia" w:ascii="宋体" w:hAnsi="宋体" w:cs="宋体"/>
          <w:b/>
          <w:bCs/>
          <w:color w:val="auto"/>
          <w:sz w:val="24"/>
          <w:szCs w:val="24"/>
          <w:lang w:val="en-US" w:eastAsia="zh-CN"/>
        </w:rPr>
        <w:t>8</w:t>
      </w:r>
    </w:p>
    <w:p w14:paraId="1B0AB93C">
      <w:pPr>
        <w:spacing w:line="360" w:lineRule="auto"/>
        <w:jc w:val="center"/>
        <w:outlineLvl w:val="9"/>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七</w:t>
      </w:r>
      <w:r>
        <w:rPr>
          <w:rFonts w:hint="eastAsia" w:ascii="宋体" w:hAnsi="宋体" w:eastAsia="宋体" w:cs="宋体"/>
          <w:b/>
          <w:bCs/>
          <w:color w:val="auto"/>
          <w:sz w:val="24"/>
          <w:szCs w:val="24"/>
        </w:rPr>
        <w:t>、供应商类似项目业绩一览表</w:t>
      </w:r>
    </w:p>
    <w:p w14:paraId="4F6696C7">
      <w:pPr>
        <w:spacing w:line="360" w:lineRule="auto"/>
        <w:outlineLvl w:val="9"/>
        <w:rPr>
          <w:rFonts w:hint="eastAsia" w:ascii="宋体" w:hAnsi="宋体" w:eastAsia="宋体" w:cs="宋体"/>
          <w:color w:val="auto"/>
          <w:sz w:val="24"/>
          <w:szCs w:val="24"/>
        </w:rPr>
      </w:pPr>
    </w:p>
    <w:tbl>
      <w:tblPr>
        <w:tblStyle w:val="44"/>
        <w:tblW w:w="10476" w:type="dxa"/>
        <w:jc w:val="center"/>
        <w:tblLayout w:type="fixed"/>
        <w:tblCellMar>
          <w:top w:w="0" w:type="dxa"/>
          <w:left w:w="108" w:type="dxa"/>
          <w:bottom w:w="0" w:type="dxa"/>
          <w:right w:w="108" w:type="dxa"/>
        </w:tblCellMar>
      </w:tblPr>
      <w:tblGrid>
        <w:gridCol w:w="656"/>
        <w:gridCol w:w="1413"/>
        <w:gridCol w:w="1554"/>
        <w:gridCol w:w="1272"/>
        <w:gridCol w:w="1414"/>
        <w:gridCol w:w="1130"/>
        <w:gridCol w:w="1129"/>
        <w:gridCol w:w="1220"/>
        <w:gridCol w:w="688"/>
      </w:tblGrid>
      <w:tr w14:paraId="042CB1C7">
        <w:tblPrEx>
          <w:tblCellMar>
            <w:top w:w="0" w:type="dxa"/>
            <w:left w:w="108" w:type="dxa"/>
            <w:bottom w:w="0" w:type="dxa"/>
            <w:right w:w="108" w:type="dxa"/>
          </w:tblCellMar>
        </w:tblPrEx>
        <w:trPr>
          <w:trHeight w:val="1118"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100BB4F9">
            <w:pPr>
              <w:widowControl/>
              <w:spacing w:line="360" w:lineRule="auto"/>
              <w:jc w:val="center"/>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序号</w:t>
            </w:r>
          </w:p>
        </w:tc>
        <w:tc>
          <w:tcPr>
            <w:tcW w:w="1413" w:type="dxa"/>
            <w:tcBorders>
              <w:top w:val="single" w:color="auto" w:sz="4" w:space="0"/>
              <w:left w:val="nil"/>
              <w:bottom w:val="single" w:color="auto" w:sz="4" w:space="0"/>
              <w:right w:val="single" w:color="auto" w:sz="4" w:space="0"/>
            </w:tcBorders>
            <w:vAlign w:val="center"/>
          </w:tcPr>
          <w:p w14:paraId="079BAA78">
            <w:pPr>
              <w:widowControl/>
              <w:spacing w:line="360" w:lineRule="auto"/>
              <w:ind w:left="-69" w:leftChars="-33" w:right="-94" w:rightChars="-45"/>
              <w:jc w:val="center"/>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项目业主</w:t>
            </w:r>
          </w:p>
        </w:tc>
        <w:tc>
          <w:tcPr>
            <w:tcW w:w="1554" w:type="dxa"/>
            <w:tcBorders>
              <w:top w:val="single" w:color="auto" w:sz="4" w:space="0"/>
              <w:left w:val="nil"/>
              <w:bottom w:val="single" w:color="auto" w:sz="4" w:space="0"/>
              <w:right w:val="single" w:color="auto" w:sz="4" w:space="0"/>
            </w:tcBorders>
            <w:vAlign w:val="center"/>
          </w:tcPr>
          <w:p w14:paraId="4DCC65DF">
            <w:pPr>
              <w:widowControl/>
              <w:spacing w:line="360" w:lineRule="auto"/>
              <w:jc w:val="center"/>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项目名称</w:t>
            </w:r>
          </w:p>
        </w:tc>
        <w:tc>
          <w:tcPr>
            <w:tcW w:w="1272" w:type="dxa"/>
            <w:tcBorders>
              <w:top w:val="single" w:color="auto" w:sz="4" w:space="0"/>
              <w:left w:val="nil"/>
              <w:bottom w:val="single" w:color="auto" w:sz="4" w:space="0"/>
              <w:right w:val="single" w:color="auto" w:sz="4" w:space="0"/>
            </w:tcBorders>
            <w:vAlign w:val="center"/>
          </w:tcPr>
          <w:p w14:paraId="730B76B9">
            <w:pPr>
              <w:widowControl/>
              <w:spacing w:line="360" w:lineRule="auto"/>
              <w:jc w:val="center"/>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工程类别</w:t>
            </w:r>
          </w:p>
        </w:tc>
        <w:tc>
          <w:tcPr>
            <w:tcW w:w="1414" w:type="dxa"/>
            <w:tcBorders>
              <w:top w:val="single" w:color="auto" w:sz="4" w:space="0"/>
              <w:left w:val="nil"/>
              <w:bottom w:val="single" w:color="auto" w:sz="4" w:space="0"/>
              <w:right w:val="single" w:color="auto" w:sz="4" w:space="0"/>
            </w:tcBorders>
            <w:vAlign w:val="center"/>
          </w:tcPr>
          <w:p w14:paraId="1E1F09D4">
            <w:pPr>
              <w:widowControl/>
              <w:spacing w:line="360" w:lineRule="auto"/>
              <w:jc w:val="center"/>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开工日期</w:t>
            </w:r>
          </w:p>
        </w:tc>
        <w:tc>
          <w:tcPr>
            <w:tcW w:w="1130" w:type="dxa"/>
            <w:tcBorders>
              <w:top w:val="single" w:color="auto" w:sz="4" w:space="0"/>
              <w:left w:val="nil"/>
              <w:bottom w:val="single" w:color="auto" w:sz="4" w:space="0"/>
              <w:right w:val="single" w:color="auto" w:sz="4" w:space="0"/>
            </w:tcBorders>
            <w:vAlign w:val="center"/>
          </w:tcPr>
          <w:p w14:paraId="4BE21F5C">
            <w:pPr>
              <w:spacing w:line="360" w:lineRule="auto"/>
              <w:jc w:val="center"/>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竣工日期</w:t>
            </w:r>
          </w:p>
        </w:tc>
        <w:tc>
          <w:tcPr>
            <w:tcW w:w="1129" w:type="dxa"/>
            <w:tcBorders>
              <w:top w:val="single" w:color="auto" w:sz="4" w:space="0"/>
              <w:left w:val="nil"/>
              <w:bottom w:val="single" w:color="auto" w:sz="4" w:space="0"/>
              <w:right w:val="single" w:color="auto" w:sz="4" w:space="0"/>
            </w:tcBorders>
            <w:vAlign w:val="center"/>
          </w:tcPr>
          <w:p w14:paraId="4F275076">
            <w:pPr>
              <w:widowControl/>
              <w:spacing w:line="360" w:lineRule="auto"/>
              <w:ind w:left="28" w:leftChars="-44" w:right="-94" w:rightChars="-45" w:hanging="120" w:hangingChars="50"/>
              <w:jc w:val="center"/>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建设规模</w:t>
            </w:r>
          </w:p>
        </w:tc>
        <w:tc>
          <w:tcPr>
            <w:tcW w:w="1220" w:type="dxa"/>
            <w:tcBorders>
              <w:top w:val="single" w:color="auto" w:sz="4" w:space="0"/>
              <w:left w:val="nil"/>
              <w:bottom w:val="single" w:color="auto" w:sz="4" w:space="0"/>
              <w:right w:val="single" w:color="auto" w:sz="4" w:space="0"/>
            </w:tcBorders>
            <w:vAlign w:val="center"/>
          </w:tcPr>
          <w:p w14:paraId="23A537CE">
            <w:pPr>
              <w:widowControl/>
              <w:spacing w:line="360" w:lineRule="auto"/>
              <w:ind w:right="-94" w:rightChars="-45"/>
              <w:jc w:val="center"/>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合同价格（元）</w:t>
            </w:r>
          </w:p>
        </w:tc>
        <w:tc>
          <w:tcPr>
            <w:tcW w:w="688" w:type="dxa"/>
            <w:tcBorders>
              <w:top w:val="single" w:color="auto" w:sz="4" w:space="0"/>
              <w:left w:val="nil"/>
              <w:bottom w:val="single" w:color="auto" w:sz="4" w:space="0"/>
              <w:right w:val="single" w:color="auto" w:sz="4" w:space="0"/>
            </w:tcBorders>
            <w:vAlign w:val="center"/>
          </w:tcPr>
          <w:p w14:paraId="3F8DE50F">
            <w:pPr>
              <w:widowControl/>
              <w:spacing w:line="360" w:lineRule="auto"/>
              <w:ind w:right="-94" w:rightChars="-45"/>
              <w:jc w:val="center"/>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备注</w:t>
            </w:r>
          </w:p>
        </w:tc>
      </w:tr>
      <w:tr w14:paraId="4EA75378">
        <w:tblPrEx>
          <w:tblCellMar>
            <w:top w:w="0" w:type="dxa"/>
            <w:left w:w="108" w:type="dxa"/>
            <w:bottom w:w="0" w:type="dxa"/>
            <w:right w:w="108" w:type="dxa"/>
          </w:tblCellMar>
        </w:tblPrEx>
        <w:trPr>
          <w:trHeight w:val="724"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22D74C7F">
            <w:pPr>
              <w:widowControl/>
              <w:spacing w:line="360" w:lineRule="auto"/>
              <w:jc w:val="center"/>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413" w:type="dxa"/>
            <w:tcBorders>
              <w:top w:val="single" w:color="auto" w:sz="4" w:space="0"/>
              <w:left w:val="nil"/>
              <w:bottom w:val="single" w:color="auto" w:sz="4" w:space="0"/>
              <w:right w:val="single" w:color="auto" w:sz="4" w:space="0"/>
            </w:tcBorders>
            <w:vAlign w:val="center"/>
          </w:tcPr>
          <w:p w14:paraId="082E6445">
            <w:pPr>
              <w:widowControl/>
              <w:spacing w:line="360" w:lineRule="auto"/>
              <w:jc w:val="center"/>
              <w:outlineLvl w:val="9"/>
              <w:rPr>
                <w:rFonts w:hint="eastAsia" w:ascii="宋体" w:hAnsi="宋体" w:eastAsia="宋体" w:cs="宋体"/>
                <w:color w:val="auto"/>
                <w:kern w:val="0"/>
                <w:sz w:val="24"/>
                <w:szCs w:val="24"/>
              </w:rPr>
            </w:pPr>
          </w:p>
        </w:tc>
        <w:tc>
          <w:tcPr>
            <w:tcW w:w="1554" w:type="dxa"/>
            <w:tcBorders>
              <w:top w:val="single" w:color="auto" w:sz="4" w:space="0"/>
              <w:left w:val="nil"/>
              <w:bottom w:val="single" w:color="auto" w:sz="4" w:space="0"/>
              <w:right w:val="single" w:color="auto" w:sz="4" w:space="0"/>
            </w:tcBorders>
            <w:vAlign w:val="center"/>
          </w:tcPr>
          <w:p w14:paraId="785821DE">
            <w:pPr>
              <w:widowControl/>
              <w:spacing w:line="360" w:lineRule="auto"/>
              <w:jc w:val="center"/>
              <w:outlineLvl w:val="9"/>
              <w:rPr>
                <w:rFonts w:hint="eastAsia" w:ascii="宋体" w:hAnsi="宋体" w:eastAsia="宋体" w:cs="宋体"/>
                <w:color w:val="auto"/>
                <w:kern w:val="0"/>
                <w:sz w:val="24"/>
                <w:szCs w:val="24"/>
              </w:rPr>
            </w:pPr>
          </w:p>
        </w:tc>
        <w:tc>
          <w:tcPr>
            <w:tcW w:w="1272" w:type="dxa"/>
            <w:tcBorders>
              <w:top w:val="single" w:color="auto" w:sz="4" w:space="0"/>
              <w:left w:val="nil"/>
              <w:bottom w:val="single" w:color="auto" w:sz="4" w:space="0"/>
              <w:right w:val="single" w:color="auto" w:sz="4" w:space="0"/>
            </w:tcBorders>
            <w:vAlign w:val="center"/>
          </w:tcPr>
          <w:p w14:paraId="1C00E4D9">
            <w:pPr>
              <w:widowControl/>
              <w:spacing w:line="360" w:lineRule="auto"/>
              <w:jc w:val="center"/>
              <w:outlineLvl w:val="9"/>
              <w:rPr>
                <w:rFonts w:hint="eastAsia" w:ascii="宋体" w:hAnsi="宋体" w:eastAsia="宋体" w:cs="宋体"/>
                <w:color w:val="auto"/>
                <w:kern w:val="0"/>
                <w:sz w:val="24"/>
                <w:szCs w:val="24"/>
              </w:rPr>
            </w:pPr>
          </w:p>
        </w:tc>
        <w:tc>
          <w:tcPr>
            <w:tcW w:w="1414" w:type="dxa"/>
            <w:tcBorders>
              <w:top w:val="single" w:color="auto" w:sz="4" w:space="0"/>
              <w:left w:val="nil"/>
              <w:bottom w:val="single" w:color="auto" w:sz="4" w:space="0"/>
              <w:right w:val="single" w:color="auto" w:sz="4" w:space="0"/>
            </w:tcBorders>
            <w:vAlign w:val="center"/>
          </w:tcPr>
          <w:p w14:paraId="7DDA40D2">
            <w:pPr>
              <w:widowControl/>
              <w:spacing w:line="360" w:lineRule="auto"/>
              <w:jc w:val="center"/>
              <w:outlineLvl w:val="9"/>
              <w:rPr>
                <w:rFonts w:hint="eastAsia" w:ascii="宋体" w:hAnsi="宋体" w:eastAsia="宋体" w:cs="宋体"/>
                <w:color w:val="auto"/>
                <w:kern w:val="0"/>
                <w:sz w:val="24"/>
                <w:szCs w:val="24"/>
              </w:rPr>
            </w:pPr>
          </w:p>
        </w:tc>
        <w:tc>
          <w:tcPr>
            <w:tcW w:w="1130" w:type="dxa"/>
            <w:tcBorders>
              <w:top w:val="single" w:color="auto" w:sz="4" w:space="0"/>
              <w:left w:val="nil"/>
              <w:bottom w:val="single" w:color="auto" w:sz="4" w:space="0"/>
              <w:right w:val="single" w:color="auto" w:sz="4" w:space="0"/>
            </w:tcBorders>
            <w:vAlign w:val="center"/>
          </w:tcPr>
          <w:p w14:paraId="3FF59366">
            <w:pPr>
              <w:widowControl/>
              <w:spacing w:line="360" w:lineRule="auto"/>
              <w:jc w:val="center"/>
              <w:outlineLvl w:val="9"/>
              <w:rPr>
                <w:rFonts w:hint="eastAsia" w:ascii="宋体" w:hAnsi="宋体" w:eastAsia="宋体" w:cs="宋体"/>
                <w:color w:val="auto"/>
                <w:kern w:val="0"/>
                <w:sz w:val="24"/>
                <w:szCs w:val="24"/>
              </w:rPr>
            </w:pPr>
          </w:p>
        </w:tc>
        <w:tc>
          <w:tcPr>
            <w:tcW w:w="1129" w:type="dxa"/>
            <w:tcBorders>
              <w:top w:val="single" w:color="auto" w:sz="4" w:space="0"/>
              <w:left w:val="nil"/>
              <w:bottom w:val="single" w:color="auto" w:sz="4" w:space="0"/>
              <w:right w:val="single" w:color="auto" w:sz="4" w:space="0"/>
            </w:tcBorders>
            <w:vAlign w:val="center"/>
          </w:tcPr>
          <w:p w14:paraId="40531C32">
            <w:pPr>
              <w:widowControl/>
              <w:spacing w:line="360" w:lineRule="auto"/>
              <w:jc w:val="center"/>
              <w:outlineLvl w:val="9"/>
              <w:rPr>
                <w:rFonts w:hint="eastAsia" w:ascii="宋体" w:hAnsi="宋体" w:eastAsia="宋体" w:cs="宋体"/>
                <w:color w:val="auto"/>
                <w:kern w:val="0"/>
                <w:sz w:val="24"/>
                <w:szCs w:val="24"/>
              </w:rPr>
            </w:pPr>
          </w:p>
        </w:tc>
        <w:tc>
          <w:tcPr>
            <w:tcW w:w="1220" w:type="dxa"/>
            <w:tcBorders>
              <w:top w:val="single" w:color="auto" w:sz="4" w:space="0"/>
              <w:left w:val="nil"/>
              <w:bottom w:val="single" w:color="auto" w:sz="4" w:space="0"/>
              <w:right w:val="single" w:color="auto" w:sz="4" w:space="0"/>
            </w:tcBorders>
            <w:vAlign w:val="center"/>
          </w:tcPr>
          <w:p w14:paraId="758C50B7">
            <w:pPr>
              <w:widowControl/>
              <w:spacing w:line="360" w:lineRule="auto"/>
              <w:jc w:val="center"/>
              <w:outlineLvl w:val="9"/>
              <w:rPr>
                <w:rFonts w:hint="eastAsia" w:ascii="宋体" w:hAnsi="宋体" w:eastAsia="宋体" w:cs="宋体"/>
                <w:color w:val="auto"/>
                <w:kern w:val="0"/>
                <w:sz w:val="24"/>
                <w:szCs w:val="24"/>
              </w:rPr>
            </w:pPr>
          </w:p>
        </w:tc>
        <w:tc>
          <w:tcPr>
            <w:tcW w:w="688" w:type="dxa"/>
            <w:tcBorders>
              <w:top w:val="single" w:color="auto" w:sz="4" w:space="0"/>
              <w:left w:val="nil"/>
              <w:bottom w:val="single" w:color="auto" w:sz="4" w:space="0"/>
              <w:right w:val="single" w:color="auto" w:sz="4" w:space="0"/>
            </w:tcBorders>
          </w:tcPr>
          <w:p w14:paraId="3B9A35AB">
            <w:pPr>
              <w:widowControl/>
              <w:spacing w:line="360" w:lineRule="auto"/>
              <w:jc w:val="center"/>
              <w:outlineLvl w:val="9"/>
              <w:rPr>
                <w:rFonts w:hint="eastAsia" w:ascii="宋体" w:hAnsi="宋体" w:eastAsia="宋体" w:cs="宋体"/>
                <w:color w:val="auto"/>
                <w:kern w:val="0"/>
                <w:sz w:val="24"/>
                <w:szCs w:val="24"/>
              </w:rPr>
            </w:pPr>
          </w:p>
        </w:tc>
      </w:tr>
      <w:tr w14:paraId="7ACE267E">
        <w:tblPrEx>
          <w:tblCellMar>
            <w:top w:w="0" w:type="dxa"/>
            <w:left w:w="108" w:type="dxa"/>
            <w:bottom w:w="0" w:type="dxa"/>
            <w:right w:w="108" w:type="dxa"/>
          </w:tblCellMar>
        </w:tblPrEx>
        <w:trPr>
          <w:trHeight w:val="648"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7EE7B642">
            <w:pPr>
              <w:widowControl/>
              <w:spacing w:line="360" w:lineRule="auto"/>
              <w:jc w:val="center"/>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1413" w:type="dxa"/>
            <w:tcBorders>
              <w:top w:val="single" w:color="auto" w:sz="4" w:space="0"/>
              <w:left w:val="nil"/>
              <w:bottom w:val="single" w:color="auto" w:sz="4" w:space="0"/>
              <w:right w:val="single" w:color="auto" w:sz="4" w:space="0"/>
            </w:tcBorders>
            <w:vAlign w:val="center"/>
          </w:tcPr>
          <w:p w14:paraId="2A97A687">
            <w:pPr>
              <w:widowControl/>
              <w:spacing w:line="360" w:lineRule="auto"/>
              <w:jc w:val="center"/>
              <w:outlineLvl w:val="9"/>
              <w:rPr>
                <w:rFonts w:hint="eastAsia" w:ascii="宋体" w:hAnsi="宋体" w:eastAsia="宋体" w:cs="宋体"/>
                <w:color w:val="auto"/>
                <w:kern w:val="0"/>
                <w:sz w:val="24"/>
                <w:szCs w:val="24"/>
              </w:rPr>
            </w:pPr>
          </w:p>
        </w:tc>
        <w:tc>
          <w:tcPr>
            <w:tcW w:w="1554" w:type="dxa"/>
            <w:tcBorders>
              <w:top w:val="single" w:color="auto" w:sz="4" w:space="0"/>
              <w:left w:val="nil"/>
              <w:bottom w:val="single" w:color="auto" w:sz="4" w:space="0"/>
              <w:right w:val="single" w:color="auto" w:sz="4" w:space="0"/>
            </w:tcBorders>
            <w:vAlign w:val="center"/>
          </w:tcPr>
          <w:p w14:paraId="3D4EE483">
            <w:pPr>
              <w:widowControl/>
              <w:spacing w:line="360" w:lineRule="auto"/>
              <w:jc w:val="center"/>
              <w:outlineLvl w:val="9"/>
              <w:rPr>
                <w:rFonts w:hint="eastAsia" w:ascii="宋体" w:hAnsi="宋体" w:eastAsia="宋体" w:cs="宋体"/>
                <w:color w:val="auto"/>
                <w:kern w:val="0"/>
                <w:sz w:val="24"/>
                <w:szCs w:val="24"/>
              </w:rPr>
            </w:pPr>
          </w:p>
        </w:tc>
        <w:tc>
          <w:tcPr>
            <w:tcW w:w="1272" w:type="dxa"/>
            <w:tcBorders>
              <w:top w:val="single" w:color="auto" w:sz="4" w:space="0"/>
              <w:left w:val="nil"/>
              <w:bottom w:val="single" w:color="auto" w:sz="4" w:space="0"/>
              <w:right w:val="single" w:color="auto" w:sz="4" w:space="0"/>
            </w:tcBorders>
            <w:vAlign w:val="center"/>
          </w:tcPr>
          <w:p w14:paraId="3A2AFD4A">
            <w:pPr>
              <w:widowControl/>
              <w:spacing w:line="360" w:lineRule="auto"/>
              <w:jc w:val="center"/>
              <w:outlineLvl w:val="9"/>
              <w:rPr>
                <w:rFonts w:hint="eastAsia" w:ascii="宋体" w:hAnsi="宋体" w:eastAsia="宋体" w:cs="宋体"/>
                <w:color w:val="auto"/>
                <w:kern w:val="0"/>
                <w:sz w:val="24"/>
                <w:szCs w:val="24"/>
              </w:rPr>
            </w:pPr>
          </w:p>
        </w:tc>
        <w:tc>
          <w:tcPr>
            <w:tcW w:w="1414" w:type="dxa"/>
            <w:tcBorders>
              <w:top w:val="single" w:color="auto" w:sz="4" w:space="0"/>
              <w:left w:val="nil"/>
              <w:bottom w:val="single" w:color="auto" w:sz="4" w:space="0"/>
              <w:right w:val="single" w:color="auto" w:sz="4" w:space="0"/>
            </w:tcBorders>
            <w:vAlign w:val="center"/>
          </w:tcPr>
          <w:p w14:paraId="113A684C">
            <w:pPr>
              <w:widowControl/>
              <w:spacing w:line="360" w:lineRule="auto"/>
              <w:jc w:val="center"/>
              <w:outlineLvl w:val="9"/>
              <w:rPr>
                <w:rFonts w:hint="eastAsia" w:ascii="宋体" w:hAnsi="宋体" w:eastAsia="宋体" w:cs="宋体"/>
                <w:color w:val="auto"/>
                <w:kern w:val="0"/>
                <w:sz w:val="24"/>
                <w:szCs w:val="24"/>
              </w:rPr>
            </w:pPr>
          </w:p>
        </w:tc>
        <w:tc>
          <w:tcPr>
            <w:tcW w:w="1130" w:type="dxa"/>
            <w:tcBorders>
              <w:top w:val="single" w:color="auto" w:sz="4" w:space="0"/>
              <w:left w:val="nil"/>
              <w:bottom w:val="single" w:color="auto" w:sz="4" w:space="0"/>
              <w:right w:val="single" w:color="auto" w:sz="4" w:space="0"/>
            </w:tcBorders>
            <w:vAlign w:val="center"/>
          </w:tcPr>
          <w:p w14:paraId="0D9978DD">
            <w:pPr>
              <w:widowControl/>
              <w:spacing w:line="360" w:lineRule="auto"/>
              <w:jc w:val="center"/>
              <w:outlineLvl w:val="9"/>
              <w:rPr>
                <w:rFonts w:hint="eastAsia" w:ascii="宋体" w:hAnsi="宋体" w:eastAsia="宋体" w:cs="宋体"/>
                <w:color w:val="auto"/>
                <w:kern w:val="0"/>
                <w:sz w:val="24"/>
                <w:szCs w:val="24"/>
              </w:rPr>
            </w:pPr>
          </w:p>
        </w:tc>
        <w:tc>
          <w:tcPr>
            <w:tcW w:w="1129" w:type="dxa"/>
            <w:tcBorders>
              <w:top w:val="single" w:color="auto" w:sz="4" w:space="0"/>
              <w:left w:val="nil"/>
              <w:bottom w:val="single" w:color="auto" w:sz="4" w:space="0"/>
              <w:right w:val="single" w:color="auto" w:sz="4" w:space="0"/>
            </w:tcBorders>
            <w:vAlign w:val="center"/>
          </w:tcPr>
          <w:p w14:paraId="7B6BC147">
            <w:pPr>
              <w:widowControl/>
              <w:spacing w:line="360" w:lineRule="auto"/>
              <w:jc w:val="center"/>
              <w:outlineLvl w:val="9"/>
              <w:rPr>
                <w:rFonts w:hint="eastAsia" w:ascii="宋体" w:hAnsi="宋体" w:eastAsia="宋体" w:cs="宋体"/>
                <w:color w:val="auto"/>
                <w:kern w:val="0"/>
                <w:sz w:val="24"/>
                <w:szCs w:val="24"/>
              </w:rPr>
            </w:pPr>
          </w:p>
        </w:tc>
        <w:tc>
          <w:tcPr>
            <w:tcW w:w="1220" w:type="dxa"/>
            <w:tcBorders>
              <w:top w:val="single" w:color="auto" w:sz="4" w:space="0"/>
              <w:left w:val="nil"/>
              <w:bottom w:val="single" w:color="auto" w:sz="4" w:space="0"/>
              <w:right w:val="single" w:color="auto" w:sz="4" w:space="0"/>
            </w:tcBorders>
            <w:vAlign w:val="center"/>
          </w:tcPr>
          <w:p w14:paraId="6A687760">
            <w:pPr>
              <w:widowControl/>
              <w:spacing w:line="360" w:lineRule="auto"/>
              <w:jc w:val="center"/>
              <w:outlineLvl w:val="9"/>
              <w:rPr>
                <w:rFonts w:hint="eastAsia" w:ascii="宋体" w:hAnsi="宋体" w:eastAsia="宋体" w:cs="宋体"/>
                <w:color w:val="auto"/>
                <w:kern w:val="0"/>
                <w:sz w:val="24"/>
                <w:szCs w:val="24"/>
              </w:rPr>
            </w:pPr>
          </w:p>
        </w:tc>
        <w:tc>
          <w:tcPr>
            <w:tcW w:w="688" w:type="dxa"/>
            <w:tcBorders>
              <w:top w:val="single" w:color="auto" w:sz="4" w:space="0"/>
              <w:left w:val="nil"/>
              <w:bottom w:val="single" w:color="auto" w:sz="4" w:space="0"/>
              <w:right w:val="single" w:color="auto" w:sz="4" w:space="0"/>
            </w:tcBorders>
          </w:tcPr>
          <w:p w14:paraId="71F30E71">
            <w:pPr>
              <w:widowControl/>
              <w:spacing w:line="360" w:lineRule="auto"/>
              <w:jc w:val="center"/>
              <w:outlineLvl w:val="9"/>
              <w:rPr>
                <w:rFonts w:hint="eastAsia" w:ascii="宋体" w:hAnsi="宋体" w:eastAsia="宋体" w:cs="宋体"/>
                <w:color w:val="auto"/>
                <w:kern w:val="0"/>
                <w:sz w:val="24"/>
                <w:szCs w:val="24"/>
              </w:rPr>
            </w:pPr>
          </w:p>
        </w:tc>
      </w:tr>
      <w:tr w14:paraId="45619BD7">
        <w:tblPrEx>
          <w:tblCellMar>
            <w:top w:w="0" w:type="dxa"/>
            <w:left w:w="108" w:type="dxa"/>
            <w:bottom w:w="0" w:type="dxa"/>
            <w:right w:w="108" w:type="dxa"/>
          </w:tblCellMar>
        </w:tblPrEx>
        <w:trPr>
          <w:trHeight w:val="648"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7F6C6D6C">
            <w:pPr>
              <w:widowControl/>
              <w:spacing w:line="360" w:lineRule="auto"/>
              <w:jc w:val="center"/>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1413" w:type="dxa"/>
            <w:tcBorders>
              <w:top w:val="single" w:color="auto" w:sz="4" w:space="0"/>
              <w:left w:val="nil"/>
              <w:bottom w:val="single" w:color="auto" w:sz="4" w:space="0"/>
              <w:right w:val="single" w:color="auto" w:sz="4" w:space="0"/>
            </w:tcBorders>
            <w:vAlign w:val="center"/>
          </w:tcPr>
          <w:p w14:paraId="4375E16E">
            <w:pPr>
              <w:widowControl/>
              <w:spacing w:line="360" w:lineRule="auto"/>
              <w:jc w:val="center"/>
              <w:outlineLvl w:val="9"/>
              <w:rPr>
                <w:rFonts w:hint="eastAsia" w:ascii="宋体" w:hAnsi="宋体" w:eastAsia="宋体" w:cs="宋体"/>
                <w:color w:val="auto"/>
                <w:kern w:val="0"/>
                <w:sz w:val="24"/>
                <w:szCs w:val="24"/>
              </w:rPr>
            </w:pPr>
          </w:p>
        </w:tc>
        <w:tc>
          <w:tcPr>
            <w:tcW w:w="1554" w:type="dxa"/>
            <w:tcBorders>
              <w:top w:val="single" w:color="auto" w:sz="4" w:space="0"/>
              <w:left w:val="nil"/>
              <w:bottom w:val="single" w:color="auto" w:sz="4" w:space="0"/>
              <w:right w:val="single" w:color="auto" w:sz="4" w:space="0"/>
            </w:tcBorders>
            <w:vAlign w:val="center"/>
          </w:tcPr>
          <w:p w14:paraId="3A4F2566">
            <w:pPr>
              <w:widowControl/>
              <w:spacing w:line="360" w:lineRule="auto"/>
              <w:jc w:val="center"/>
              <w:outlineLvl w:val="9"/>
              <w:rPr>
                <w:rFonts w:hint="eastAsia" w:ascii="宋体" w:hAnsi="宋体" w:eastAsia="宋体" w:cs="宋体"/>
                <w:color w:val="auto"/>
                <w:kern w:val="0"/>
                <w:sz w:val="24"/>
                <w:szCs w:val="24"/>
              </w:rPr>
            </w:pPr>
          </w:p>
        </w:tc>
        <w:tc>
          <w:tcPr>
            <w:tcW w:w="1272" w:type="dxa"/>
            <w:tcBorders>
              <w:top w:val="single" w:color="auto" w:sz="4" w:space="0"/>
              <w:left w:val="nil"/>
              <w:bottom w:val="single" w:color="auto" w:sz="4" w:space="0"/>
              <w:right w:val="single" w:color="auto" w:sz="4" w:space="0"/>
            </w:tcBorders>
            <w:vAlign w:val="center"/>
          </w:tcPr>
          <w:p w14:paraId="6110E3F7">
            <w:pPr>
              <w:widowControl/>
              <w:spacing w:line="360" w:lineRule="auto"/>
              <w:jc w:val="center"/>
              <w:outlineLvl w:val="9"/>
              <w:rPr>
                <w:rFonts w:hint="eastAsia" w:ascii="宋体" w:hAnsi="宋体" w:eastAsia="宋体" w:cs="宋体"/>
                <w:color w:val="auto"/>
                <w:kern w:val="0"/>
                <w:sz w:val="24"/>
                <w:szCs w:val="24"/>
              </w:rPr>
            </w:pPr>
          </w:p>
        </w:tc>
        <w:tc>
          <w:tcPr>
            <w:tcW w:w="1414" w:type="dxa"/>
            <w:tcBorders>
              <w:top w:val="single" w:color="auto" w:sz="4" w:space="0"/>
              <w:left w:val="nil"/>
              <w:bottom w:val="single" w:color="auto" w:sz="4" w:space="0"/>
              <w:right w:val="single" w:color="auto" w:sz="4" w:space="0"/>
            </w:tcBorders>
            <w:vAlign w:val="center"/>
          </w:tcPr>
          <w:p w14:paraId="21DC139C">
            <w:pPr>
              <w:widowControl/>
              <w:spacing w:line="360" w:lineRule="auto"/>
              <w:jc w:val="center"/>
              <w:outlineLvl w:val="9"/>
              <w:rPr>
                <w:rFonts w:hint="eastAsia" w:ascii="宋体" w:hAnsi="宋体" w:eastAsia="宋体" w:cs="宋体"/>
                <w:color w:val="auto"/>
                <w:kern w:val="0"/>
                <w:sz w:val="24"/>
                <w:szCs w:val="24"/>
              </w:rPr>
            </w:pPr>
          </w:p>
        </w:tc>
        <w:tc>
          <w:tcPr>
            <w:tcW w:w="1130" w:type="dxa"/>
            <w:tcBorders>
              <w:top w:val="single" w:color="auto" w:sz="4" w:space="0"/>
              <w:left w:val="nil"/>
              <w:bottom w:val="single" w:color="auto" w:sz="4" w:space="0"/>
              <w:right w:val="single" w:color="auto" w:sz="4" w:space="0"/>
            </w:tcBorders>
            <w:vAlign w:val="center"/>
          </w:tcPr>
          <w:p w14:paraId="7699ED57">
            <w:pPr>
              <w:widowControl/>
              <w:spacing w:line="360" w:lineRule="auto"/>
              <w:jc w:val="center"/>
              <w:outlineLvl w:val="9"/>
              <w:rPr>
                <w:rFonts w:hint="eastAsia" w:ascii="宋体" w:hAnsi="宋体" w:eastAsia="宋体" w:cs="宋体"/>
                <w:color w:val="auto"/>
                <w:kern w:val="0"/>
                <w:sz w:val="24"/>
                <w:szCs w:val="24"/>
              </w:rPr>
            </w:pPr>
          </w:p>
        </w:tc>
        <w:tc>
          <w:tcPr>
            <w:tcW w:w="1129" w:type="dxa"/>
            <w:tcBorders>
              <w:top w:val="single" w:color="auto" w:sz="4" w:space="0"/>
              <w:left w:val="nil"/>
              <w:bottom w:val="single" w:color="auto" w:sz="4" w:space="0"/>
              <w:right w:val="single" w:color="auto" w:sz="4" w:space="0"/>
            </w:tcBorders>
            <w:vAlign w:val="center"/>
          </w:tcPr>
          <w:p w14:paraId="0B966CA8">
            <w:pPr>
              <w:widowControl/>
              <w:spacing w:line="360" w:lineRule="auto"/>
              <w:jc w:val="center"/>
              <w:outlineLvl w:val="9"/>
              <w:rPr>
                <w:rFonts w:hint="eastAsia" w:ascii="宋体" w:hAnsi="宋体" w:eastAsia="宋体" w:cs="宋体"/>
                <w:color w:val="auto"/>
                <w:kern w:val="0"/>
                <w:sz w:val="24"/>
                <w:szCs w:val="24"/>
              </w:rPr>
            </w:pPr>
          </w:p>
        </w:tc>
        <w:tc>
          <w:tcPr>
            <w:tcW w:w="1220" w:type="dxa"/>
            <w:tcBorders>
              <w:top w:val="single" w:color="auto" w:sz="4" w:space="0"/>
              <w:left w:val="nil"/>
              <w:bottom w:val="single" w:color="auto" w:sz="4" w:space="0"/>
              <w:right w:val="single" w:color="auto" w:sz="4" w:space="0"/>
            </w:tcBorders>
            <w:vAlign w:val="center"/>
          </w:tcPr>
          <w:p w14:paraId="332759E1">
            <w:pPr>
              <w:widowControl/>
              <w:spacing w:line="360" w:lineRule="auto"/>
              <w:jc w:val="center"/>
              <w:outlineLvl w:val="9"/>
              <w:rPr>
                <w:rFonts w:hint="eastAsia" w:ascii="宋体" w:hAnsi="宋体" w:eastAsia="宋体" w:cs="宋体"/>
                <w:color w:val="auto"/>
                <w:kern w:val="0"/>
                <w:sz w:val="24"/>
                <w:szCs w:val="24"/>
              </w:rPr>
            </w:pPr>
          </w:p>
        </w:tc>
        <w:tc>
          <w:tcPr>
            <w:tcW w:w="688" w:type="dxa"/>
            <w:tcBorders>
              <w:top w:val="single" w:color="auto" w:sz="4" w:space="0"/>
              <w:left w:val="nil"/>
              <w:bottom w:val="single" w:color="auto" w:sz="4" w:space="0"/>
              <w:right w:val="single" w:color="auto" w:sz="4" w:space="0"/>
            </w:tcBorders>
          </w:tcPr>
          <w:p w14:paraId="1D2C4E20">
            <w:pPr>
              <w:widowControl/>
              <w:spacing w:line="360" w:lineRule="auto"/>
              <w:jc w:val="center"/>
              <w:outlineLvl w:val="9"/>
              <w:rPr>
                <w:rFonts w:hint="eastAsia" w:ascii="宋体" w:hAnsi="宋体" w:eastAsia="宋体" w:cs="宋体"/>
                <w:color w:val="auto"/>
                <w:kern w:val="0"/>
                <w:sz w:val="24"/>
                <w:szCs w:val="24"/>
              </w:rPr>
            </w:pPr>
          </w:p>
        </w:tc>
      </w:tr>
      <w:tr w14:paraId="7D0AB325">
        <w:tblPrEx>
          <w:tblCellMar>
            <w:top w:w="0" w:type="dxa"/>
            <w:left w:w="108" w:type="dxa"/>
            <w:bottom w:w="0" w:type="dxa"/>
            <w:right w:w="108" w:type="dxa"/>
          </w:tblCellMar>
        </w:tblPrEx>
        <w:trPr>
          <w:trHeight w:val="660"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6B67F471">
            <w:pPr>
              <w:widowControl/>
              <w:spacing w:line="360" w:lineRule="auto"/>
              <w:jc w:val="center"/>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p>
        </w:tc>
        <w:tc>
          <w:tcPr>
            <w:tcW w:w="1413" w:type="dxa"/>
            <w:tcBorders>
              <w:top w:val="single" w:color="auto" w:sz="4" w:space="0"/>
              <w:left w:val="nil"/>
              <w:bottom w:val="single" w:color="auto" w:sz="4" w:space="0"/>
              <w:right w:val="single" w:color="auto" w:sz="4" w:space="0"/>
            </w:tcBorders>
            <w:vAlign w:val="center"/>
          </w:tcPr>
          <w:p w14:paraId="33DD7EBB">
            <w:pPr>
              <w:widowControl/>
              <w:spacing w:line="360" w:lineRule="auto"/>
              <w:jc w:val="center"/>
              <w:outlineLvl w:val="9"/>
              <w:rPr>
                <w:rFonts w:hint="eastAsia" w:ascii="宋体" w:hAnsi="宋体" w:eastAsia="宋体" w:cs="宋体"/>
                <w:color w:val="auto"/>
                <w:kern w:val="0"/>
                <w:sz w:val="24"/>
                <w:szCs w:val="24"/>
              </w:rPr>
            </w:pPr>
          </w:p>
        </w:tc>
        <w:tc>
          <w:tcPr>
            <w:tcW w:w="1554" w:type="dxa"/>
            <w:tcBorders>
              <w:top w:val="single" w:color="auto" w:sz="4" w:space="0"/>
              <w:left w:val="nil"/>
              <w:bottom w:val="single" w:color="auto" w:sz="4" w:space="0"/>
              <w:right w:val="single" w:color="auto" w:sz="4" w:space="0"/>
            </w:tcBorders>
            <w:vAlign w:val="center"/>
          </w:tcPr>
          <w:p w14:paraId="333F2850">
            <w:pPr>
              <w:widowControl/>
              <w:spacing w:line="360" w:lineRule="auto"/>
              <w:jc w:val="center"/>
              <w:outlineLvl w:val="9"/>
              <w:rPr>
                <w:rFonts w:hint="eastAsia" w:ascii="宋体" w:hAnsi="宋体" w:eastAsia="宋体" w:cs="宋体"/>
                <w:color w:val="auto"/>
                <w:kern w:val="0"/>
                <w:sz w:val="24"/>
                <w:szCs w:val="24"/>
              </w:rPr>
            </w:pPr>
          </w:p>
        </w:tc>
        <w:tc>
          <w:tcPr>
            <w:tcW w:w="1272" w:type="dxa"/>
            <w:tcBorders>
              <w:top w:val="single" w:color="auto" w:sz="4" w:space="0"/>
              <w:left w:val="nil"/>
              <w:bottom w:val="single" w:color="auto" w:sz="4" w:space="0"/>
              <w:right w:val="single" w:color="auto" w:sz="4" w:space="0"/>
            </w:tcBorders>
            <w:vAlign w:val="center"/>
          </w:tcPr>
          <w:p w14:paraId="1BDF3386">
            <w:pPr>
              <w:widowControl/>
              <w:spacing w:line="360" w:lineRule="auto"/>
              <w:jc w:val="center"/>
              <w:outlineLvl w:val="9"/>
              <w:rPr>
                <w:rFonts w:hint="eastAsia" w:ascii="宋体" w:hAnsi="宋体" w:eastAsia="宋体" w:cs="宋体"/>
                <w:color w:val="auto"/>
                <w:kern w:val="0"/>
                <w:sz w:val="24"/>
                <w:szCs w:val="24"/>
              </w:rPr>
            </w:pPr>
          </w:p>
        </w:tc>
        <w:tc>
          <w:tcPr>
            <w:tcW w:w="1414" w:type="dxa"/>
            <w:tcBorders>
              <w:top w:val="single" w:color="auto" w:sz="4" w:space="0"/>
              <w:left w:val="nil"/>
              <w:bottom w:val="single" w:color="auto" w:sz="4" w:space="0"/>
              <w:right w:val="single" w:color="auto" w:sz="4" w:space="0"/>
            </w:tcBorders>
            <w:vAlign w:val="center"/>
          </w:tcPr>
          <w:p w14:paraId="31B23D4E">
            <w:pPr>
              <w:widowControl/>
              <w:spacing w:line="360" w:lineRule="auto"/>
              <w:jc w:val="center"/>
              <w:outlineLvl w:val="9"/>
              <w:rPr>
                <w:rFonts w:hint="eastAsia" w:ascii="宋体" w:hAnsi="宋体" w:eastAsia="宋体" w:cs="宋体"/>
                <w:color w:val="auto"/>
                <w:kern w:val="0"/>
                <w:sz w:val="24"/>
                <w:szCs w:val="24"/>
              </w:rPr>
            </w:pPr>
          </w:p>
        </w:tc>
        <w:tc>
          <w:tcPr>
            <w:tcW w:w="1130" w:type="dxa"/>
            <w:tcBorders>
              <w:top w:val="single" w:color="auto" w:sz="4" w:space="0"/>
              <w:left w:val="nil"/>
              <w:bottom w:val="single" w:color="auto" w:sz="4" w:space="0"/>
              <w:right w:val="single" w:color="auto" w:sz="4" w:space="0"/>
            </w:tcBorders>
            <w:vAlign w:val="center"/>
          </w:tcPr>
          <w:p w14:paraId="7B7CE7E2">
            <w:pPr>
              <w:widowControl/>
              <w:spacing w:line="360" w:lineRule="auto"/>
              <w:jc w:val="center"/>
              <w:outlineLvl w:val="9"/>
              <w:rPr>
                <w:rFonts w:hint="eastAsia" w:ascii="宋体" w:hAnsi="宋体" w:eastAsia="宋体" w:cs="宋体"/>
                <w:color w:val="auto"/>
                <w:kern w:val="0"/>
                <w:sz w:val="24"/>
                <w:szCs w:val="24"/>
              </w:rPr>
            </w:pPr>
          </w:p>
        </w:tc>
        <w:tc>
          <w:tcPr>
            <w:tcW w:w="1129" w:type="dxa"/>
            <w:tcBorders>
              <w:top w:val="single" w:color="auto" w:sz="4" w:space="0"/>
              <w:left w:val="nil"/>
              <w:bottom w:val="single" w:color="auto" w:sz="4" w:space="0"/>
              <w:right w:val="single" w:color="auto" w:sz="4" w:space="0"/>
            </w:tcBorders>
            <w:vAlign w:val="center"/>
          </w:tcPr>
          <w:p w14:paraId="48361732">
            <w:pPr>
              <w:widowControl/>
              <w:spacing w:line="360" w:lineRule="auto"/>
              <w:jc w:val="center"/>
              <w:outlineLvl w:val="9"/>
              <w:rPr>
                <w:rFonts w:hint="eastAsia" w:ascii="宋体" w:hAnsi="宋体" w:eastAsia="宋体" w:cs="宋体"/>
                <w:color w:val="auto"/>
                <w:kern w:val="0"/>
                <w:sz w:val="24"/>
                <w:szCs w:val="24"/>
              </w:rPr>
            </w:pPr>
          </w:p>
        </w:tc>
        <w:tc>
          <w:tcPr>
            <w:tcW w:w="1220" w:type="dxa"/>
            <w:tcBorders>
              <w:top w:val="single" w:color="auto" w:sz="4" w:space="0"/>
              <w:left w:val="nil"/>
              <w:bottom w:val="single" w:color="auto" w:sz="4" w:space="0"/>
              <w:right w:val="single" w:color="auto" w:sz="4" w:space="0"/>
            </w:tcBorders>
            <w:vAlign w:val="center"/>
          </w:tcPr>
          <w:p w14:paraId="6DE396B5">
            <w:pPr>
              <w:widowControl/>
              <w:spacing w:line="360" w:lineRule="auto"/>
              <w:jc w:val="center"/>
              <w:outlineLvl w:val="9"/>
              <w:rPr>
                <w:rFonts w:hint="eastAsia" w:ascii="宋体" w:hAnsi="宋体" w:eastAsia="宋体" w:cs="宋体"/>
                <w:color w:val="auto"/>
                <w:kern w:val="0"/>
                <w:sz w:val="24"/>
                <w:szCs w:val="24"/>
              </w:rPr>
            </w:pPr>
          </w:p>
        </w:tc>
        <w:tc>
          <w:tcPr>
            <w:tcW w:w="688" w:type="dxa"/>
            <w:tcBorders>
              <w:top w:val="single" w:color="auto" w:sz="4" w:space="0"/>
              <w:left w:val="nil"/>
              <w:bottom w:val="single" w:color="auto" w:sz="4" w:space="0"/>
              <w:right w:val="single" w:color="auto" w:sz="4" w:space="0"/>
            </w:tcBorders>
          </w:tcPr>
          <w:p w14:paraId="4F5BB45A">
            <w:pPr>
              <w:widowControl/>
              <w:spacing w:line="360" w:lineRule="auto"/>
              <w:jc w:val="center"/>
              <w:outlineLvl w:val="9"/>
              <w:rPr>
                <w:rFonts w:hint="eastAsia" w:ascii="宋体" w:hAnsi="宋体" w:eastAsia="宋体" w:cs="宋体"/>
                <w:color w:val="auto"/>
                <w:kern w:val="0"/>
                <w:sz w:val="24"/>
                <w:szCs w:val="24"/>
              </w:rPr>
            </w:pPr>
          </w:p>
        </w:tc>
      </w:tr>
    </w:tbl>
    <w:p w14:paraId="78CB869C">
      <w:pPr>
        <w:spacing w:line="360" w:lineRule="auto"/>
        <w:outlineLvl w:val="9"/>
        <w:rPr>
          <w:rFonts w:hint="eastAsia" w:ascii="宋体" w:hAnsi="宋体" w:eastAsia="宋体" w:cs="宋体"/>
          <w:color w:val="auto"/>
          <w:sz w:val="24"/>
          <w:szCs w:val="24"/>
        </w:rPr>
      </w:pPr>
    </w:p>
    <w:p w14:paraId="6CFB5F9B">
      <w:pPr>
        <w:spacing w:line="360" w:lineRule="auto"/>
        <w:outlineLvl w:val="9"/>
        <w:rPr>
          <w:rFonts w:hint="eastAsia" w:ascii="宋体" w:hAnsi="宋体" w:eastAsia="宋体" w:cs="宋体"/>
          <w:color w:val="auto"/>
          <w:sz w:val="24"/>
          <w:szCs w:val="24"/>
        </w:rPr>
      </w:pPr>
    </w:p>
    <w:p w14:paraId="47748800">
      <w:pPr>
        <w:spacing w:line="360" w:lineRule="auto"/>
        <w:ind w:left="360"/>
        <w:jc w:val="center"/>
        <w:outlineLvl w:val="9"/>
        <w:rPr>
          <w:rFonts w:hint="eastAsia" w:ascii="宋体" w:hAnsi="宋体" w:eastAsia="宋体" w:cs="宋体"/>
          <w:color w:val="auto"/>
          <w:sz w:val="24"/>
          <w:szCs w:val="24"/>
        </w:rPr>
      </w:pPr>
    </w:p>
    <w:p w14:paraId="5773C184">
      <w:pPr>
        <w:spacing w:line="360" w:lineRule="auto"/>
        <w:jc w:val="left"/>
        <w:outlineLvl w:val="9"/>
        <w:rPr>
          <w:rFonts w:hint="eastAsia" w:ascii="宋体" w:hAnsi="宋体" w:eastAsia="宋体" w:cs="宋体"/>
          <w:color w:val="auto"/>
          <w:sz w:val="24"/>
          <w:szCs w:val="24"/>
        </w:rPr>
      </w:pPr>
    </w:p>
    <w:p w14:paraId="2F08F42E">
      <w:pPr>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供应商名称：XXXX（盖单位公章）</w:t>
      </w:r>
    </w:p>
    <w:p w14:paraId="6D0E6A8D">
      <w:pPr>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日期: XXXX</w:t>
      </w:r>
    </w:p>
    <w:p w14:paraId="18930663">
      <w:pPr>
        <w:widowControl/>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5F4EAD1F">
      <w:pPr>
        <w:spacing w:line="360" w:lineRule="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格式2-</w:t>
      </w:r>
      <w:r>
        <w:rPr>
          <w:rFonts w:hint="eastAsia" w:ascii="宋体" w:hAnsi="宋体" w:cs="宋体"/>
          <w:b/>
          <w:bCs/>
          <w:color w:val="auto"/>
          <w:sz w:val="24"/>
          <w:szCs w:val="24"/>
          <w:lang w:val="en-US" w:eastAsia="zh-CN"/>
        </w:rPr>
        <w:t>9</w:t>
      </w:r>
    </w:p>
    <w:p w14:paraId="4C8D1209">
      <w:pPr>
        <w:spacing w:line="360" w:lineRule="auto"/>
        <w:jc w:val="center"/>
        <w:outlineLvl w:val="9"/>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八</w:t>
      </w:r>
      <w:r>
        <w:rPr>
          <w:rFonts w:hint="eastAsia" w:ascii="宋体" w:hAnsi="宋体" w:eastAsia="宋体" w:cs="宋体"/>
          <w:b/>
          <w:bCs/>
          <w:color w:val="auto"/>
          <w:sz w:val="24"/>
          <w:szCs w:val="24"/>
        </w:rPr>
        <w:t>、供应商类似项目业绩情况表</w:t>
      </w:r>
    </w:p>
    <w:p w14:paraId="6C799900">
      <w:pPr>
        <w:spacing w:line="360" w:lineRule="auto"/>
        <w:outlineLvl w:val="9"/>
        <w:rPr>
          <w:rFonts w:hint="eastAsia" w:ascii="宋体" w:hAnsi="宋体" w:eastAsia="宋体" w:cs="宋体"/>
          <w:color w:val="auto"/>
          <w:sz w:val="24"/>
          <w:szCs w:val="24"/>
        </w:rPr>
      </w:pPr>
    </w:p>
    <w:tbl>
      <w:tblPr>
        <w:tblStyle w:val="44"/>
        <w:tblW w:w="9530" w:type="dxa"/>
        <w:jc w:val="center"/>
        <w:tblLayout w:type="fixed"/>
        <w:tblCellMar>
          <w:top w:w="0" w:type="dxa"/>
          <w:left w:w="108" w:type="dxa"/>
          <w:bottom w:w="0" w:type="dxa"/>
          <w:right w:w="108" w:type="dxa"/>
        </w:tblCellMar>
      </w:tblPr>
      <w:tblGrid>
        <w:gridCol w:w="677"/>
        <w:gridCol w:w="8853"/>
      </w:tblGrid>
      <w:tr w14:paraId="5251D1C8">
        <w:tblPrEx>
          <w:tblCellMar>
            <w:top w:w="0" w:type="dxa"/>
            <w:left w:w="108" w:type="dxa"/>
            <w:bottom w:w="0" w:type="dxa"/>
            <w:right w:w="108" w:type="dxa"/>
          </w:tblCellMar>
        </w:tblPrEx>
        <w:trPr>
          <w:cantSplit/>
          <w:trHeight w:val="638" w:hRule="atLeast"/>
          <w:jc w:val="center"/>
        </w:trPr>
        <w:tc>
          <w:tcPr>
            <w:tcW w:w="677" w:type="dxa"/>
            <w:vMerge w:val="restart"/>
            <w:tcBorders>
              <w:top w:val="single" w:color="auto" w:sz="4" w:space="0"/>
              <w:left w:val="single" w:color="auto" w:sz="4" w:space="0"/>
              <w:bottom w:val="single" w:color="auto" w:sz="4" w:space="0"/>
              <w:right w:val="single" w:color="auto" w:sz="4" w:space="0"/>
            </w:tcBorders>
            <w:vAlign w:val="center"/>
          </w:tcPr>
          <w:p w14:paraId="3868A63E">
            <w:pPr>
              <w:pStyle w:val="12"/>
              <w:spacing w:line="360" w:lineRule="auto"/>
              <w:ind w:firstLine="0" w:firstLineChars="0"/>
              <w:jc w:val="center"/>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w:t>
            </w:r>
          </w:p>
        </w:tc>
        <w:tc>
          <w:tcPr>
            <w:tcW w:w="8853" w:type="dxa"/>
            <w:tcBorders>
              <w:top w:val="single" w:color="auto" w:sz="4" w:space="0"/>
              <w:left w:val="nil"/>
              <w:bottom w:val="single" w:color="auto" w:sz="4" w:space="0"/>
              <w:right w:val="single" w:color="auto" w:sz="4" w:space="0"/>
            </w:tcBorders>
            <w:vAlign w:val="center"/>
          </w:tcPr>
          <w:p w14:paraId="5188B6D0">
            <w:pPr>
              <w:spacing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合同名称：</w:t>
            </w:r>
          </w:p>
        </w:tc>
      </w:tr>
      <w:tr w14:paraId="173B7DCA">
        <w:tblPrEx>
          <w:tblCellMar>
            <w:top w:w="0" w:type="dxa"/>
            <w:left w:w="108" w:type="dxa"/>
            <w:bottom w:w="0" w:type="dxa"/>
            <w:right w:w="108" w:type="dxa"/>
          </w:tblCellMar>
        </w:tblPrEx>
        <w:trPr>
          <w:cantSplit/>
          <w:trHeight w:val="638" w:hRule="atLeast"/>
          <w:jc w:val="center"/>
        </w:trPr>
        <w:tc>
          <w:tcPr>
            <w:tcW w:w="677" w:type="dxa"/>
            <w:vMerge w:val="continue"/>
            <w:tcBorders>
              <w:top w:val="single" w:color="auto" w:sz="4" w:space="0"/>
              <w:left w:val="single" w:color="auto" w:sz="4" w:space="0"/>
              <w:bottom w:val="single" w:color="auto" w:sz="4" w:space="0"/>
              <w:right w:val="single" w:color="auto" w:sz="4" w:space="0"/>
            </w:tcBorders>
            <w:vAlign w:val="center"/>
          </w:tcPr>
          <w:p w14:paraId="3E0999D8">
            <w:pPr>
              <w:widowControl/>
              <w:spacing w:line="360" w:lineRule="auto"/>
              <w:jc w:val="left"/>
              <w:outlineLvl w:val="9"/>
              <w:rPr>
                <w:rFonts w:hint="eastAsia" w:ascii="宋体" w:hAnsi="宋体" w:eastAsia="宋体" w:cs="宋体"/>
                <w:color w:val="auto"/>
                <w:sz w:val="24"/>
                <w:szCs w:val="24"/>
              </w:rPr>
            </w:pPr>
          </w:p>
        </w:tc>
        <w:tc>
          <w:tcPr>
            <w:tcW w:w="8853" w:type="dxa"/>
            <w:tcBorders>
              <w:top w:val="single" w:color="auto" w:sz="4" w:space="0"/>
              <w:left w:val="nil"/>
              <w:bottom w:val="single" w:color="auto" w:sz="4" w:space="0"/>
              <w:right w:val="single" w:color="auto" w:sz="4" w:space="0"/>
            </w:tcBorders>
            <w:vAlign w:val="center"/>
          </w:tcPr>
          <w:p w14:paraId="32334153">
            <w:pPr>
              <w:spacing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业主名称：</w:t>
            </w:r>
          </w:p>
        </w:tc>
      </w:tr>
      <w:tr w14:paraId="5DBC779D">
        <w:tblPrEx>
          <w:tblCellMar>
            <w:top w:w="0" w:type="dxa"/>
            <w:left w:w="108" w:type="dxa"/>
            <w:bottom w:w="0" w:type="dxa"/>
            <w:right w:w="108" w:type="dxa"/>
          </w:tblCellMar>
        </w:tblPrEx>
        <w:trPr>
          <w:cantSplit/>
          <w:trHeight w:val="638" w:hRule="atLeast"/>
          <w:jc w:val="center"/>
        </w:trPr>
        <w:tc>
          <w:tcPr>
            <w:tcW w:w="677" w:type="dxa"/>
            <w:vMerge w:val="continue"/>
            <w:tcBorders>
              <w:top w:val="single" w:color="auto" w:sz="4" w:space="0"/>
              <w:left w:val="single" w:color="auto" w:sz="4" w:space="0"/>
              <w:bottom w:val="single" w:color="auto" w:sz="4" w:space="0"/>
              <w:right w:val="single" w:color="auto" w:sz="4" w:space="0"/>
            </w:tcBorders>
            <w:vAlign w:val="center"/>
          </w:tcPr>
          <w:p w14:paraId="7D6782B3">
            <w:pPr>
              <w:widowControl/>
              <w:spacing w:line="360" w:lineRule="auto"/>
              <w:jc w:val="left"/>
              <w:outlineLvl w:val="9"/>
              <w:rPr>
                <w:rFonts w:hint="eastAsia" w:ascii="宋体" w:hAnsi="宋体" w:eastAsia="宋体" w:cs="宋体"/>
                <w:color w:val="auto"/>
                <w:sz w:val="24"/>
                <w:szCs w:val="24"/>
              </w:rPr>
            </w:pPr>
          </w:p>
        </w:tc>
        <w:tc>
          <w:tcPr>
            <w:tcW w:w="8853" w:type="dxa"/>
            <w:tcBorders>
              <w:top w:val="single" w:color="auto" w:sz="4" w:space="0"/>
              <w:left w:val="nil"/>
              <w:bottom w:val="single" w:color="auto" w:sz="4" w:space="0"/>
              <w:right w:val="single" w:color="auto" w:sz="4" w:space="0"/>
            </w:tcBorders>
            <w:vAlign w:val="center"/>
          </w:tcPr>
          <w:p w14:paraId="0205312B">
            <w:pPr>
              <w:spacing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合同价格：</w:t>
            </w:r>
          </w:p>
        </w:tc>
      </w:tr>
      <w:tr w14:paraId="17C93109">
        <w:tblPrEx>
          <w:tblCellMar>
            <w:top w:w="0" w:type="dxa"/>
            <w:left w:w="108" w:type="dxa"/>
            <w:bottom w:w="0" w:type="dxa"/>
            <w:right w:w="108" w:type="dxa"/>
          </w:tblCellMar>
        </w:tblPrEx>
        <w:trPr>
          <w:cantSplit/>
          <w:trHeight w:val="638" w:hRule="atLeast"/>
          <w:jc w:val="center"/>
        </w:trPr>
        <w:tc>
          <w:tcPr>
            <w:tcW w:w="677" w:type="dxa"/>
            <w:vMerge w:val="continue"/>
            <w:tcBorders>
              <w:top w:val="single" w:color="auto" w:sz="4" w:space="0"/>
              <w:left w:val="single" w:color="auto" w:sz="4" w:space="0"/>
              <w:bottom w:val="single" w:color="auto" w:sz="4" w:space="0"/>
              <w:right w:val="single" w:color="auto" w:sz="4" w:space="0"/>
            </w:tcBorders>
            <w:vAlign w:val="center"/>
          </w:tcPr>
          <w:p w14:paraId="1D863AC1">
            <w:pPr>
              <w:widowControl/>
              <w:spacing w:line="360" w:lineRule="auto"/>
              <w:jc w:val="left"/>
              <w:outlineLvl w:val="9"/>
              <w:rPr>
                <w:rFonts w:hint="eastAsia" w:ascii="宋体" w:hAnsi="宋体" w:eastAsia="宋体" w:cs="宋体"/>
                <w:color w:val="auto"/>
                <w:sz w:val="24"/>
                <w:szCs w:val="24"/>
              </w:rPr>
            </w:pPr>
          </w:p>
        </w:tc>
        <w:tc>
          <w:tcPr>
            <w:tcW w:w="8853" w:type="dxa"/>
            <w:tcBorders>
              <w:top w:val="single" w:color="auto" w:sz="4" w:space="0"/>
              <w:left w:val="nil"/>
              <w:bottom w:val="single" w:color="auto" w:sz="4" w:space="0"/>
              <w:right w:val="single" w:color="auto" w:sz="4" w:space="0"/>
            </w:tcBorders>
            <w:vAlign w:val="center"/>
          </w:tcPr>
          <w:p w14:paraId="24C64169">
            <w:pPr>
              <w:spacing w:line="360" w:lineRule="auto"/>
              <w:ind w:left="7" w:leftChars="-10" w:hanging="28" w:hangingChars="12"/>
              <w:outlineLvl w:val="9"/>
              <w:rPr>
                <w:rFonts w:hint="eastAsia" w:ascii="宋体" w:hAnsi="宋体" w:eastAsia="宋体" w:cs="宋体"/>
                <w:color w:val="auto"/>
                <w:sz w:val="24"/>
                <w:szCs w:val="24"/>
              </w:rPr>
            </w:pPr>
            <w:r>
              <w:rPr>
                <w:rFonts w:hint="eastAsia" w:ascii="宋体" w:hAnsi="宋体" w:eastAsia="宋体" w:cs="宋体"/>
                <w:color w:val="auto"/>
                <w:sz w:val="24"/>
                <w:szCs w:val="24"/>
              </w:rPr>
              <w:t>工程地址：</w:t>
            </w:r>
          </w:p>
        </w:tc>
      </w:tr>
      <w:tr w14:paraId="076082FF">
        <w:tblPrEx>
          <w:tblCellMar>
            <w:top w:w="0" w:type="dxa"/>
            <w:left w:w="108" w:type="dxa"/>
            <w:bottom w:w="0" w:type="dxa"/>
            <w:right w:w="108" w:type="dxa"/>
          </w:tblCellMar>
        </w:tblPrEx>
        <w:trPr>
          <w:trHeight w:val="638"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14:paraId="5A0D483D">
            <w:pPr>
              <w:pStyle w:val="12"/>
              <w:spacing w:line="360" w:lineRule="auto"/>
              <w:ind w:firstLine="0" w:firstLineChars="0"/>
              <w:jc w:val="center"/>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w:t>
            </w:r>
          </w:p>
        </w:tc>
        <w:tc>
          <w:tcPr>
            <w:tcW w:w="8853" w:type="dxa"/>
            <w:tcBorders>
              <w:top w:val="single" w:color="auto" w:sz="4" w:space="0"/>
              <w:left w:val="nil"/>
              <w:bottom w:val="single" w:color="auto" w:sz="4" w:space="0"/>
              <w:right w:val="single" w:color="auto" w:sz="4" w:space="0"/>
            </w:tcBorders>
            <w:vAlign w:val="center"/>
          </w:tcPr>
          <w:p w14:paraId="098FE401">
            <w:pPr>
              <w:pStyle w:val="103"/>
              <w:spacing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所承担合同的主要内容：</w:t>
            </w:r>
          </w:p>
        </w:tc>
      </w:tr>
      <w:tr w14:paraId="48AA37C1">
        <w:tblPrEx>
          <w:tblCellMar>
            <w:top w:w="0" w:type="dxa"/>
            <w:left w:w="108" w:type="dxa"/>
            <w:bottom w:w="0" w:type="dxa"/>
            <w:right w:w="108" w:type="dxa"/>
          </w:tblCellMar>
        </w:tblPrEx>
        <w:trPr>
          <w:trHeight w:val="638"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14:paraId="32AE880F">
            <w:pPr>
              <w:pStyle w:val="12"/>
              <w:spacing w:line="360" w:lineRule="auto"/>
              <w:ind w:firstLine="0" w:firstLineChars="0"/>
              <w:jc w:val="center"/>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w:t>
            </w:r>
          </w:p>
        </w:tc>
        <w:tc>
          <w:tcPr>
            <w:tcW w:w="8853" w:type="dxa"/>
            <w:tcBorders>
              <w:top w:val="single" w:color="auto" w:sz="4" w:space="0"/>
              <w:left w:val="nil"/>
              <w:bottom w:val="single" w:color="auto" w:sz="4" w:space="0"/>
              <w:right w:val="single" w:color="auto" w:sz="4" w:space="0"/>
            </w:tcBorders>
            <w:vAlign w:val="center"/>
          </w:tcPr>
          <w:p w14:paraId="1AD4CA6E">
            <w:pPr>
              <w:pStyle w:val="103"/>
              <w:spacing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工程类别：</w:t>
            </w:r>
          </w:p>
        </w:tc>
      </w:tr>
      <w:tr w14:paraId="113F503B">
        <w:tblPrEx>
          <w:tblCellMar>
            <w:top w:w="0" w:type="dxa"/>
            <w:left w:w="108" w:type="dxa"/>
            <w:bottom w:w="0" w:type="dxa"/>
            <w:right w:w="108" w:type="dxa"/>
          </w:tblCellMar>
        </w:tblPrEx>
        <w:trPr>
          <w:trHeight w:val="638"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14:paraId="5379E655">
            <w:pPr>
              <w:pStyle w:val="12"/>
              <w:spacing w:line="360" w:lineRule="auto"/>
              <w:ind w:firstLine="0" w:firstLineChars="0"/>
              <w:jc w:val="center"/>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4</w:t>
            </w:r>
          </w:p>
        </w:tc>
        <w:tc>
          <w:tcPr>
            <w:tcW w:w="8853" w:type="dxa"/>
            <w:tcBorders>
              <w:top w:val="single" w:color="auto" w:sz="4" w:space="0"/>
              <w:left w:val="nil"/>
              <w:bottom w:val="single" w:color="auto" w:sz="4" w:space="0"/>
              <w:right w:val="single" w:color="auto" w:sz="4" w:space="0"/>
            </w:tcBorders>
            <w:vAlign w:val="center"/>
          </w:tcPr>
          <w:p w14:paraId="3191A225">
            <w:pPr>
              <w:pStyle w:val="103"/>
              <w:spacing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建设规模：</w:t>
            </w:r>
          </w:p>
        </w:tc>
      </w:tr>
      <w:tr w14:paraId="311BEFEE">
        <w:tblPrEx>
          <w:tblCellMar>
            <w:top w:w="0" w:type="dxa"/>
            <w:left w:w="108" w:type="dxa"/>
            <w:bottom w:w="0" w:type="dxa"/>
            <w:right w:w="108" w:type="dxa"/>
          </w:tblCellMar>
        </w:tblPrEx>
        <w:trPr>
          <w:trHeight w:val="638"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14:paraId="248D02BB">
            <w:pPr>
              <w:pStyle w:val="12"/>
              <w:spacing w:line="360" w:lineRule="auto"/>
              <w:ind w:firstLine="0" w:firstLineChars="0"/>
              <w:jc w:val="center"/>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5</w:t>
            </w:r>
          </w:p>
        </w:tc>
        <w:tc>
          <w:tcPr>
            <w:tcW w:w="8853" w:type="dxa"/>
            <w:tcBorders>
              <w:top w:val="single" w:color="auto" w:sz="4" w:space="0"/>
              <w:left w:val="nil"/>
              <w:bottom w:val="single" w:color="auto" w:sz="4" w:space="0"/>
              <w:right w:val="single" w:color="auto" w:sz="4" w:space="0"/>
            </w:tcBorders>
            <w:vAlign w:val="center"/>
          </w:tcPr>
          <w:p w14:paraId="6C1B37B0">
            <w:pPr>
              <w:pStyle w:val="103"/>
              <w:spacing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项目负责人：</w:t>
            </w:r>
          </w:p>
        </w:tc>
      </w:tr>
      <w:tr w14:paraId="4275D00E">
        <w:tblPrEx>
          <w:tblCellMar>
            <w:top w:w="0" w:type="dxa"/>
            <w:left w:w="108" w:type="dxa"/>
            <w:bottom w:w="0" w:type="dxa"/>
            <w:right w:w="108" w:type="dxa"/>
          </w:tblCellMar>
        </w:tblPrEx>
        <w:trPr>
          <w:trHeight w:val="638"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14:paraId="6338E39C">
            <w:pPr>
              <w:pStyle w:val="12"/>
              <w:spacing w:line="360" w:lineRule="auto"/>
              <w:ind w:firstLine="0" w:firstLineChars="0"/>
              <w:jc w:val="center"/>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6</w:t>
            </w:r>
          </w:p>
        </w:tc>
        <w:tc>
          <w:tcPr>
            <w:tcW w:w="8853" w:type="dxa"/>
            <w:tcBorders>
              <w:top w:val="single" w:color="auto" w:sz="4" w:space="0"/>
              <w:left w:val="nil"/>
              <w:bottom w:val="single" w:color="auto" w:sz="4" w:space="0"/>
              <w:right w:val="single" w:color="auto" w:sz="4" w:space="0"/>
            </w:tcBorders>
            <w:vAlign w:val="center"/>
          </w:tcPr>
          <w:p w14:paraId="4F4C4F6F">
            <w:pPr>
              <w:pStyle w:val="103"/>
              <w:spacing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开工日期：</w:t>
            </w:r>
          </w:p>
        </w:tc>
      </w:tr>
      <w:tr w14:paraId="7AB2FAF9">
        <w:tblPrEx>
          <w:tblCellMar>
            <w:top w:w="0" w:type="dxa"/>
            <w:left w:w="108" w:type="dxa"/>
            <w:bottom w:w="0" w:type="dxa"/>
            <w:right w:w="108" w:type="dxa"/>
          </w:tblCellMar>
        </w:tblPrEx>
        <w:trPr>
          <w:trHeight w:val="638"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14:paraId="7A5CD6CD">
            <w:pPr>
              <w:pStyle w:val="12"/>
              <w:spacing w:line="360" w:lineRule="auto"/>
              <w:ind w:firstLine="0" w:firstLineChars="0"/>
              <w:jc w:val="center"/>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7</w:t>
            </w:r>
          </w:p>
        </w:tc>
        <w:tc>
          <w:tcPr>
            <w:tcW w:w="8853" w:type="dxa"/>
            <w:tcBorders>
              <w:top w:val="single" w:color="auto" w:sz="4" w:space="0"/>
              <w:left w:val="nil"/>
              <w:bottom w:val="single" w:color="auto" w:sz="4" w:space="0"/>
              <w:right w:val="single" w:color="auto" w:sz="4" w:space="0"/>
            </w:tcBorders>
            <w:vAlign w:val="center"/>
          </w:tcPr>
          <w:p w14:paraId="3E5BE100">
            <w:pPr>
              <w:pStyle w:val="103"/>
              <w:spacing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竣工日期（或计划竣工日期）：</w:t>
            </w:r>
          </w:p>
        </w:tc>
      </w:tr>
      <w:tr w14:paraId="5311FD4F">
        <w:tblPrEx>
          <w:tblCellMar>
            <w:top w:w="0" w:type="dxa"/>
            <w:left w:w="108" w:type="dxa"/>
            <w:bottom w:w="0" w:type="dxa"/>
            <w:right w:w="108" w:type="dxa"/>
          </w:tblCellMar>
        </w:tblPrEx>
        <w:trPr>
          <w:trHeight w:val="638"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14:paraId="191CCCE4">
            <w:pPr>
              <w:pStyle w:val="12"/>
              <w:spacing w:line="360" w:lineRule="auto"/>
              <w:ind w:firstLine="0" w:firstLineChars="0"/>
              <w:jc w:val="center"/>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8</w:t>
            </w:r>
          </w:p>
        </w:tc>
        <w:tc>
          <w:tcPr>
            <w:tcW w:w="8853" w:type="dxa"/>
            <w:tcBorders>
              <w:top w:val="single" w:color="auto" w:sz="4" w:space="0"/>
              <w:left w:val="nil"/>
              <w:bottom w:val="single" w:color="auto" w:sz="4" w:space="0"/>
              <w:right w:val="single" w:color="auto" w:sz="4" w:space="0"/>
            </w:tcBorders>
            <w:vAlign w:val="center"/>
          </w:tcPr>
          <w:p w14:paraId="68A7DB81">
            <w:pPr>
              <w:spacing w:line="360" w:lineRule="auto"/>
              <w:ind w:left="7" w:leftChars="-10" w:hanging="28" w:hangingChars="12"/>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项目描述：</w:t>
            </w:r>
          </w:p>
        </w:tc>
      </w:tr>
      <w:tr w14:paraId="3F22DA52">
        <w:tblPrEx>
          <w:tblCellMar>
            <w:top w:w="0" w:type="dxa"/>
            <w:left w:w="108" w:type="dxa"/>
            <w:bottom w:w="0" w:type="dxa"/>
            <w:right w:w="108" w:type="dxa"/>
          </w:tblCellMar>
        </w:tblPrEx>
        <w:trPr>
          <w:trHeight w:val="638"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14:paraId="38BF42BE">
            <w:pPr>
              <w:pStyle w:val="12"/>
              <w:spacing w:line="360" w:lineRule="auto"/>
              <w:ind w:firstLine="0" w:firstLineChars="0"/>
              <w:jc w:val="center"/>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9</w:t>
            </w:r>
          </w:p>
        </w:tc>
        <w:tc>
          <w:tcPr>
            <w:tcW w:w="8853" w:type="dxa"/>
            <w:tcBorders>
              <w:top w:val="single" w:color="auto" w:sz="4" w:space="0"/>
              <w:left w:val="nil"/>
              <w:bottom w:val="single" w:color="auto" w:sz="4" w:space="0"/>
              <w:right w:val="single" w:color="auto" w:sz="4" w:space="0"/>
            </w:tcBorders>
            <w:vAlign w:val="center"/>
          </w:tcPr>
          <w:p w14:paraId="7A9FFB42">
            <w:pPr>
              <w:spacing w:line="360" w:lineRule="auto"/>
              <w:ind w:left="7" w:leftChars="-10" w:hanging="28" w:hangingChars="12"/>
              <w:outlineLvl w:val="9"/>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r>
    </w:tbl>
    <w:p w14:paraId="49678AF4">
      <w:pPr>
        <w:autoSpaceDE w:val="0"/>
        <w:autoSpaceDN w:val="0"/>
        <w:adjustRightInd w:val="0"/>
        <w:snapToGrid w:val="0"/>
        <w:spacing w:line="360" w:lineRule="auto"/>
        <w:jc w:val="left"/>
        <w:outlineLvl w:val="9"/>
        <w:rPr>
          <w:rFonts w:hint="eastAsia" w:ascii="宋体" w:hAnsi="宋体" w:eastAsia="宋体" w:cs="宋体"/>
          <w:color w:val="auto"/>
          <w:sz w:val="24"/>
          <w:szCs w:val="24"/>
        </w:rPr>
      </w:pPr>
    </w:p>
    <w:p w14:paraId="309812BF">
      <w:pPr>
        <w:autoSpaceDE w:val="0"/>
        <w:autoSpaceDN w:val="0"/>
        <w:adjustRightInd w:val="0"/>
        <w:snapToGrid w:val="0"/>
        <w:spacing w:line="360" w:lineRule="auto"/>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注：1、每个业绩项目单独填表并编号，应按要求填报工程业绩表并附相关有效证明材料，盖章方式不作要求。</w:t>
      </w:r>
    </w:p>
    <w:p w14:paraId="553FF512">
      <w:pPr>
        <w:spacing w:line="360" w:lineRule="auto"/>
        <w:ind w:firstLine="840" w:firstLineChars="35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2、表中所有空格内容均须填写，如确实不须填写或无法填写，应在空格中填写“无”。</w:t>
      </w:r>
    </w:p>
    <w:p w14:paraId="4EC656AF">
      <w:pPr>
        <w:widowControl/>
        <w:jc w:val="left"/>
        <w:outlineLvl w:val="9"/>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rPr>
        <w:br w:type="page"/>
      </w:r>
      <w:r>
        <w:rPr>
          <w:rFonts w:hint="eastAsia" w:ascii="宋体" w:hAnsi="宋体" w:eastAsia="宋体" w:cs="宋体"/>
          <w:b/>
          <w:bCs/>
          <w:color w:val="auto"/>
          <w:sz w:val="24"/>
          <w:szCs w:val="24"/>
        </w:rPr>
        <w:t>格式2-</w:t>
      </w:r>
      <w:r>
        <w:rPr>
          <w:rFonts w:hint="eastAsia" w:ascii="宋体" w:hAnsi="宋体" w:cs="宋体"/>
          <w:b/>
          <w:bCs/>
          <w:color w:val="auto"/>
          <w:sz w:val="24"/>
          <w:szCs w:val="24"/>
          <w:lang w:val="en-US" w:eastAsia="zh-CN"/>
        </w:rPr>
        <w:t>10</w:t>
      </w:r>
    </w:p>
    <w:p w14:paraId="6FE6A987">
      <w:pPr>
        <w:spacing w:line="360" w:lineRule="auto"/>
        <w:jc w:val="center"/>
        <w:outlineLvl w:val="9"/>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九</w:t>
      </w:r>
      <w:r>
        <w:rPr>
          <w:rFonts w:hint="eastAsia" w:ascii="宋体" w:hAnsi="宋体" w:eastAsia="宋体" w:cs="宋体"/>
          <w:b/>
          <w:bCs/>
          <w:color w:val="auto"/>
          <w:sz w:val="24"/>
          <w:szCs w:val="24"/>
        </w:rPr>
        <w:t>、项目管理机构</w:t>
      </w:r>
    </w:p>
    <w:p w14:paraId="7D8116D4">
      <w:pPr>
        <w:spacing w:line="360" w:lineRule="auto"/>
        <w:outlineLvl w:val="9"/>
        <w:rPr>
          <w:rFonts w:hint="eastAsia" w:ascii="宋体" w:hAnsi="宋体" w:eastAsia="宋体" w:cs="宋体"/>
          <w:color w:val="auto"/>
          <w:sz w:val="24"/>
          <w:szCs w:val="24"/>
        </w:rPr>
      </w:pPr>
    </w:p>
    <w:p w14:paraId="34E5011B">
      <w:pPr>
        <w:spacing w:line="360" w:lineRule="auto"/>
        <w:jc w:val="center"/>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 (一)项目管理机构组成表</w:t>
      </w:r>
    </w:p>
    <w:p w14:paraId="6F94139B">
      <w:pPr>
        <w:autoSpaceDE w:val="0"/>
        <w:autoSpaceDN w:val="0"/>
        <w:adjustRightInd w:val="0"/>
        <w:spacing w:line="360" w:lineRule="auto"/>
        <w:ind w:left="220" w:right="-20"/>
        <w:jc w:val="center"/>
        <w:outlineLvl w:val="9"/>
        <w:rPr>
          <w:rFonts w:hint="eastAsia" w:ascii="宋体" w:hAnsi="宋体" w:eastAsia="宋体" w:cs="宋体"/>
          <w:b/>
          <w:bCs/>
          <w:color w:val="auto"/>
          <w:sz w:val="24"/>
          <w:szCs w:val="24"/>
        </w:rPr>
      </w:pPr>
    </w:p>
    <w:tbl>
      <w:tblPr>
        <w:tblStyle w:val="44"/>
        <w:tblW w:w="9366" w:type="dxa"/>
        <w:jc w:val="center"/>
        <w:tblLayout w:type="fixed"/>
        <w:tblCellMar>
          <w:top w:w="0" w:type="dxa"/>
          <w:left w:w="0" w:type="dxa"/>
          <w:bottom w:w="0" w:type="dxa"/>
          <w:right w:w="0" w:type="dxa"/>
        </w:tblCellMar>
      </w:tblPr>
      <w:tblGrid>
        <w:gridCol w:w="857"/>
        <w:gridCol w:w="1695"/>
        <w:gridCol w:w="1423"/>
        <w:gridCol w:w="1276"/>
        <w:gridCol w:w="1301"/>
        <w:gridCol w:w="1134"/>
        <w:gridCol w:w="1680"/>
      </w:tblGrid>
      <w:tr w14:paraId="7628D436">
        <w:tblPrEx>
          <w:tblCellMar>
            <w:top w:w="0" w:type="dxa"/>
            <w:left w:w="0" w:type="dxa"/>
            <w:bottom w:w="0" w:type="dxa"/>
            <w:right w:w="0" w:type="dxa"/>
          </w:tblCellMar>
        </w:tblPrEx>
        <w:trPr>
          <w:trHeight w:val="614" w:hRule="atLeast"/>
          <w:jc w:val="center"/>
        </w:trPr>
        <w:tc>
          <w:tcPr>
            <w:tcW w:w="857" w:type="dxa"/>
            <w:vMerge w:val="restart"/>
            <w:tcBorders>
              <w:top w:val="single" w:color="auto" w:sz="4" w:space="0"/>
              <w:left w:val="single" w:color="auto" w:sz="4" w:space="0"/>
              <w:right w:val="single" w:color="auto" w:sz="4" w:space="0"/>
            </w:tcBorders>
            <w:vAlign w:val="center"/>
          </w:tcPr>
          <w:p w14:paraId="7662B2EB">
            <w:pPr>
              <w:spacing w:line="360" w:lineRule="auto"/>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695" w:type="dxa"/>
            <w:vMerge w:val="restart"/>
            <w:tcBorders>
              <w:top w:val="single" w:color="auto" w:sz="4" w:space="0"/>
              <w:left w:val="nil"/>
              <w:right w:val="single" w:color="auto" w:sz="4" w:space="0"/>
            </w:tcBorders>
            <w:vAlign w:val="center"/>
          </w:tcPr>
          <w:p w14:paraId="7D0934D0">
            <w:pPr>
              <w:spacing w:line="360" w:lineRule="auto"/>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职务</w:t>
            </w:r>
          </w:p>
        </w:tc>
        <w:tc>
          <w:tcPr>
            <w:tcW w:w="1423" w:type="dxa"/>
            <w:vMerge w:val="restart"/>
            <w:tcBorders>
              <w:top w:val="single" w:color="auto" w:sz="4" w:space="0"/>
              <w:left w:val="nil"/>
              <w:right w:val="single" w:color="auto" w:sz="4" w:space="0"/>
            </w:tcBorders>
            <w:vAlign w:val="center"/>
          </w:tcPr>
          <w:p w14:paraId="3A2976A0">
            <w:pPr>
              <w:spacing w:line="360" w:lineRule="auto"/>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577" w:type="dxa"/>
            <w:gridSpan w:val="2"/>
            <w:tcBorders>
              <w:top w:val="single" w:color="auto" w:sz="4" w:space="0"/>
              <w:left w:val="nil"/>
              <w:bottom w:val="single" w:color="auto" w:sz="4" w:space="0"/>
              <w:right w:val="single" w:color="auto" w:sz="4" w:space="0"/>
            </w:tcBorders>
            <w:vAlign w:val="center"/>
          </w:tcPr>
          <w:p w14:paraId="1B665F3F">
            <w:pPr>
              <w:spacing w:line="360" w:lineRule="auto"/>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执业或职业资格</w:t>
            </w:r>
          </w:p>
        </w:tc>
        <w:tc>
          <w:tcPr>
            <w:tcW w:w="2814" w:type="dxa"/>
            <w:gridSpan w:val="2"/>
            <w:tcBorders>
              <w:top w:val="single" w:color="auto" w:sz="4" w:space="0"/>
              <w:left w:val="nil"/>
              <w:bottom w:val="single" w:color="auto" w:sz="4" w:space="0"/>
              <w:right w:val="single" w:color="auto" w:sz="4" w:space="0"/>
            </w:tcBorders>
            <w:vAlign w:val="center"/>
          </w:tcPr>
          <w:p w14:paraId="5CACCA8C">
            <w:pPr>
              <w:spacing w:line="360" w:lineRule="auto"/>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职称</w:t>
            </w:r>
          </w:p>
        </w:tc>
      </w:tr>
      <w:tr w14:paraId="10BD7B74">
        <w:tblPrEx>
          <w:tblCellMar>
            <w:top w:w="0" w:type="dxa"/>
            <w:left w:w="0" w:type="dxa"/>
            <w:bottom w:w="0" w:type="dxa"/>
            <w:right w:w="0" w:type="dxa"/>
          </w:tblCellMar>
        </w:tblPrEx>
        <w:trPr>
          <w:trHeight w:val="614" w:hRule="atLeast"/>
          <w:jc w:val="center"/>
        </w:trPr>
        <w:tc>
          <w:tcPr>
            <w:tcW w:w="857" w:type="dxa"/>
            <w:vMerge w:val="continue"/>
            <w:tcBorders>
              <w:left w:val="single" w:color="auto" w:sz="4" w:space="0"/>
              <w:bottom w:val="single" w:color="auto" w:sz="4" w:space="0"/>
              <w:right w:val="single" w:color="auto" w:sz="4" w:space="0"/>
            </w:tcBorders>
            <w:vAlign w:val="center"/>
          </w:tcPr>
          <w:p w14:paraId="6DFE6C90">
            <w:pPr>
              <w:spacing w:line="360" w:lineRule="auto"/>
              <w:jc w:val="center"/>
              <w:outlineLvl w:val="9"/>
              <w:rPr>
                <w:rFonts w:hint="eastAsia" w:ascii="宋体" w:hAnsi="宋体" w:eastAsia="宋体" w:cs="宋体"/>
                <w:color w:val="auto"/>
                <w:sz w:val="24"/>
                <w:szCs w:val="24"/>
              </w:rPr>
            </w:pPr>
          </w:p>
        </w:tc>
        <w:tc>
          <w:tcPr>
            <w:tcW w:w="1695" w:type="dxa"/>
            <w:vMerge w:val="continue"/>
            <w:tcBorders>
              <w:left w:val="nil"/>
              <w:bottom w:val="single" w:color="auto" w:sz="4" w:space="0"/>
              <w:right w:val="single" w:color="auto" w:sz="4" w:space="0"/>
            </w:tcBorders>
            <w:vAlign w:val="center"/>
          </w:tcPr>
          <w:p w14:paraId="7E4AE492">
            <w:pPr>
              <w:spacing w:line="360" w:lineRule="auto"/>
              <w:jc w:val="center"/>
              <w:outlineLvl w:val="9"/>
              <w:rPr>
                <w:rFonts w:hint="eastAsia" w:ascii="宋体" w:hAnsi="宋体" w:eastAsia="宋体" w:cs="宋体"/>
                <w:color w:val="auto"/>
                <w:sz w:val="24"/>
                <w:szCs w:val="24"/>
              </w:rPr>
            </w:pPr>
          </w:p>
        </w:tc>
        <w:tc>
          <w:tcPr>
            <w:tcW w:w="1423" w:type="dxa"/>
            <w:vMerge w:val="continue"/>
            <w:tcBorders>
              <w:left w:val="nil"/>
              <w:bottom w:val="single" w:color="auto" w:sz="4" w:space="0"/>
              <w:right w:val="single" w:color="auto" w:sz="4" w:space="0"/>
            </w:tcBorders>
            <w:vAlign w:val="center"/>
          </w:tcPr>
          <w:p w14:paraId="2666DF0D">
            <w:pPr>
              <w:spacing w:line="360" w:lineRule="auto"/>
              <w:jc w:val="center"/>
              <w:outlineLvl w:val="9"/>
              <w:rPr>
                <w:rFonts w:hint="eastAsia" w:ascii="宋体" w:hAnsi="宋体" w:eastAsia="宋体" w:cs="宋体"/>
                <w:color w:val="auto"/>
                <w:sz w:val="24"/>
                <w:szCs w:val="24"/>
              </w:rPr>
            </w:pPr>
          </w:p>
        </w:tc>
        <w:tc>
          <w:tcPr>
            <w:tcW w:w="1276" w:type="dxa"/>
            <w:tcBorders>
              <w:top w:val="single" w:color="auto" w:sz="4" w:space="0"/>
              <w:left w:val="nil"/>
              <w:bottom w:val="single" w:color="auto" w:sz="4" w:space="0"/>
              <w:right w:val="single" w:color="auto" w:sz="4" w:space="0"/>
            </w:tcBorders>
            <w:vAlign w:val="center"/>
          </w:tcPr>
          <w:p w14:paraId="6C739019">
            <w:pPr>
              <w:spacing w:line="360" w:lineRule="auto"/>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证书名称</w:t>
            </w:r>
          </w:p>
        </w:tc>
        <w:tc>
          <w:tcPr>
            <w:tcW w:w="1301" w:type="dxa"/>
            <w:tcBorders>
              <w:top w:val="single" w:color="auto" w:sz="4" w:space="0"/>
              <w:left w:val="nil"/>
              <w:bottom w:val="single" w:color="auto" w:sz="4" w:space="0"/>
              <w:right w:val="single" w:color="auto" w:sz="4" w:space="0"/>
            </w:tcBorders>
            <w:vAlign w:val="center"/>
          </w:tcPr>
          <w:p w14:paraId="1FA7193E">
            <w:pPr>
              <w:spacing w:line="360" w:lineRule="auto"/>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证书编号</w:t>
            </w:r>
          </w:p>
        </w:tc>
        <w:tc>
          <w:tcPr>
            <w:tcW w:w="1134" w:type="dxa"/>
            <w:tcBorders>
              <w:top w:val="single" w:color="auto" w:sz="4" w:space="0"/>
              <w:left w:val="nil"/>
              <w:bottom w:val="single" w:color="auto" w:sz="4" w:space="0"/>
              <w:right w:val="single" w:color="auto" w:sz="4" w:space="0"/>
            </w:tcBorders>
            <w:vAlign w:val="center"/>
          </w:tcPr>
          <w:p w14:paraId="54B90078">
            <w:pPr>
              <w:spacing w:line="360" w:lineRule="auto"/>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职称专业</w:t>
            </w:r>
          </w:p>
        </w:tc>
        <w:tc>
          <w:tcPr>
            <w:tcW w:w="1680" w:type="dxa"/>
            <w:tcBorders>
              <w:top w:val="single" w:color="auto" w:sz="4" w:space="0"/>
              <w:left w:val="nil"/>
              <w:bottom w:val="single" w:color="auto" w:sz="4" w:space="0"/>
              <w:right w:val="single" w:color="auto" w:sz="4" w:space="0"/>
            </w:tcBorders>
            <w:vAlign w:val="center"/>
          </w:tcPr>
          <w:p w14:paraId="5AF3EA5F">
            <w:pPr>
              <w:spacing w:line="360" w:lineRule="auto"/>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级别</w:t>
            </w:r>
          </w:p>
        </w:tc>
      </w:tr>
      <w:tr w14:paraId="3F1F7430">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14:paraId="2C0B7D3B">
            <w:pPr>
              <w:spacing w:line="360" w:lineRule="auto"/>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695" w:type="dxa"/>
            <w:tcBorders>
              <w:top w:val="single" w:color="auto" w:sz="4" w:space="0"/>
              <w:left w:val="nil"/>
              <w:bottom w:val="single" w:color="auto" w:sz="4" w:space="0"/>
              <w:right w:val="single" w:color="auto" w:sz="4" w:space="0"/>
            </w:tcBorders>
            <w:vAlign w:val="center"/>
          </w:tcPr>
          <w:p w14:paraId="218B3919">
            <w:pPr>
              <w:spacing w:line="360" w:lineRule="auto"/>
              <w:jc w:val="center"/>
              <w:outlineLvl w:val="9"/>
              <w:rPr>
                <w:rFonts w:hint="eastAsia" w:ascii="宋体" w:hAnsi="宋体" w:eastAsia="宋体" w:cs="宋体"/>
                <w:color w:val="auto"/>
                <w:sz w:val="24"/>
                <w:szCs w:val="24"/>
              </w:rPr>
            </w:pPr>
          </w:p>
        </w:tc>
        <w:tc>
          <w:tcPr>
            <w:tcW w:w="1423" w:type="dxa"/>
            <w:tcBorders>
              <w:top w:val="single" w:color="auto" w:sz="4" w:space="0"/>
              <w:left w:val="nil"/>
              <w:bottom w:val="single" w:color="auto" w:sz="4" w:space="0"/>
              <w:right w:val="single" w:color="auto" w:sz="4" w:space="0"/>
            </w:tcBorders>
            <w:vAlign w:val="center"/>
          </w:tcPr>
          <w:p w14:paraId="232C5653">
            <w:pPr>
              <w:spacing w:line="360" w:lineRule="auto"/>
              <w:jc w:val="center"/>
              <w:outlineLvl w:val="9"/>
              <w:rPr>
                <w:rFonts w:hint="eastAsia" w:ascii="宋体" w:hAnsi="宋体" w:eastAsia="宋体" w:cs="宋体"/>
                <w:color w:val="auto"/>
                <w:sz w:val="24"/>
                <w:szCs w:val="24"/>
              </w:rPr>
            </w:pPr>
          </w:p>
        </w:tc>
        <w:tc>
          <w:tcPr>
            <w:tcW w:w="1276" w:type="dxa"/>
            <w:tcBorders>
              <w:top w:val="single" w:color="auto" w:sz="4" w:space="0"/>
              <w:left w:val="nil"/>
              <w:bottom w:val="single" w:color="auto" w:sz="4" w:space="0"/>
              <w:right w:val="single" w:color="auto" w:sz="4" w:space="0"/>
            </w:tcBorders>
            <w:vAlign w:val="center"/>
          </w:tcPr>
          <w:p w14:paraId="13B2C7E4">
            <w:pPr>
              <w:spacing w:line="360" w:lineRule="auto"/>
              <w:jc w:val="center"/>
              <w:outlineLvl w:val="9"/>
              <w:rPr>
                <w:rFonts w:hint="eastAsia" w:ascii="宋体" w:hAnsi="宋体" w:eastAsia="宋体" w:cs="宋体"/>
                <w:color w:val="auto"/>
                <w:sz w:val="24"/>
                <w:szCs w:val="24"/>
              </w:rPr>
            </w:pPr>
          </w:p>
        </w:tc>
        <w:tc>
          <w:tcPr>
            <w:tcW w:w="1301" w:type="dxa"/>
            <w:tcBorders>
              <w:top w:val="single" w:color="auto" w:sz="4" w:space="0"/>
              <w:left w:val="nil"/>
              <w:bottom w:val="single" w:color="auto" w:sz="4" w:space="0"/>
              <w:right w:val="single" w:color="auto" w:sz="4" w:space="0"/>
            </w:tcBorders>
            <w:vAlign w:val="center"/>
          </w:tcPr>
          <w:p w14:paraId="6B3B866A">
            <w:pPr>
              <w:spacing w:line="360" w:lineRule="auto"/>
              <w:jc w:val="center"/>
              <w:outlineLvl w:val="9"/>
              <w:rPr>
                <w:rFonts w:hint="eastAsia" w:ascii="宋体" w:hAnsi="宋体" w:eastAsia="宋体" w:cs="宋体"/>
                <w:color w:val="auto"/>
                <w:sz w:val="24"/>
                <w:szCs w:val="24"/>
              </w:rPr>
            </w:pPr>
          </w:p>
        </w:tc>
        <w:tc>
          <w:tcPr>
            <w:tcW w:w="1134" w:type="dxa"/>
            <w:tcBorders>
              <w:top w:val="single" w:color="auto" w:sz="4" w:space="0"/>
              <w:left w:val="nil"/>
              <w:bottom w:val="single" w:color="auto" w:sz="4" w:space="0"/>
              <w:right w:val="single" w:color="auto" w:sz="4" w:space="0"/>
            </w:tcBorders>
            <w:vAlign w:val="center"/>
          </w:tcPr>
          <w:p w14:paraId="0912AFF3">
            <w:pPr>
              <w:spacing w:line="360" w:lineRule="auto"/>
              <w:jc w:val="center"/>
              <w:outlineLvl w:val="9"/>
              <w:rPr>
                <w:rFonts w:hint="eastAsia" w:ascii="宋体" w:hAnsi="宋体" w:eastAsia="宋体" w:cs="宋体"/>
                <w:color w:val="auto"/>
                <w:sz w:val="24"/>
                <w:szCs w:val="24"/>
              </w:rPr>
            </w:pPr>
          </w:p>
        </w:tc>
        <w:tc>
          <w:tcPr>
            <w:tcW w:w="1680" w:type="dxa"/>
            <w:tcBorders>
              <w:top w:val="single" w:color="auto" w:sz="4" w:space="0"/>
              <w:left w:val="nil"/>
              <w:bottom w:val="single" w:color="auto" w:sz="4" w:space="0"/>
              <w:right w:val="single" w:color="auto" w:sz="4" w:space="0"/>
            </w:tcBorders>
          </w:tcPr>
          <w:p w14:paraId="7C9FA04A">
            <w:pPr>
              <w:spacing w:line="360" w:lineRule="auto"/>
              <w:jc w:val="center"/>
              <w:outlineLvl w:val="9"/>
              <w:rPr>
                <w:rFonts w:hint="eastAsia" w:ascii="宋体" w:hAnsi="宋体" w:eastAsia="宋体" w:cs="宋体"/>
                <w:color w:val="auto"/>
                <w:sz w:val="24"/>
                <w:szCs w:val="24"/>
              </w:rPr>
            </w:pPr>
          </w:p>
        </w:tc>
      </w:tr>
      <w:tr w14:paraId="717121D2">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14:paraId="15D5A342">
            <w:pPr>
              <w:spacing w:line="360" w:lineRule="auto"/>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695" w:type="dxa"/>
            <w:tcBorders>
              <w:top w:val="single" w:color="auto" w:sz="4" w:space="0"/>
              <w:left w:val="nil"/>
              <w:bottom w:val="single" w:color="auto" w:sz="4" w:space="0"/>
              <w:right w:val="single" w:color="auto" w:sz="4" w:space="0"/>
            </w:tcBorders>
            <w:vAlign w:val="center"/>
          </w:tcPr>
          <w:p w14:paraId="4091CF5E">
            <w:pPr>
              <w:spacing w:line="360" w:lineRule="auto"/>
              <w:jc w:val="left"/>
              <w:outlineLvl w:val="9"/>
              <w:rPr>
                <w:rFonts w:hint="eastAsia" w:ascii="宋体" w:hAnsi="宋体" w:eastAsia="宋体" w:cs="宋体"/>
                <w:color w:val="auto"/>
                <w:sz w:val="24"/>
                <w:szCs w:val="24"/>
              </w:rPr>
            </w:pPr>
          </w:p>
        </w:tc>
        <w:tc>
          <w:tcPr>
            <w:tcW w:w="1423" w:type="dxa"/>
            <w:tcBorders>
              <w:top w:val="single" w:color="auto" w:sz="4" w:space="0"/>
              <w:left w:val="nil"/>
              <w:bottom w:val="single" w:color="auto" w:sz="4" w:space="0"/>
              <w:right w:val="single" w:color="auto" w:sz="4" w:space="0"/>
            </w:tcBorders>
            <w:vAlign w:val="center"/>
          </w:tcPr>
          <w:p w14:paraId="4EAFAE6F">
            <w:pPr>
              <w:spacing w:line="360" w:lineRule="auto"/>
              <w:jc w:val="center"/>
              <w:outlineLvl w:val="9"/>
              <w:rPr>
                <w:rFonts w:hint="eastAsia" w:ascii="宋体" w:hAnsi="宋体" w:eastAsia="宋体" w:cs="宋体"/>
                <w:color w:val="auto"/>
                <w:sz w:val="24"/>
                <w:szCs w:val="24"/>
              </w:rPr>
            </w:pPr>
          </w:p>
        </w:tc>
        <w:tc>
          <w:tcPr>
            <w:tcW w:w="1276" w:type="dxa"/>
            <w:tcBorders>
              <w:top w:val="single" w:color="auto" w:sz="4" w:space="0"/>
              <w:left w:val="nil"/>
              <w:bottom w:val="single" w:color="auto" w:sz="4" w:space="0"/>
              <w:right w:val="single" w:color="auto" w:sz="4" w:space="0"/>
            </w:tcBorders>
            <w:vAlign w:val="center"/>
          </w:tcPr>
          <w:p w14:paraId="38F31715">
            <w:pPr>
              <w:spacing w:line="360" w:lineRule="auto"/>
              <w:jc w:val="center"/>
              <w:outlineLvl w:val="9"/>
              <w:rPr>
                <w:rFonts w:hint="eastAsia" w:ascii="宋体" w:hAnsi="宋体" w:eastAsia="宋体" w:cs="宋体"/>
                <w:color w:val="auto"/>
                <w:sz w:val="24"/>
                <w:szCs w:val="24"/>
              </w:rPr>
            </w:pPr>
          </w:p>
        </w:tc>
        <w:tc>
          <w:tcPr>
            <w:tcW w:w="1301" w:type="dxa"/>
            <w:tcBorders>
              <w:top w:val="single" w:color="auto" w:sz="4" w:space="0"/>
              <w:left w:val="nil"/>
              <w:bottom w:val="single" w:color="auto" w:sz="4" w:space="0"/>
              <w:right w:val="single" w:color="auto" w:sz="4" w:space="0"/>
            </w:tcBorders>
            <w:vAlign w:val="center"/>
          </w:tcPr>
          <w:p w14:paraId="133803AB">
            <w:pPr>
              <w:spacing w:line="360" w:lineRule="auto"/>
              <w:jc w:val="center"/>
              <w:outlineLvl w:val="9"/>
              <w:rPr>
                <w:rFonts w:hint="eastAsia" w:ascii="宋体" w:hAnsi="宋体" w:eastAsia="宋体" w:cs="宋体"/>
                <w:color w:val="auto"/>
                <w:sz w:val="24"/>
                <w:szCs w:val="24"/>
              </w:rPr>
            </w:pPr>
          </w:p>
        </w:tc>
        <w:tc>
          <w:tcPr>
            <w:tcW w:w="1134" w:type="dxa"/>
            <w:tcBorders>
              <w:top w:val="single" w:color="auto" w:sz="4" w:space="0"/>
              <w:left w:val="nil"/>
              <w:bottom w:val="single" w:color="auto" w:sz="4" w:space="0"/>
              <w:right w:val="single" w:color="auto" w:sz="4" w:space="0"/>
            </w:tcBorders>
            <w:vAlign w:val="center"/>
          </w:tcPr>
          <w:p w14:paraId="7CF2874D">
            <w:pPr>
              <w:spacing w:line="360" w:lineRule="auto"/>
              <w:jc w:val="center"/>
              <w:outlineLvl w:val="9"/>
              <w:rPr>
                <w:rFonts w:hint="eastAsia" w:ascii="宋体" w:hAnsi="宋体" w:eastAsia="宋体" w:cs="宋体"/>
                <w:color w:val="auto"/>
                <w:sz w:val="24"/>
                <w:szCs w:val="24"/>
              </w:rPr>
            </w:pPr>
          </w:p>
        </w:tc>
        <w:tc>
          <w:tcPr>
            <w:tcW w:w="1680" w:type="dxa"/>
            <w:tcBorders>
              <w:top w:val="single" w:color="auto" w:sz="4" w:space="0"/>
              <w:left w:val="nil"/>
              <w:bottom w:val="single" w:color="auto" w:sz="4" w:space="0"/>
              <w:right w:val="single" w:color="auto" w:sz="4" w:space="0"/>
            </w:tcBorders>
          </w:tcPr>
          <w:p w14:paraId="154385F1">
            <w:pPr>
              <w:spacing w:line="360" w:lineRule="auto"/>
              <w:jc w:val="center"/>
              <w:outlineLvl w:val="9"/>
              <w:rPr>
                <w:rFonts w:hint="eastAsia" w:ascii="宋体" w:hAnsi="宋体" w:eastAsia="宋体" w:cs="宋体"/>
                <w:color w:val="auto"/>
                <w:sz w:val="24"/>
                <w:szCs w:val="24"/>
              </w:rPr>
            </w:pPr>
          </w:p>
        </w:tc>
      </w:tr>
      <w:tr w14:paraId="4E16630A">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14:paraId="1B57CD8B">
            <w:pPr>
              <w:spacing w:line="360" w:lineRule="auto"/>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695" w:type="dxa"/>
            <w:tcBorders>
              <w:top w:val="single" w:color="auto" w:sz="4" w:space="0"/>
              <w:left w:val="nil"/>
              <w:bottom w:val="single" w:color="auto" w:sz="4" w:space="0"/>
              <w:right w:val="single" w:color="auto" w:sz="4" w:space="0"/>
            </w:tcBorders>
            <w:vAlign w:val="center"/>
          </w:tcPr>
          <w:p w14:paraId="6079D376">
            <w:pPr>
              <w:spacing w:line="360" w:lineRule="auto"/>
              <w:jc w:val="center"/>
              <w:outlineLvl w:val="9"/>
              <w:rPr>
                <w:rFonts w:hint="eastAsia" w:ascii="宋体" w:hAnsi="宋体" w:eastAsia="宋体" w:cs="宋体"/>
                <w:color w:val="auto"/>
                <w:sz w:val="24"/>
                <w:szCs w:val="24"/>
                <w:lang w:eastAsia="zh-CN"/>
              </w:rPr>
            </w:pPr>
          </w:p>
        </w:tc>
        <w:tc>
          <w:tcPr>
            <w:tcW w:w="1423" w:type="dxa"/>
            <w:tcBorders>
              <w:top w:val="single" w:color="auto" w:sz="4" w:space="0"/>
              <w:left w:val="nil"/>
              <w:bottom w:val="single" w:color="auto" w:sz="4" w:space="0"/>
              <w:right w:val="single" w:color="auto" w:sz="4" w:space="0"/>
            </w:tcBorders>
            <w:vAlign w:val="center"/>
          </w:tcPr>
          <w:p w14:paraId="5AC50FB5">
            <w:pPr>
              <w:spacing w:line="360" w:lineRule="auto"/>
              <w:jc w:val="center"/>
              <w:outlineLvl w:val="9"/>
              <w:rPr>
                <w:rFonts w:hint="eastAsia" w:ascii="宋体" w:hAnsi="宋体" w:eastAsia="宋体" w:cs="宋体"/>
                <w:color w:val="auto"/>
                <w:sz w:val="24"/>
                <w:szCs w:val="24"/>
              </w:rPr>
            </w:pPr>
          </w:p>
        </w:tc>
        <w:tc>
          <w:tcPr>
            <w:tcW w:w="1276" w:type="dxa"/>
            <w:tcBorders>
              <w:top w:val="single" w:color="auto" w:sz="4" w:space="0"/>
              <w:left w:val="nil"/>
              <w:bottom w:val="single" w:color="auto" w:sz="4" w:space="0"/>
              <w:right w:val="single" w:color="auto" w:sz="4" w:space="0"/>
            </w:tcBorders>
            <w:vAlign w:val="center"/>
          </w:tcPr>
          <w:p w14:paraId="3CA79E2A">
            <w:pPr>
              <w:spacing w:line="360" w:lineRule="auto"/>
              <w:jc w:val="center"/>
              <w:outlineLvl w:val="9"/>
              <w:rPr>
                <w:rFonts w:hint="eastAsia" w:ascii="宋体" w:hAnsi="宋体" w:eastAsia="宋体" w:cs="宋体"/>
                <w:color w:val="auto"/>
                <w:sz w:val="24"/>
                <w:szCs w:val="24"/>
              </w:rPr>
            </w:pPr>
          </w:p>
        </w:tc>
        <w:tc>
          <w:tcPr>
            <w:tcW w:w="1301" w:type="dxa"/>
            <w:tcBorders>
              <w:top w:val="single" w:color="auto" w:sz="4" w:space="0"/>
              <w:left w:val="nil"/>
              <w:bottom w:val="single" w:color="auto" w:sz="4" w:space="0"/>
              <w:right w:val="single" w:color="auto" w:sz="4" w:space="0"/>
            </w:tcBorders>
            <w:vAlign w:val="center"/>
          </w:tcPr>
          <w:p w14:paraId="028AEFAF">
            <w:pPr>
              <w:spacing w:line="360" w:lineRule="auto"/>
              <w:jc w:val="center"/>
              <w:outlineLvl w:val="9"/>
              <w:rPr>
                <w:rFonts w:hint="eastAsia" w:ascii="宋体" w:hAnsi="宋体" w:eastAsia="宋体" w:cs="宋体"/>
                <w:color w:val="auto"/>
                <w:sz w:val="24"/>
                <w:szCs w:val="24"/>
              </w:rPr>
            </w:pPr>
          </w:p>
        </w:tc>
        <w:tc>
          <w:tcPr>
            <w:tcW w:w="1134" w:type="dxa"/>
            <w:tcBorders>
              <w:top w:val="single" w:color="auto" w:sz="4" w:space="0"/>
              <w:left w:val="nil"/>
              <w:bottom w:val="single" w:color="auto" w:sz="4" w:space="0"/>
              <w:right w:val="single" w:color="auto" w:sz="4" w:space="0"/>
            </w:tcBorders>
            <w:vAlign w:val="center"/>
          </w:tcPr>
          <w:p w14:paraId="24DB6915">
            <w:pPr>
              <w:spacing w:line="360" w:lineRule="auto"/>
              <w:jc w:val="center"/>
              <w:outlineLvl w:val="9"/>
              <w:rPr>
                <w:rFonts w:hint="eastAsia" w:ascii="宋体" w:hAnsi="宋体" w:eastAsia="宋体" w:cs="宋体"/>
                <w:color w:val="auto"/>
                <w:sz w:val="24"/>
                <w:szCs w:val="24"/>
              </w:rPr>
            </w:pPr>
          </w:p>
        </w:tc>
        <w:tc>
          <w:tcPr>
            <w:tcW w:w="1680" w:type="dxa"/>
            <w:tcBorders>
              <w:top w:val="single" w:color="auto" w:sz="4" w:space="0"/>
              <w:left w:val="nil"/>
              <w:bottom w:val="single" w:color="auto" w:sz="4" w:space="0"/>
              <w:right w:val="single" w:color="auto" w:sz="4" w:space="0"/>
            </w:tcBorders>
          </w:tcPr>
          <w:p w14:paraId="2B03CAE6">
            <w:pPr>
              <w:spacing w:line="360" w:lineRule="auto"/>
              <w:jc w:val="center"/>
              <w:outlineLvl w:val="9"/>
              <w:rPr>
                <w:rFonts w:hint="eastAsia" w:ascii="宋体" w:hAnsi="宋体" w:eastAsia="宋体" w:cs="宋体"/>
                <w:color w:val="auto"/>
                <w:sz w:val="24"/>
                <w:szCs w:val="24"/>
              </w:rPr>
            </w:pPr>
          </w:p>
        </w:tc>
      </w:tr>
      <w:tr w14:paraId="60279438">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14:paraId="734230DE">
            <w:pPr>
              <w:spacing w:line="360" w:lineRule="auto"/>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695" w:type="dxa"/>
            <w:tcBorders>
              <w:top w:val="single" w:color="auto" w:sz="4" w:space="0"/>
              <w:left w:val="nil"/>
              <w:bottom w:val="single" w:color="auto" w:sz="4" w:space="0"/>
              <w:right w:val="single" w:color="auto" w:sz="4" w:space="0"/>
            </w:tcBorders>
            <w:vAlign w:val="center"/>
          </w:tcPr>
          <w:p w14:paraId="1E3BFF1A">
            <w:pPr>
              <w:spacing w:line="360" w:lineRule="auto"/>
              <w:jc w:val="center"/>
              <w:outlineLvl w:val="9"/>
              <w:rPr>
                <w:rFonts w:hint="eastAsia" w:ascii="宋体" w:hAnsi="宋体" w:eastAsia="宋体" w:cs="宋体"/>
                <w:color w:val="auto"/>
                <w:sz w:val="24"/>
                <w:szCs w:val="24"/>
              </w:rPr>
            </w:pPr>
          </w:p>
        </w:tc>
        <w:tc>
          <w:tcPr>
            <w:tcW w:w="1423" w:type="dxa"/>
            <w:tcBorders>
              <w:top w:val="single" w:color="auto" w:sz="4" w:space="0"/>
              <w:left w:val="nil"/>
              <w:bottom w:val="single" w:color="auto" w:sz="4" w:space="0"/>
              <w:right w:val="single" w:color="auto" w:sz="4" w:space="0"/>
            </w:tcBorders>
            <w:vAlign w:val="center"/>
          </w:tcPr>
          <w:p w14:paraId="4F1444CB">
            <w:pPr>
              <w:spacing w:line="360" w:lineRule="auto"/>
              <w:jc w:val="center"/>
              <w:outlineLvl w:val="9"/>
              <w:rPr>
                <w:rFonts w:hint="eastAsia" w:ascii="宋体" w:hAnsi="宋体" w:eastAsia="宋体" w:cs="宋体"/>
                <w:color w:val="auto"/>
                <w:sz w:val="24"/>
                <w:szCs w:val="24"/>
              </w:rPr>
            </w:pPr>
          </w:p>
        </w:tc>
        <w:tc>
          <w:tcPr>
            <w:tcW w:w="1276" w:type="dxa"/>
            <w:tcBorders>
              <w:top w:val="single" w:color="auto" w:sz="4" w:space="0"/>
              <w:left w:val="nil"/>
              <w:bottom w:val="single" w:color="auto" w:sz="4" w:space="0"/>
              <w:right w:val="single" w:color="auto" w:sz="4" w:space="0"/>
            </w:tcBorders>
            <w:vAlign w:val="center"/>
          </w:tcPr>
          <w:p w14:paraId="23728313">
            <w:pPr>
              <w:spacing w:line="360" w:lineRule="auto"/>
              <w:jc w:val="center"/>
              <w:outlineLvl w:val="9"/>
              <w:rPr>
                <w:rFonts w:hint="eastAsia" w:ascii="宋体" w:hAnsi="宋体" w:eastAsia="宋体" w:cs="宋体"/>
                <w:color w:val="auto"/>
                <w:sz w:val="24"/>
                <w:szCs w:val="24"/>
              </w:rPr>
            </w:pPr>
          </w:p>
        </w:tc>
        <w:tc>
          <w:tcPr>
            <w:tcW w:w="1301" w:type="dxa"/>
            <w:tcBorders>
              <w:top w:val="single" w:color="auto" w:sz="4" w:space="0"/>
              <w:left w:val="nil"/>
              <w:bottom w:val="single" w:color="auto" w:sz="4" w:space="0"/>
              <w:right w:val="single" w:color="auto" w:sz="4" w:space="0"/>
            </w:tcBorders>
            <w:vAlign w:val="center"/>
          </w:tcPr>
          <w:p w14:paraId="2BA0E7AC">
            <w:pPr>
              <w:spacing w:line="360" w:lineRule="auto"/>
              <w:jc w:val="center"/>
              <w:outlineLvl w:val="9"/>
              <w:rPr>
                <w:rFonts w:hint="eastAsia" w:ascii="宋体" w:hAnsi="宋体" w:eastAsia="宋体" w:cs="宋体"/>
                <w:color w:val="auto"/>
                <w:sz w:val="24"/>
                <w:szCs w:val="24"/>
              </w:rPr>
            </w:pPr>
          </w:p>
        </w:tc>
        <w:tc>
          <w:tcPr>
            <w:tcW w:w="1134" w:type="dxa"/>
            <w:tcBorders>
              <w:top w:val="single" w:color="auto" w:sz="4" w:space="0"/>
              <w:left w:val="nil"/>
              <w:bottom w:val="single" w:color="auto" w:sz="4" w:space="0"/>
              <w:right w:val="single" w:color="auto" w:sz="4" w:space="0"/>
            </w:tcBorders>
            <w:vAlign w:val="center"/>
          </w:tcPr>
          <w:p w14:paraId="565B37E6">
            <w:pPr>
              <w:spacing w:line="360" w:lineRule="auto"/>
              <w:jc w:val="center"/>
              <w:outlineLvl w:val="9"/>
              <w:rPr>
                <w:rFonts w:hint="eastAsia" w:ascii="宋体" w:hAnsi="宋体" w:eastAsia="宋体" w:cs="宋体"/>
                <w:color w:val="auto"/>
                <w:sz w:val="24"/>
                <w:szCs w:val="24"/>
              </w:rPr>
            </w:pPr>
          </w:p>
        </w:tc>
        <w:tc>
          <w:tcPr>
            <w:tcW w:w="1680" w:type="dxa"/>
            <w:tcBorders>
              <w:top w:val="single" w:color="auto" w:sz="4" w:space="0"/>
              <w:left w:val="nil"/>
              <w:bottom w:val="single" w:color="auto" w:sz="4" w:space="0"/>
              <w:right w:val="single" w:color="auto" w:sz="4" w:space="0"/>
            </w:tcBorders>
          </w:tcPr>
          <w:p w14:paraId="2AA73FD6">
            <w:pPr>
              <w:spacing w:line="360" w:lineRule="auto"/>
              <w:jc w:val="center"/>
              <w:outlineLvl w:val="9"/>
              <w:rPr>
                <w:rFonts w:hint="eastAsia" w:ascii="宋体" w:hAnsi="宋体" w:eastAsia="宋体" w:cs="宋体"/>
                <w:color w:val="auto"/>
                <w:sz w:val="24"/>
                <w:szCs w:val="24"/>
              </w:rPr>
            </w:pPr>
          </w:p>
        </w:tc>
      </w:tr>
      <w:tr w14:paraId="661FF090">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14:paraId="31F5A626">
            <w:pPr>
              <w:spacing w:line="360" w:lineRule="auto"/>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695" w:type="dxa"/>
            <w:tcBorders>
              <w:top w:val="single" w:color="auto" w:sz="4" w:space="0"/>
              <w:left w:val="nil"/>
              <w:bottom w:val="single" w:color="auto" w:sz="4" w:space="0"/>
              <w:right w:val="single" w:color="auto" w:sz="4" w:space="0"/>
            </w:tcBorders>
            <w:vAlign w:val="center"/>
          </w:tcPr>
          <w:p w14:paraId="57AA1122">
            <w:pPr>
              <w:spacing w:line="360" w:lineRule="auto"/>
              <w:jc w:val="center"/>
              <w:outlineLvl w:val="9"/>
              <w:rPr>
                <w:rFonts w:hint="eastAsia" w:ascii="宋体" w:hAnsi="宋体" w:eastAsia="宋体" w:cs="宋体"/>
                <w:color w:val="auto"/>
                <w:sz w:val="24"/>
                <w:szCs w:val="24"/>
              </w:rPr>
            </w:pPr>
          </w:p>
        </w:tc>
        <w:tc>
          <w:tcPr>
            <w:tcW w:w="1423" w:type="dxa"/>
            <w:tcBorders>
              <w:top w:val="single" w:color="auto" w:sz="4" w:space="0"/>
              <w:left w:val="nil"/>
              <w:bottom w:val="single" w:color="auto" w:sz="4" w:space="0"/>
              <w:right w:val="single" w:color="auto" w:sz="4" w:space="0"/>
            </w:tcBorders>
            <w:vAlign w:val="center"/>
          </w:tcPr>
          <w:p w14:paraId="2A5690E7">
            <w:pPr>
              <w:spacing w:line="360" w:lineRule="auto"/>
              <w:jc w:val="center"/>
              <w:outlineLvl w:val="9"/>
              <w:rPr>
                <w:rFonts w:hint="eastAsia" w:ascii="宋体" w:hAnsi="宋体" w:eastAsia="宋体" w:cs="宋体"/>
                <w:color w:val="auto"/>
                <w:sz w:val="24"/>
                <w:szCs w:val="24"/>
              </w:rPr>
            </w:pPr>
          </w:p>
        </w:tc>
        <w:tc>
          <w:tcPr>
            <w:tcW w:w="1276" w:type="dxa"/>
            <w:tcBorders>
              <w:top w:val="single" w:color="auto" w:sz="4" w:space="0"/>
              <w:left w:val="nil"/>
              <w:bottom w:val="single" w:color="auto" w:sz="4" w:space="0"/>
              <w:right w:val="single" w:color="auto" w:sz="4" w:space="0"/>
            </w:tcBorders>
            <w:vAlign w:val="center"/>
          </w:tcPr>
          <w:p w14:paraId="08392473">
            <w:pPr>
              <w:spacing w:line="360" w:lineRule="auto"/>
              <w:jc w:val="center"/>
              <w:outlineLvl w:val="9"/>
              <w:rPr>
                <w:rFonts w:hint="eastAsia" w:ascii="宋体" w:hAnsi="宋体" w:eastAsia="宋体" w:cs="宋体"/>
                <w:color w:val="auto"/>
                <w:sz w:val="24"/>
                <w:szCs w:val="24"/>
              </w:rPr>
            </w:pPr>
          </w:p>
        </w:tc>
        <w:tc>
          <w:tcPr>
            <w:tcW w:w="1301" w:type="dxa"/>
            <w:tcBorders>
              <w:top w:val="single" w:color="auto" w:sz="4" w:space="0"/>
              <w:left w:val="nil"/>
              <w:bottom w:val="single" w:color="auto" w:sz="4" w:space="0"/>
              <w:right w:val="single" w:color="auto" w:sz="4" w:space="0"/>
            </w:tcBorders>
            <w:vAlign w:val="center"/>
          </w:tcPr>
          <w:p w14:paraId="77925940">
            <w:pPr>
              <w:spacing w:line="360" w:lineRule="auto"/>
              <w:jc w:val="center"/>
              <w:outlineLvl w:val="9"/>
              <w:rPr>
                <w:rFonts w:hint="eastAsia" w:ascii="宋体" w:hAnsi="宋体" w:eastAsia="宋体" w:cs="宋体"/>
                <w:color w:val="auto"/>
                <w:sz w:val="24"/>
                <w:szCs w:val="24"/>
              </w:rPr>
            </w:pPr>
          </w:p>
        </w:tc>
        <w:tc>
          <w:tcPr>
            <w:tcW w:w="1134" w:type="dxa"/>
            <w:tcBorders>
              <w:top w:val="single" w:color="auto" w:sz="4" w:space="0"/>
              <w:left w:val="nil"/>
              <w:bottom w:val="single" w:color="auto" w:sz="4" w:space="0"/>
              <w:right w:val="single" w:color="auto" w:sz="4" w:space="0"/>
            </w:tcBorders>
            <w:vAlign w:val="center"/>
          </w:tcPr>
          <w:p w14:paraId="214E4A60">
            <w:pPr>
              <w:spacing w:line="360" w:lineRule="auto"/>
              <w:jc w:val="center"/>
              <w:outlineLvl w:val="9"/>
              <w:rPr>
                <w:rFonts w:hint="eastAsia" w:ascii="宋体" w:hAnsi="宋体" w:eastAsia="宋体" w:cs="宋体"/>
                <w:color w:val="auto"/>
                <w:sz w:val="24"/>
                <w:szCs w:val="24"/>
              </w:rPr>
            </w:pPr>
          </w:p>
        </w:tc>
        <w:tc>
          <w:tcPr>
            <w:tcW w:w="1680" w:type="dxa"/>
            <w:tcBorders>
              <w:top w:val="single" w:color="auto" w:sz="4" w:space="0"/>
              <w:left w:val="nil"/>
              <w:bottom w:val="single" w:color="auto" w:sz="4" w:space="0"/>
              <w:right w:val="single" w:color="auto" w:sz="4" w:space="0"/>
            </w:tcBorders>
          </w:tcPr>
          <w:p w14:paraId="7AB7E4C1">
            <w:pPr>
              <w:spacing w:line="360" w:lineRule="auto"/>
              <w:jc w:val="center"/>
              <w:outlineLvl w:val="9"/>
              <w:rPr>
                <w:rFonts w:hint="eastAsia" w:ascii="宋体" w:hAnsi="宋体" w:eastAsia="宋体" w:cs="宋体"/>
                <w:color w:val="auto"/>
                <w:sz w:val="24"/>
                <w:szCs w:val="24"/>
              </w:rPr>
            </w:pPr>
          </w:p>
        </w:tc>
      </w:tr>
      <w:tr w14:paraId="1F94D89C">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14:paraId="49E5D009">
            <w:pPr>
              <w:spacing w:line="360" w:lineRule="auto"/>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695" w:type="dxa"/>
            <w:tcBorders>
              <w:top w:val="single" w:color="auto" w:sz="4" w:space="0"/>
              <w:left w:val="nil"/>
              <w:bottom w:val="single" w:color="auto" w:sz="4" w:space="0"/>
              <w:right w:val="single" w:color="auto" w:sz="4" w:space="0"/>
            </w:tcBorders>
            <w:vAlign w:val="center"/>
          </w:tcPr>
          <w:p w14:paraId="11303706">
            <w:pPr>
              <w:spacing w:line="360" w:lineRule="auto"/>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423" w:type="dxa"/>
            <w:tcBorders>
              <w:top w:val="single" w:color="auto" w:sz="4" w:space="0"/>
              <w:left w:val="nil"/>
              <w:bottom w:val="single" w:color="auto" w:sz="4" w:space="0"/>
              <w:right w:val="single" w:color="auto" w:sz="4" w:space="0"/>
            </w:tcBorders>
            <w:vAlign w:val="center"/>
          </w:tcPr>
          <w:p w14:paraId="2CD613A2">
            <w:pPr>
              <w:spacing w:line="360" w:lineRule="auto"/>
              <w:jc w:val="center"/>
              <w:outlineLvl w:val="9"/>
              <w:rPr>
                <w:rFonts w:hint="eastAsia" w:ascii="宋体" w:hAnsi="宋体" w:eastAsia="宋体" w:cs="宋体"/>
                <w:color w:val="auto"/>
                <w:sz w:val="24"/>
                <w:szCs w:val="24"/>
              </w:rPr>
            </w:pPr>
          </w:p>
        </w:tc>
        <w:tc>
          <w:tcPr>
            <w:tcW w:w="1276" w:type="dxa"/>
            <w:tcBorders>
              <w:top w:val="single" w:color="auto" w:sz="4" w:space="0"/>
              <w:left w:val="nil"/>
              <w:bottom w:val="single" w:color="auto" w:sz="4" w:space="0"/>
              <w:right w:val="single" w:color="auto" w:sz="4" w:space="0"/>
            </w:tcBorders>
            <w:vAlign w:val="center"/>
          </w:tcPr>
          <w:p w14:paraId="4BDC3F35">
            <w:pPr>
              <w:spacing w:line="360" w:lineRule="auto"/>
              <w:jc w:val="center"/>
              <w:outlineLvl w:val="9"/>
              <w:rPr>
                <w:rFonts w:hint="eastAsia" w:ascii="宋体" w:hAnsi="宋体" w:eastAsia="宋体" w:cs="宋体"/>
                <w:color w:val="auto"/>
                <w:sz w:val="24"/>
                <w:szCs w:val="24"/>
              </w:rPr>
            </w:pPr>
          </w:p>
        </w:tc>
        <w:tc>
          <w:tcPr>
            <w:tcW w:w="1301" w:type="dxa"/>
            <w:tcBorders>
              <w:top w:val="single" w:color="auto" w:sz="4" w:space="0"/>
              <w:left w:val="nil"/>
              <w:bottom w:val="single" w:color="auto" w:sz="4" w:space="0"/>
              <w:right w:val="single" w:color="auto" w:sz="4" w:space="0"/>
            </w:tcBorders>
            <w:vAlign w:val="center"/>
          </w:tcPr>
          <w:p w14:paraId="1476CCBC">
            <w:pPr>
              <w:spacing w:line="360" w:lineRule="auto"/>
              <w:jc w:val="center"/>
              <w:outlineLvl w:val="9"/>
              <w:rPr>
                <w:rFonts w:hint="eastAsia" w:ascii="宋体" w:hAnsi="宋体" w:eastAsia="宋体" w:cs="宋体"/>
                <w:color w:val="auto"/>
                <w:sz w:val="24"/>
                <w:szCs w:val="24"/>
              </w:rPr>
            </w:pPr>
          </w:p>
        </w:tc>
        <w:tc>
          <w:tcPr>
            <w:tcW w:w="1134" w:type="dxa"/>
            <w:tcBorders>
              <w:top w:val="single" w:color="auto" w:sz="4" w:space="0"/>
              <w:left w:val="nil"/>
              <w:bottom w:val="single" w:color="auto" w:sz="4" w:space="0"/>
              <w:right w:val="single" w:color="auto" w:sz="4" w:space="0"/>
            </w:tcBorders>
            <w:vAlign w:val="center"/>
          </w:tcPr>
          <w:p w14:paraId="0E808628">
            <w:pPr>
              <w:spacing w:line="360" w:lineRule="auto"/>
              <w:jc w:val="center"/>
              <w:outlineLvl w:val="9"/>
              <w:rPr>
                <w:rFonts w:hint="eastAsia" w:ascii="宋体" w:hAnsi="宋体" w:eastAsia="宋体" w:cs="宋体"/>
                <w:color w:val="auto"/>
                <w:sz w:val="24"/>
                <w:szCs w:val="24"/>
              </w:rPr>
            </w:pPr>
          </w:p>
        </w:tc>
        <w:tc>
          <w:tcPr>
            <w:tcW w:w="1680" w:type="dxa"/>
            <w:tcBorders>
              <w:top w:val="single" w:color="auto" w:sz="4" w:space="0"/>
              <w:left w:val="nil"/>
              <w:bottom w:val="single" w:color="auto" w:sz="4" w:space="0"/>
              <w:right w:val="single" w:color="auto" w:sz="4" w:space="0"/>
            </w:tcBorders>
          </w:tcPr>
          <w:p w14:paraId="68328516">
            <w:pPr>
              <w:spacing w:line="360" w:lineRule="auto"/>
              <w:jc w:val="center"/>
              <w:outlineLvl w:val="9"/>
              <w:rPr>
                <w:rFonts w:hint="eastAsia" w:ascii="宋体" w:hAnsi="宋体" w:eastAsia="宋体" w:cs="宋体"/>
                <w:color w:val="auto"/>
                <w:sz w:val="24"/>
                <w:szCs w:val="24"/>
              </w:rPr>
            </w:pPr>
          </w:p>
        </w:tc>
      </w:tr>
    </w:tbl>
    <w:p w14:paraId="59C6370E">
      <w:pPr>
        <w:spacing w:line="360" w:lineRule="auto"/>
        <w:outlineLvl w:val="9"/>
        <w:rPr>
          <w:rFonts w:hint="eastAsia" w:ascii="宋体" w:hAnsi="宋体" w:eastAsia="宋体" w:cs="宋体"/>
          <w:color w:val="auto"/>
          <w:sz w:val="24"/>
          <w:szCs w:val="24"/>
        </w:rPr>
      </w:pPr>
    </w:p>
    <w:p w14:paraId="616B97E9">
      <w:pPr>
        <w:spacing w:line="360" w:lineRule="auto"/>
        <w:ind w:left="359" w:leftChars="171"/>
        <w:outlineLvl w:val="9"/>
        <w:rPr>
          <w:rFonts w:hint="eastAsia" w:ascii="宋体" w:hAnsi="宋体" w:eastAsia="宋体" w:cs="宋体"/>
          <w:color w:val="auto"/>
          <w:sz w:val="24"/>
          <w:szCs w:val="24"/>
        </w:rPr>
      </w:pPr>
    </w:p>
    <w:p w14:paraId="56EA954F">
      <w:pPr>
        <w:spacing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供应商名称：XXX（盖单位公章）</w:t>
      </w:r>
    </w:p>
    <w:p w14:paraId="240AEEB4">
      <w:pPr>
        <w:spacing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法定代表人/单位负责人或授权代表（签字或加盖个人印章）：XXX</w:t>
      </w:r>
    </w:p>
    <w:p w14:paraId="35622215">
      <w:pPr>
        <w:spacing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日期：XXX</w:t>
      </w:r>
    </w:p>
    <w:p w14:paraId="2C0B4402">
      <w:pPr>
        <w:spacing w:line="360" w:lineRule="auto"/>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br w:type="page"/>
      </w:r>
    </w:p>
    <w:bookmarkEnd w:id="103"/>
    <w:p w14:paraId="68243AD3">
      <w:pPr>
        <w:spacing w:line="360" w:lineRule="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格式2-1</w:t>
      </w:r>
      <w:r>
        <w:rPr>
          <w:rFonts w:hint="eastAsia" w:ascii="宋体" w:hAnsi="宋体" w:cs="宋体"/>
          <w:b/>
          <w:bCs/>
          <w:color w:val="auto"/>
          <w:sz w:val="24"/>
          <w:szCs w:val="24"/>
          <w:lang w:val="en-US" w:eastAsia="zh-CN"/>
        </w:rPr>
        <w:t>1</w:t>
      </w:r>
    </w:p>
    <w:p w14:paraId="125B49EC">
      <w:pPr>
        <w:spacing w:line="360" w:lineRule="auto"/>
        <w:jc w:val="center"/>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十、供应商诚信情况承诺函</w:t>
      </w:r>
    </w:p>
    <w:p w14:paraId="69C3E0D2">
      <w:pPr>
        <w:spacing w:line="360" w:lineRule="auto"/>
        <w:outlineLvl w:val="9"/>
        <w:rPr>
          <w:rFonts w:hint="eastAsia" w:ascii="宋体" w:hAnsi="宋体" w:eastAsia="宋体" w:cs="宋体"/>
          <w:color w:val="auto"/>
          <w:sz w:val="24"/>
          <w:szCs w:val="24"/>
        </w:rPr>
      </w:pPr>
    </w:p>
    <w:p w14:paraId="6DDE0B2D">
      <w:pPr>
        <w:spacing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致（采购代理机构）：</w:t>
      </w:r>
    </w:p>
    <w:p w14:paraId="1382E490">
      <w:pPr>
        <w:spacing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本单位</w:t>
      </w:r>
      <w:r>
        <w:rPr>
          <w:rFonts w:hint="eastAsia" w:ascii="宋体" w:hAnsi="宋体" w:eastAsia="宋体" w:cs="宋体"/>
          <w:color w:val="auto"/>
          <w:sz w:val="24"/>
          <w:szCs w:val="24"/>
          <w:u w:val="single"/>
        </w:rPr>
        <w:t>XXXX（供应商名称）</w:t>
      </w:r>
      <w:r>
        <w:rPr>
          <w:rFonts w:hint="eastAsia" w:ascii="宋体" w:hAnsi="宋体" w:eastAsia="宋体" w:cs="宋体"/>
          <w:color w:val="auto"/>
          <w:sz w:val="24"/>
          <w:szCs w:val="24"/>
        </w:rPr>
        <w:t>参加</w:t>
      </w:r>
      <w:r>
        <w:rPr>
          <w:rFonts w:hint="eastAsia" w:ascii="宋体" w:hAnsi="宋体" w:eastAsia="宋体" w:cs="宋体"/>
          <w:color w:val="auto"/>
          <w:sz w:val="24"/>
          <w:szCs w:val="24"/>
          <w:u w:val="single"/>
        </w:rPr>
        <w:t>XXXX（项目名称及采购编号）</w:t>
      </w:r>
      <w:r>
        <w:rPr>
          <w:rFonts w:hint="eastAsia" w:ascii="宋体" w:hAnsi="宋体" w:eastAsia="宋体" w:cs="宋体"/>
          <w:color w:val="auto"/>
          <w:sz w:val="24"/>
          <w:szCs w:val="24"/>
        </w:rPr>
        <w:t>的政府采购活动，现根据《四川省公共资源交易领域严重失信联合惩戒实施办法》（川发改信用规〔2019〕405号）、《关于对政府采购领域严重违法失信主体开展联合惩戒的合作备忘录》（发改财金〔2018〕1614号）的相关规定，针对本单位的诚信情况作出以下承诺：</w:t>
      </w:r>
    </w:p>
    <w:p w14:paraId="0A3C7701">
      <w:pPr>
        <w:spacing w:line="360" w:lineRule="auto"/>
        <w:ind w:firstLine="480" w:firstLineChars="200"/>
        <w:outlineLvl w:val="9"/>
        <w:rPr>
          <w:rFonts w:hint="eastAsia" w:ascii="宋体" w:hAnsi="宋体" w:eastAsia="宋体" w:cs="宋体"/>
          <w:color w:val="auto"/>
          <w:sz w:val="24"/>
          <w:szCs w:val="24"/>
        </w:rPr>
      </w:pPr>
    </w:p>
    <w:p w14:paraId="731C856F">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我单位具有《四川省公共资源交易领域严重失信联合惩戒实施办法》（川发改信用规〔2019〕405号）、《关于对政府采购领域严重违法失信主体开展联合惩戒的合作备忘录》（发改财金〔2018〕1614号）所规定的失信行为</w:t>
      </w:r>
      <w:r>
        <w:rPr>
          <w:rFonts w:hint="eastAsia" w:ascii="宋体" w:hAnsi="宋体" w:eastAsia="宋体" w:cs="宋体"/>
          <w:color w:val="auto"/>
          <w:sz w:val="24"/>
          <w:szCs w:val="24"/>
          <w:u w:val="single"/>
        </w:rPr>
        <w:t>XXXX</w:t>
      </w:r>
      <w:r>
        <w:rPr>
          <w:rFonts w:hint="eastAsia" w:ascii="宋体" w:hAnsi="宋体" w:eastAsia="宋体" w:cs="宋体"/>
          <w:color w:val="auto"/>
          <w:sz w:val="24"/>
          <w:szCs w:val="24"/>
        </w:rPr>
        <w:t>次（填写失信行为的次数时，建议使用大写数字，如零、壹、贰、叁、肆等。）；（仅限递交响应文件截止当日仍在有效期的次数）</w:t>
      </w:r>
    </w:p>
    <w:p w14:paraId="632C7C27">
      <w:pPr>
        <w:spacing w:line="360" w:lineRule="auto"/>
        <w:ind w:firstLine="480" w:firstLineChars="200"/>
        <w:outlineLvl w:val="9"/>
        <w:rPr>
          <w:rFonts w:hint="eastAsia" w:ascii="宋体" w:hAnsi="宋体" w:eastAsia="宋体" w:cs="宋体"/>
          <w:color w:val="auto"/>
          <w:sz w:val="24"/>
          <w:szCs w:val="24"/>
        </w:rPr>
      </w:pPr>
    </w:p>
    <w:p w14:paraId="13AF1BC1">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我单位对以上填写信息的真实性负责。如有不实，本单位愿承担由此产生的一切法律责任和后果。</w:t>
      </w:r>
    </w:p>
    <w:p w14:paraId="5C6A528C">
      <w:pPr>
        <w:widowControl/>
        <w:spacing w:line="360" w:lineRule="auto"/>
        <w:ind w:firstLine="470" w:firstLineChars="196"/>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供应商名称：XXXX（单位盖章）。</w:t>
      </w:r>
    </w:p>
    <w:p w14:paraId="67753076">
      <w:pPr>
        <w:widowControl/>
        <w:spacing w:line="360" w:lineRule="auto"/>
        <w:ind w:firstLine="470" w:firstLineChars="196"/>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递交响应文件截止日期: XXXX。</w:t>
      </w:r>
    </w:p>
    <w:p w14:paraId="6E7CECA0">
      <w:pPr>
        <w:spacing w:line="360" w:lineRule="auto"/>
        <w:outlineLvl w:val="9"/>
        <w:rPr>
          <w:rFonts w:hint="eastAsia" w:ascii="宋体" w:hAnsi="宋体" w:eastAsia="宋体" w:cs="宋体"/>
          <w:color w:val="auto"/>
          <w:sz w:val="24"/>
          <w:szCs w:val="24"/>
        </w:rPr>
      </w:pPr>
    </w:p>
    <w:p w14:paraId="1A62B48B">
      <w:pPr>
        <w:spacing w:line="360" w:lineRule="auto"/>
        <w:outlineLvl w:val="9"/>
        <w:rPr>
          <w:rFonts w:hint="eastAsia" w:ascii="宋体" w:hAnsi="宋体" w:eastAsia="宋体" w:cs="宋体"/>
          <w:color w:val="auto"/>
          <w:sz w:val="24"/>
          <w:szCs w:val="24"/>
        </w:rPr>
      </w:pPr>
    </w:p>
    <w:p w14:paraId="6C38B524">
      <w:pPr>
        <w:spacing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7852E315">
      <w:pPr>
        <w:spacing w:line="360" w:lineRule="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1、本表格式及内容仅供参考，供应商也可提供自己的格式；</w:t>
      </w:r>
    </w:p>
    <w:p w14:paraId="4DF2887A">
      <w:pPr>
        <w:spacing w:line="360" w:lineRule="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2、供应商存在以上所述失信行为的，将按照第二章谈判须知附表的要求进行处理；</w:t>
      </w:r>
    </w:p>
    <w:p w14:paraId="28333C04">
      <w:pPr>
        <w:spacing w:line="360" w:lineRule="auto"/>
        <w:outlineLvl w:val="9"/>
        <w:rPr>
          <w:rFonts w:hint="eastAsia" w:ascii="宋体" w:hAnsi="宋体" w:eastAsia="宋体" w:cs="宋体"/>
          <w:color w:val="auto"/>
          <w:kern w:val="0"/>
          <w:sz w:val="21"/>
          <w:szCs w:val="21"/>
        </w:rPr>
      </w:pPr>
      <w:r>
        <w:rPr>
          <w:rFonts w:hint="eastAsia" w:ascii="宋体" w:hAnsi="宋体" w:eastAsia="宋体" w:cs="宋体"/>
          <w:color w:val="auto"/>
          <w:sz w:val="21"/>
          <w:szCs w:val="21"/>
        </w:rPr>
        <w:t>3、财政部门对政府采购当事人的失信行为依法进行处罚、处理后，应当在四川政府采购网向社会公告，并记入诚信档案，有效期为1年。工商部门、税务部门、审判机关及其他有关部门单位认定供应商的失信行为明</w:t>
      </w:r>
      <w:r>
        <w:rPr>
          <w:rFonts w:hint="eastAsia" w:ascii="宋体" w:hAnsi="宋体" w:eastAsia="宋体" w:cs="宋体"/>
          <w:color w:val="auto"/>
          <w:kern w:val="0"/>
          <w:sz w:val="21"/>
          <w:szCs w:val="21"/>
        </w:rPr>
        <w:t>确了有效期的，不再重复计算。</w:t>
      </w:r>
    </w:p>
    <w:p w14:paraId="13B49BBD">
      <w:pPr>
        <w:spacing w:line="360" w:lineRule="auto"/>
        <w:outlineLvl w:val="9"/>
        <w:rPr>
          <w:rFonts w:hint="eastAsia" w:ascii="宋体" w:hAnsi="宋体" w:eastAsia="宋体" w:cs="宋体"/>
          <w:color w:val="auto"/>
          <w:sz w:val="21"/>
          <w:szCs w:val="21"/>
        </w:rPr>
      </w:pPr>
      <w:r>
        <w:rPr>
          <w:rFonts w:hint="eastAsia" w:ascii="宋体" w:hAnsi="宋体" w:eastAsia="宋体" w:cs="宋体"/>
          <w:color w:val="auto"/>
          <w:kern w:val="0"/>
          <w:sz w:val="21"/>
          <w:szCs w:val="21"/>
        </w:rPr>
        <w:t>4、</w:t>
      </w:r>
      <w:r>
        <w:rPr>
          <w:rFonts w:hint="eastAsia" w:ascii="宋体" w:hAnsi="宋体" w:eastAsia="宋体" w:cs="宋体"/>
          <w:color w:val="auto"/>
          <w:sz w:val="21"/>
          <w:szCs w:val="21"/>
        </w:rPr>
        <w:t>供应商的失信行为受到行政处罚或司法惩处的，评审时不再对其以价格加成进行惩戒。</w:t>
      </w:r>
    </w:p>
    <w:p w14:paraId="7A902098">
      <w:pPr>
        <w:widowControl/>
        <w:jc w:val="left"/>
        <w:outlineLvl w:val="9"/>
        <w:rPr>
          <w:rFonts w:hint="eastAsia" w:ascii="宋体" w:hAnsi="宋体" w:eastAsia="宋体" w:cs="宋体"/>
          <w:b/>
          <w:bCs/>
          <w:color w:val="auto"/>
          <w:sz w:val="24"/>
          <w:szCs w:val="24"/>
          <w:lang w:val="en-US" w:eastAsia="zh-CN"/>
        </w:rPr>
      </w:pPr>
      <w:r>
        <w:rPr>
          <w:rFonts w:hint="eastAsia" w:ascii="宋体" w:hAnsi="宋体" w:eastAsia="宋体" w:cs="宋体"/>
          <w:color w:val="auto"/>
          <w:sz w:val="24"/>
          <w:szCs w:val="24"/>
        </w:rPr>
        <w:br w:type="page"/>
      </w:r>
      <w:bookmarkStart w:id="104" w:name="_Toc28334876"/>
      <w:r>
        <w:rPr>
          <w:rFonts w:hint="eastAsia" w:ascii="宋体" w:hAnsi="宋体" w:eastAsia="宋体" w:cs="宋体"/>
          <w:b/>
          <w:bCs/>
          <w:color w:val="auto"/>
          <w:sz w:val="24"/>
          <w:szCs w:val="24"/>
        </w:rPr>
        <w:t>格式2-1</w:t>
      </w:r>
      <w:r>
        <w:rPr>
          <w:rFonts w:hint="eastAsia" w:ascii="宋体" w:hAnsi="宋体" w:cs="宋体"/>
          <w:b/>
          <w:bCs/>
          <w:color w:val="auto"/>
          <w:sz w:val="24"/>
          <w:szCs w:val="24"/>
          <w:lang w:val="en-US" w:eastAsia="zh-CN"/>
        </w:rPr>
        <w:t>2</w:t>
      </w:r>
    </w:p>
    <w:p w14:paraId="43481998">
      <w:pPr>
        <w:numPr>
          <w:ilvl w:val="0"/>
          <w:numId w:val="7"/>
        </w:numPr>
        <w:tabs>
          <w:tab w:val="left" w:pos="426"/>
          <w:tab w:val="left" w:pos="567"/>
        </w:tabs>
        <w:ind w:left="567" w:firstLine="1080" w:firstLineChars="450"/>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最</w:t>
      </w:r>
      <w:r>
        <w:rPr>
          <w:rFonts w:hint="eastAsia" w:ascii="宋体" w:hAnsi="宋体" w:eastAsia="宋体" w:cs="宋体"/>
          <w:color w:val="auto"/>
          <w:sz w:val="24"/>
          <w:szCs w:val="24"/>
          <w:lang w:eastAsia="zh-CN"/>
        </w:rPr>
        <w:t>后</w:t>
      </w:r>
      <w:r>
        <w:rPr>
          <w:rFonts w:hint="eastAsia" w:ascii="宋体" w:hAnsi="宋体" w:eastAsia="宋体" w:cs="宋体"/>
          <w:color w:val="auto"/>
          <w:sz w:val="24"/>
          <w:szCs w:val="24"/>
        </w:rPr>
        <w:t>报价表</w:t>
      </w:r>
      <w:bookmarkEnd w:id="104"/>
    </w:p>
    <w:p w14:paraId="088A1CDA">
      <w:pPr>
        <w:numPr>
          <w:ilvl w:val="0"/>
          <w:numId w:val="0"/>
        </w:numPr>
        <w:tabs>
          <w:tab w:val="left" w:pos="426"/>
          <w:tab w:val="left" w:pos="567"/>
        </w:tabs>
        <w:ind w:leftChars="450"/>
        <w:jc w:val="both"/>
        <w:outlineLvl w:val="9"/>
        <w:rPr>
          <w:rFonts w:hint="eastAsia" w:ascii="宋体" w:hAnsi="宋体" w:eastAsia="宋体" w:cs="宋体"/>
          <w:color w:val="auto"/>
          <w:sz w:val="24"/>
          <w:szCs w:val="24"/>
        </w:rPr>
      </w:pPr>
    </w:p>
    <w:p w14:paraId="33B07F22">
      <w:pPr>
        <w:numPr>
          <w:ilvl w:val="0"/>
          <w:numId w:val="0"/>
        </w:numPr>
        <w:tabs>
          <w:tab w:val="left" w:pos="426"/>
          <w:tab w:val="left" w:pos="567"/>
        </w:tabs>
        <w:ind w:leftChars="450"/>
        <w:jc w:val="both"/>
        <w:outlineLvl w:val="9"/>
        <w:rPr>
          <w:rFonts w:hint="eastAsia" w:ascii="宋体" w:hAnsi="宋体" w:eastAsia="宋体" w:cs="宋体"/>
          <w:color w:val="auto"/>
          <w:sz w:val="24"/>
          <w:szCs w:val="24"/>
        </w:rPr>
      </w:pPr>
    </w:p>
    <w:tbl>
      <w:tblPr>
        <w:tblStyle w:val="44"/>
        <w:tblpPr w:leftFromText="180" w:rightFromText="180" w:vertAnchor="text" w:tblpXSpec="center" w:tblpY="12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5282"/>
        <w:gridCol w:w="2693"/>
      </w:tblGrid>
      <w:tr w14:paraId="3B89E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347" w:type="dxa"/>
            <w:vAlign w:val="center"/>
          </w:tcPr>
          <w:p w14:paraId="324A8E91">
            <w:pPr>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282" w:type="dxa"/>
            <w:vAlign w:val="center"/>
          </w:tcPr>
          <w:p w14:paraId="77F3B0FA">
            <w:pPr>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2693" w:type="dxa"/>
            <w:vAlign w:val="center"/>
          </w:tcPr>
          <w:p w14:paraId="5E04FDEB">
            <w:pPr>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报价</w:t>
            </w:r>
          </w:p>
        </w:tc>
      </w:tr>
      <w:tr w14:paraId="79BC5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347" w:type="dxa"/>
            <w:vAlign w:val="center"/>
          </w:tcPr>
          <w:p w14:paraId="2A410980">
            <w:pPr>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282" w:type="dxa"/>
            <w:vAlign w:val="center"/>
          </w:tcPr>
          <w:p w14:paraId="7B8870BC">
            <w:pPr>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XXX</w:t>
            </w:r>
          </w:p>
        </w:tc>
        <w:tc>
          <w:tcPr>
            <w:tcW w:w="2693" w:type="dxa"/>
            <w:vAlign w:val="center"/>
          </w:tcPr>
          <w:p w14:paraId="768E4C60">
            <w:pPr>
              <w:ind w:firstLine="748" w:firstLineChars="312"/>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XX元</w:t>
            </w:r>
          </w:p>
        </w:tc>
      </w:tr>
    </w:tbl>
    <w:p w14:paraId="0173C5D9">
      <w:pPr>
        <w:snapToGrid w:val="0"/>
        <w:spacing w:line="360" w:lineRule="auto"/>
        <w:ind w:right="-624" w:rightChars="-297"/>
        <w:outlineLvl w:val="9"/>
        <w:rPr>
          <w:rFonts w:hint="eastAsia" w:ascii="宋体" w:hAnsi="宋体" w:eastAsia="宋体" w:cs="宋体"/>
          <w:color w:val="auto"/>
          <w:sz w:val="24"/>
          <w:szCs w:val="24"/>
        </w:rPr>
      </w:pPr>
    </w:p>
    <w:p w14:paraId="6E98306F">
      <w:pPr>
        <w:snapToGrid w:val="0"/>
        <w:spacing w:line="360" w:lineRule="auto"/>
        <w:ind w:right="-624" w:rightChars="-297"/>
        <w:outlineLvl w:val="9"/>
        <w:rPr>
          <w:rFonts w:hint="eastAsia" w:ascii="宋体" w:hAnsi="宋体" w:eastAsia="宋体" w:cs="宋体"/>
          <w:color w:val="auto"/>
          <w:sz w:val="24"/>
          <w:szCs w:val="24"/>
        </w:rPr>
      </w:pPr>
    </w:p>
    <w:p w14:paraId="1BE1F971">
      <w:pPr>
        <w:pStyle w:val="169"/>
        <w:outlineLvl w:val="9"/>
        <w:rPr>
          <w:rFonts w:hint="eastAsia" w:ascii="宋体" w:hAnsi="宋体" w:eastAsia="宋体" w:cs="宋体"/>
          <w:color w:val="auto"/>
          <w:sz w:val="24"/>
          <w:szCs w:val="24"/>
        </w:rPr>
      </w:pPr>
      <w:r>
        <w:rPr>
          <w:rFonts w:hint="eastAsia" w:ascii="宋体" w:hAnsi="宋体" w:eastAsia="宋体" w:cs="宋体"/>
          <w:color w:val="auto"/>
          <w:sz w:val="24"/>
          <w:szCs w:val="24"/>
        </w:rPr>
        <w:t>最后报价（大写人民币）：XXXX</w:t>
      </w:r>
    </w:p>
    <w:p w14:paraId="763FD995">
      <w:pPr>
        <w:pStyle w:val="169"/>
        <w:ind w:firstLine="0"/>
        <w:outlineLvl w:val="9"/>
        <w:rPr>
          <w:rFonts w:hint="eastAsia" w:ascii="宋体" w:hAnsi="宋体" w:eastAsia="宋体" w:cs="宋体"/>
          <w:color w:val="auto"/>
          <w:sz w:val="24"/>
          <w:szCs w:val="24"/>
        </w:rPr>
      </w:pPr>
    </w:p>
    <w:p w14:paraId="2450130B">
      <w:pPr>
        <w:pStyle w:val="169"/>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供应商名称：XXXX</w:t>
      </w:r>
    </w:p>
    <w:p w14:paraId="7AEBCC97">
      <w:pPr>
        <w:pStyle w:val="169"/>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法定代表人或代理人：XXXX（签字）</w:t>
      </w:r>
    </w:p>
    <w:p w14:paraId="2F495534">
      <w:pPr>
        <w:pStyle w:val="169"/>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日期：XX年XX月XX日</w:t>
      </w:r>
    </w:p>
    <w:p w14:paraId="0BDB4B89">
      <w:pPr>
        <w:pStyle w:val="169"/>
        <w:ind w:firstLine="551"/>
        <w:outlineLvl w:val="9"/>
        <w:rPr>
          <w:rFonts w:hint="eastAsia" w:ascii="宋体" w:hAnsi="宋体" w:eastAsia="宋体" w:cs="宋体"/>
          <w:color w:val="auto"/>
          <w:sz w:val="24"/>
          <w:szCs w:val="24"/>
        </w:rPr>
      </w:pPr>
      <w:r>
        <w:rPr>
          <w:rFonts w:hint="eastAsia" w:ascii="宋体" w:hAnsi="宋体" w:eastAsia="宋体" w:cs="宋体"/>
          <w:color w:val="auto"/>
          <w:sz w:val="24"/>
          <w:szCs w:val="24"/>
        </w:rPr>
        <w:t>说明：1、供应商可不在响应文件中填写并提供此表。此表为谈判结束后，由供应商填写“最</w:t>
      </w:r>
      <w:r>
        <w:rPr>
          <w:rFonts w:hint="eastAsia" w:ascii="宋体" w:hAnsi="宋体" w:cs="宋体"/>
          <w:color w:val="auto"/>
          <w:sz w:val="24"/>
          <w:szCs w:val="24"/>
          <w:lang w:eastAsia="zh-CN"/>
        </w:rPr>
        <w:t>后</w:t>
      </w:r>
      <w:r>
        <w:rPr>
          <w:rFonts w:hint="eastAsia" w:ascii="宋体" w:hAnsi="宋体" w:eastAsia="宋体" w:cs="宋体"/>
          <w:color w:val="auto"/>
          <w:sz w:val="24"/>
          <w:szCs w:val="24"/>
        </w:rPr>
        <w:t>报价”（表格由谈判小组提供），经供应商法定代表人或代理人签字后密封递交给采购代理机构工作人员，由其收集齐后集中递交谈判小组。供应商在响应文件中提交此表的，不影响其响应文件的有效性，其最后报价以谈判结束后提交的“最后报价”为准。</w:t>
      </w:r>
    </w:p>
    <w:p w14:paraId="4EBFE302">
      <w:pPr>
        <w:pStyle w:val="169"/>
        <w:ind w:firstLine="551"/>
        <w:outlineLvl w:val="9"/>
        <w:rPr>
          <w:rFonts w:hint="eastAsia" w:ascii="宋体" w:hAnsi="宋体" w:eastAsia="宋体" w:cs="宋体"/>
          <w:color w:val="auto"/>
          <w:sz w:val="24"/>
          <w:szCs w:val="24"/>
        </w:rPr>
      </w:pPr>
      <w:r>
        <w:rPr>
          <w:rFonts w:hint="eastAsia" w:ascii="宋体" w:hAnsi="宋体" w:eastAsia="宋体" w:cs="宋体"/>
          <w:color w:val="auto"/>
          <w:sz w:val="24"/>
          <w:szCs w:val="24"/>
        </w:rPr>
        <w:t>2、报价应是包括谈判文件规定的全部相应内容的报价。</w:t>
      </w:r>
    </w:p>
    <w:p w14:paraId="46CAFD4B">
      <w:pPr>
        <w:outlineLvl w:val="9"/>
        <w:rPr>
          <w:rFonts w:hint="eastAsia" w:ascii="宋体" w:hAnsi="宋体" w:eastAsia="宋体" w:cs="宋体"/>
          <w:color w:val="auto"/>
          <w:sz w:val="24"/>
          <w:szCs w:val="24"/>
        </w:rPr>
      </w:pPr>
    </w:p>
    <w:p w14:paraId="3E58F282">
      <w:pPr>
        <w:pStyle w:val="39"/>
        <w:outlineLvl w:val="9"/>
        <w:rPr>
          <w:rFonts w:hint="eastAsia" w:ascii="宋体" w:hAnsi="宋体" w:eastAsia="宋体" w:cs="宋体"/>
          <w:color w:val="auto"/>
          <w:sz w:val="24"/>
          <w:szCs w:val="24"/>
        </w:rPr>
        <w:sectPr>
          <w:footerReference r:id="rId7" w:type="default"/>
          <w:pgSz w:w="11907" w:h="16840"/>
          <w:pgMar w:top="1440" w:right="1800" w:bottom="1440" w:left="1800" w:header="720" w:footer="720" w:gutter="0"/>
          <w:pgNumType w:fmt="decimal"/>
          <w:cols w:space="720" w:num="1"/>
        </w:sectPr>
      </w:pPr>
    </w:p>
    <w:p w14:paraId="6746AFA5">
      <w:pPr>
        <w:tabs>
          <w:tab w:val="left" w:pos="426"/>
          <w:tab w:val="left" w:pos="567"/>
        </w:tabs>
        <w:jc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十二、其他相关资料</w:t>
      </w:r>
    </w:p>
    <w:p w14:paraId="0D1CA67A">
      <w:pPr>
        <w:pStyle w:val="39"/>
        <w:jc w:val="center"/>
        <w:outlineLvl w:val="9"/>
        <w:rPr>
          <w:rFonts w:hint="eastAsia" w:ascii="宋体" w:hAnsi="宋体" w:cs="宋体"/>
          <w:color w:val="auto"/>
          <w:sz w:val="24"/>
          <w:szCs w:val="24"/>
          <w:lang w:val="en-US" w:eastAsia="zh-CN"/>
        </w:rPr>
      </w:pPr>
      <w:bookmarkStart w:id="105" w:name="_Toc1216"/>
      <w:r>
        <w:rPr>
          <w:rFonts w:hint="eastAsia" w:ascii="宋体" w:hAnsi="宋体" w:cs="宋体"/>
          <w:color w:val="auto"/>
          <w:sz w:val="24"/>
          <w:szCs w:val="24"/>
          <w:lang w:val="en-US" w:eastAsia="zh-CN"/>
        </w:rPr>
        <w:t>（本项目投标阶段无需提供组织方案，入场后按采购人要求提供监理方案）</w:t>
      </w:r>
      <w:bookmarkEnd w:id="105"/>
    </w:p>
    <w:p w14:paraId="2F11FF95">
      <w:pPr>
        <w:pStyle w:val="39"/>
        <w:jc w:val="center"/>
        <w:outlineLvl w:val="9"/>
        <w:rPr>
          <w:rFonts w:hint="eastAsia" w:ascii="宋体" w:hAnsi="宋体" w:cs="宋体"/>
          <w:color w:val="auto"/>
          <w:sz w:val="24"/>
          <w:szCs w:val="24"/>
          <w:lang w:val="en-US" w:eastAsia="zh-CN"/>
        </w:rPr>
      </w:pPr>
    </w:p>
    <w:p w14:paraId="2462D09D">
      <w:pPr>
        <w:pStyle w:val="39"/>
        <w:jc w:val="center"/>
        <w:outlineLvl w:val="0"/>
        <w:rPr>
          <w:rFonts w:hint="eastAsia" w:ascii="宋体" w:hAnsi="宋体" w:eastAsia="宋体" w:cs="宋体"/>
          <w:color w:val="auto"/>
          <w:sz w:val="24"/>
          <w:szCs w:val="24"/>
        </w:rPr>
      </w:pPr>
      <w:r>
        <w:rPr>
          <w:rFonts w:hint="eastAsia" w:ascii="宋体" w:hAnsi="宋体" w:eastAsia="宋体" w:cs="宋体"/>
          <w:color w:val="auto"/>
          <w:sz w:val="24"/>
          <w:szCs w:val="24"/>
        </w:rPr>
        <w:br w:type="page"/>
      </w:r>
      <w:bookmarkStart w:id="106" w:name="_Toc25743"/>
      <w:bookmarkStart w:id="107" w:name="_Toc25532"/>
      <w:r>
        <w:rPr>
          <w:rFonts w:hint="eastAsia" w:ascii="宋体" w:hAnsi="宋体" w:eastAsia="宋体" w:cs="宋体"/>
          <w:color w:val="auto"/>
          <w:sz w:val="36"/>
          <w:szCs w:val="36"/>
        </w:rPr>
        <w:t>第</w:t>
      </w:r>
      <w:r>
        <w:rPr>
          <w:rFonts w:hint="eastAsia" w:ascii="宋体" w:hAnsi="宋体" w:eastAsia="宋体" w:cs="宋体"/>
          <w:color w:val="auto"/>
          <w:sz w:val="36"/>
          <w:szCs w:val="36"/>
          <w:lang w:eastAsia="zh-CN"/>
        </w:rPr>
        <w:t>八</w:t>
      </w:r>
      <w:r>
        <w:rPr>
          <w:rFonts w:hint="eastAsia" w:ascii="宋体" w:hAnsi="宋体" w:eastAsia="宋体" w:cs="宋体"/>
          <w:color w:val="auto"/>
          <w:sz w:val="36"/>
          <w:szCs w:val="36"/>
        </w:rPr>
        <w:t>章  评审方法</w:t>
      </w:r>
      <w:bookmarkEnd w:id="100"/>
      <w:bookmarkEnd w:id="106"/>
      <w:bookmarkEnd w:id="107"/>
    </w:p>
    <w:p w14:paraId="29C7CFD2">
      <w:pPr>
        <w:keepNext w:val="0"/>
        <w:keepLines w:val="0"/>
        <w:spacing w:before="0" w:after="0" w:line="360" w:lineRule="auto"/>
        <w:ind w:firstLine="470" w:firstLineChars="196"/>
        <w:outlineLvl w:val="9"/>
        <w:rPr>
          <w:rFonts w:hint="eastAsia" w:ascii="宋体" w:hAnsi="宋体" w:eastAsia="宋体" w:cs="宋体"/>
          <w:color w:val="auto"/>
          <w:sz w:val="24"/>
          <w:szCs w:val="24"/>
        </w:rPr>
      </w:pPr>
      <w:bookmarkStart w:id="108" w:name="_Toc101174146"/>
      <w:bookmarkStart w:id="109" w:name="_Toc209847065"/>
      <w:bookmarkStart w:id="110" w:name="_Toc101338358"/>
      <w:bookmarkStart w:id="111" w:name="_Toc101250640"/>
      <w:bookmarkStart w:id="112" w:name="_Toc430773924"/>
    </w:p>
    <w:p w14:paraId="650AB2E2">
      <w:pPr>
        <w:keepNext w:val="0"/>
        <w:keepLines w:val="0"/>
        <w:pageBreakBefore w:val="0"/>
        <w:widowControl w:val="0"/>
        <w:kinsoku/>
        <w:wordWrap w:val="0"/>
        <w:overflowPunct/>
        <w:topLinePunct/>
        <w:autoSpaceDE/>
        <w:autoSpaceDN/>
        <w:bidi w:val="0"/>
        <w:spacing w:before="0" w:after="0" w:line="360" w:lineRule="auto"/>
        <w:ind w:firstLine="470" w:firstLineChars="196"/>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1.总则</w:t>
      </w:r>
    </w:p>
    <w:p w14:paraId="1A19BBEE">
      <w:pPr>
        <w:keepNext w:val="0"/>
        <w:keepLines w:val="0"/>
        <w:pageBreakBefore w:val="0"/>
        <w:widowControl w:val="0"/>
        <w:kinsoku/>
        <w:wordWrap w:val="0"/>
        <w:overflowPunct/>
        <w:topLinePunct/>
        <w:autoSpaceDE/>
        <w:autoSpaceDN/>
        <w:bidi w:val="0"/>
        <w:spacing w:before="0" w:after="0" w:line="360" w:lineRule="auto"/>
        <w:ind w:firstLine="470" w:firstLineChars="196"/>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1.1 根据《中华人民共和国政府采购法》、《中华人民共和国政府采购法实施条例》、《政府采购非招标采购方式管理办法》等法律制度，结合本采购项目特点制定本次谈判采购评审方法。</w:t>
      </w:r>
    </w:p>
    <w:p w14:paraId="71CB506A">
      <w:pPr>
        <w:keepNext w:val="0"/>
        <w:keepLines w:val="0"/>
        <w:pageBreakBefore w:val="0"/>
        <w:widowControl w:val="0"/>
        <w:kinsoku/>
        <w:wordWrap w:val="0"/>
        <w:overflowPunct/>
        <w:topLinePunct/>
        <w:autoSpaceDE/>
        <w:autoSpaceDN/>
        <w:bidi w:val="0"/>
        <w:spacing w:before="0" w:after="0" w:line="360" w:lineRule="auto"/>
        <w:ind w:firstLine="470" w:firstLineChars="196"/>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1.2 谈判工作由采购代理机构负责组织，具体谈判由采购代理机构依法组建的谈判小组负责。</w:t>
      </w:r>
    </w:p>
    <w:p w14:paraId="203D226A">
      <w:pPr>
        <w:keepNext w:val="0"/>
        <w:keepLines w:val="0"/>
        <w:pageBreakBefore w:val="0"/>
        <w:widowControl w:val="0"/>
        <w:kinsoku/>
        <w:wordWrap w:val="0"/>
        <w:overflowPunct/>
        <w:topLinePunct/>
        <w:autoSpaceDE/>
        <w:autoSpaceDN/>
        <w:bidi w:val="0"/>
        <w:spacing w:before="0" w:after="0" w:line="360" w:lineRule="auto"/>
        <w:ind w:firstLine="470" w:firstLineChars="196"/>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1.3 谈判工作应遵循公平、公正、科学及择优的原则，并以相同的谈判程序和标准对待所有的供应商。</w:t>
      </w:r>
    </w:p>
    <w:p w14:paraId="4DD711B5">
      <w:pPr>
        <w:keepNext w:val="0"/>
        <w:keepLines w:val="0"/>
        <w:pageBreakBefore w:val="0"/>
        <w:widowControl w:val="0"/>
        <w:kinsoku/>
        <w:wordWrap w:val="0"/>
        <w:overflowPunct/>
        <w:topLinePunct/>
        <w:autoSpaceDE/>
        <w:autoSpaceDN/>
        <w:bidi w:val="0"/>
        <w:spacing w:before="0" w:after="0" w:line="360" w:lineRule="auto"/>
        <w:ind w:firstLine="470" w:firstLineChars="196"/>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1.4 谈判小组按照谈判文件规定的谈判程序进行评审，并独立履行下列职责：</w:t>
      </w:r>
    </w:p>
    <w:p w14:paraId="4D91FA44">
      <w:pPr>
        <w:keepNext w:val="0"/>
        <w:keepLines w:val="0"/>
        <w:pageBreakBefore w:val="0"/>
        <w:widowControl w:val="0"/>
        <w:kinsoku/>
        <w:wordWrap w:val="0"/>
        <w:overflowPunct/>
        <w:topLinePunct/>
        <w:autoSpaceDE/>
        <w:autoSpaceDN/>
        <w:bidi w:val="0"/>
        <w:spacing w:before="0" w:after="0" w:line="360" w:lineRule="auto"/>
        <w:ind w:firstLine="470" w:firstLineChars="196"/>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（一）熟悉和理解谈判文件，确定谈判文件内容是否违反国家有关强制性规定或者谈判文件存在歧义、重大缺陷，根据需要书面要求采购人、采购代理机构对谈判文件作出解释；</w:t>
      </w:r>
    </w:p>
    <w:p w14:paraId="663FE0E8">
      <w:pPr>
        <w:keepNext w:val="0"/>
        <w:keepLines w:val="0"/>
        <w:pageBreakBefore w:val="0"/>
        <w:widowControl w:val="0"/>
        <w:kinsoku/>
        <w:wordWrap w:val="0"/>
        <w:overflowPunct/>
        <w:topLinePunct/>
        <w:autoSpaceDE/>
        <w:autoSpaceDN/>
        <w:bidi w:val="0"/>
        <w:spacing w:before="0" w:after="0" w:line="360" w:lineRule="auto"/>
        <w:ind w:firstLine="470" w:firstLineChars="196"/>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（二）审查供应商响应文件是否满足谈判文件要求，并作出公正评价；</w:t>
      </w:r>
    </w:p>
    <w:p w14:paraId="34AB9C42">
      <w:pPr>
        <w:keepNext w:val="0"/>
        <w:keepLines w:val="0"/>
        <w:pageBreakBefore w:val="0"/>
        <w:widowControl w:val="0"/>
        <w:kinsoku/>
        <w:wordWrap w:val="0"/>
        <w:overflowPunct/>
        <w:topLinePunct/>
        <w:autoSpaceDE/>
        <w:autoSpaceDN/>
        <w:bidi w:val="0"/>
        <w:spacing w:before="0" w:after="0" w:line="360" w:lineRule="auto"/>
        <w:ind w:firstLine="470" w:firstLineChars="196"/>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（三）根据需要要求供应商对响应文件中含义不明确、同类问题表述不一致或者有明显文字和计算错误的内容等作出必要的澄清、说明或者更正；</w:t>
      </w:r>
    </w:p>
    <w:p w14:paraId="0C4811D9">
      <w:pPr>
        <w:keepNext w:val="0"/>
        <w:keepLines w:val="0"/>
        <w:pageBreakBefore w:val="0"/>
        <w:widowControl w:val="0"/>
        <w:kinsoku/>
        <w:wordWrap w:val="0"/>
        <w:overflowPunct/>
        <w:topLinePunct/>
        <w:autoSpaceDE/>
        <w:autoSpaceDN/>
        <w:bidi w:val="0"/>
        <w:spacing w:before="0" w:after="0" w:line="360" w:lineRule="auto"/>
        <w:ind w:firstLine="470" w:firstLineChars="196"/>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（四）推荐成交供应商，或者受采购人委托确定成交供应商；</w:t>
      </w:r>
    </w:p>
    <w:p w14:paraId="6F726E5A">
      <w:pPr>
        <w:keepNext w:val="0"/>
        <w:keepLines w:val="0"/>
        <w:pageBreakBefore w:val="0"/>
        <w:widowControl w:val="0"/>
        <w:kinsoku/>
        <w:wordWrap w:val="0"/>
        <w:overflowPunct/>
        <w:topLinePunct/>
        <w:autoSpaceDE/>
        <w:autoSpaceDN/>
        <w:bidi w:val="0"/>
        <w:spacing w:before="0" w:after="0" w:line="360" w:lineRule="auto"/>
        <w:ind w:firstLine="470" w:firstLineChars="196"/>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（五）起草评审报告并进行签署；</w:t>
      </w:r>
    </w:p>
    <w:p w14:paraId="0D00FDB0">
      <w:pPr>
        <w:keepNext w:val="0"/>
        <w:keepLines w:val="0"/>
        <w:pageBreakBefore w:val="0"/>
        <w:widowControl w:val="0"/>
        <w:kinsoku/>
        <w:wordWrap w:val="0"/>
        <w:overflowPunct/>
        <w:topLinePunct/>
        <w:autoSpaceDE/>
        <w:autoSpaceDN/>
        <w:bidi w:val="0"/>
        <w:spacing w:before="0" w:after="0" w:line="360" w:lineRule="auto"/>
        <w:ind w:firstLine="470" w:firstLineChars="196"/>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（六）向采购人、采购代理机构、财政部门或者其他监督部门报告非法干预评审工作的行为；</w:t>
      </w:r>
    </w:p>
    <w:p w14:paraId="2B0A2992">
      <w:pPr>
        <w:keepNext w:val="0"/>
        <w:keepLines w:val="0"/>
        <w:pageBreakBefore w:val="0"/>
        <w:widowControl w:val="0"/>
        <w:kinsoku/>
        <w:wordWrap w:val="0"/>
        <w:overflowPunct/>
        <w:topLinePunct/>
        <w:autoSpaceDE/>
        <w:autoSpaceDN/>
        <w:bidi w:val="0"/>
        <w:spacing w:before="0" w:after="0" w:line="360" w:lineRule="auto"/>
        <w:ind w:firstLine="470" w:firstLineChars="196"/>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（七）法律、法规和规章规定的其他职责。</w:t>
      </w:r>
    </w:p>
    <w:p w14:paraId="331B0833">
      <w:pPr>
        <w:keepNext w:val="0"/>
        <w:keepLines w:val="0"/>
        <w:pageBreakBefore w:val="0"/>
        <w:widowControl w:val="0"/>
        <w:kinsoku/>
        <w:wordWrap w:val="0"/>
        <w:overflowPunct/>
        <w:topLinePunct/>
        <w:autoSpaceDE/>
        <w:autoSpaceDN/>
        <w:bidi w:val="0"/>
        <w:spacing w:before="0" w:after="0" w:line="360" w:lineRule="auto"/>
        <w:ind w:firstLine="470" w:firstLineChars="196"/>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1.5谈判过程独立、保密。供应商非法干预谈判过程的，其响应文件作无效处理。</w:t>
      </w:r>
    </w:p>
    <w:p w14:paraId="6B7DE171">
      <w:pPr>
        <w:keepNext w:val="0"/>
        <w:keepLines w:val="0"/>
        <w:pageBreakBefore w:val="0"/>
        <w:widowControl w:val="0"/>
        <w:kinsoku/>
        <w:wordWrap w:val="0"/>
        <w:overflowPunct/>
        <w:topLinePunct/>
        <w:autoSpaceDE/>
        <w:autoSpaceDN/>
        <w:bidi w:val="0"/>
        <w:spacing w:line="360" w:lineRule="auto"/>
        <w:ind w:firstLine="413"/>
        <w:textAlignment w:val="auto"/>
        <w:outlineLvl w:val="9"/>
        <w:rPr>
          <w:rFonts w:hint="eastAsia" w:ascii="宋体" w:hAnsi="宋体" w:eastAsia="宋体" w:cs="宋体"/>
          <w:color w:val="auto"/>
          <w:sz w:val="24"/>
          <w:szCs w:val="24"/>
        </w:rPr>
      </w:pPr>
    </w:p>
    <w:p w14:paraId="77B2ED1E">
      <w:pPr>
        <w:keepNext w:val="0"/>
        <w:keepLines w:val="0"/>
        <w:pageBreakBefore w:val="0"/>
        <w:widowControl w:val="0"/>
        <w:kinsoku/>
        <w:wordWrap w:val="0"/>
        <w:overflowPunct/>
        <w:topLinePunct/>
        <w:autoSpaceDE/>
        <w:autoSpaceDN/>
        <w:bidi w:val="0"/>
        <w:spacing w:before="0" w:after="0" w:line="360" w:lineRule="auto"/>
        <w:ind w:firstLine="470" w:firstLineChars="196"/>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2.谈判程序</w:t>
      </w:r>
    </w:p>
    <w:p w14:paraId="40E64B89">
      <w:pPr>
        <w:keepNext w:val="0"/>
        <w:keepLines w:val="0"/>
        <w:pageBreakBefore w:val="0"/>
        <w:widowControl w:val="0"/>
        <w:kinsoku/>
        <w:wordWrap w:val="0"/>
        <w:overflowPunct/>
        <w:topLinePunct/>
        <w:autoSpaceDE/>
        <w:autoSpaceDN/>
        <w:bidi w:val="0"/>
        <w:spacing w:before="0" w:after="0" w:line="360" w:lineRule="auto"/>
        <w:ind w:firstLine="470" w:firstLineChars="196"/>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2.1审查谈判文件和停止评审。</w:t>
      </w:r>
    </w:p>
    <w:p w14:paraId="55355B6D">
      <w:pPr>
        <w:keepNext w:val="0"/>
        <w:keepLines w:val="0"/>
        <w:pageBreakBefore w:val="0"/>
        <w:widowControl w:val="0"/>
        <w:kinsoku/>
        <w:wordWrap w:val="0"/>
        <w:overflowPunct/>
        <w:topLinePunct/>
        <w:autoSpaceDE/>
        <w:autoSpaceDN/>
        <w:bidi w:val="0"/>
        <w:spacing w:before="0" w:after="0" w:line="360" w:lineRule="auto"/>
        <w:ind w:firstLine="470" w:firstLineChars="196"/>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2.1.1 谈判小组正式评审前，应当对谈判文件进行熟悉和理解，内容主要包括谈判文件中供应商资格条件要求、采购项目技术、服务和商务要求、谈判办法和标准、政府采购政策要求以及政府采购合同主要条款等。</w:t>
      </w:r>
    </w:p>
    <w:p w14:paraId="4B6D71DF">
      <w:pPr>
        <w:keepNext w:val="0"/>
        <w:keepLines w:val="0"/>
        <w:pageBreakBefore w:val="0"/>
        <w:widowControl w:val="0"/>
        <w:kinsoku/>
        <w:wordWrap w:val="0"/>
        <w:overflowPunct/>
        <w:topLinePunct/>
        <w:autoSpaceDE/>
        <w:autoSpaceDN/>
        <w:bidi w:val="0"/>
        <w:spacing w:before="0" w:after="0" w:line="360" w:lineRule="auto"/>
        <w:ind w:firstLine="470" w:firstLineChars="196"/>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2.1.2 本谈判文件有下列情形之一的，谈判小组应当停止评审：</w:t>
      </w:r>
    </w:p>
    <w:p w14:paraId="473A83EB">
      <w:pPr>
        <w:keepNext w:val="0"/>
        <w:keepLines w:val="0"/>
        <w:pageBreakBefore w:val="0"/>
        <w:widowControl w:val="0"/>
        <w:kinsoku/>
        <w:wordWrap w:val="0"/>
        <w:overflowPunct/>
        <w:topLinePunct/>
        <w:autoSpaceDE/>
        <w:autoSpaceDN/>
        <w:bidi w:val="0"/>
        <w:spacing w:before="0" w:after="0" w:line="360" w:lineRule="auto"/>
        <w:ind w:firstLine="470" w:firstLineChars="196"/>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（1）谈判文件的规定存在歧义、重大缺陷，导致评审无法进行的；</w:t>
      </w:r>
    </w:p>
    <w:p w14:paraId="3A003A3B">
      <w:pPr>
        <w:keepNext w:val="0"/>
        <w:keepLines w:val="0"/>
        <w:pageBreakBefore w:val="0"/>
        <w:widowControl w:val="0"/>
        <w:kinsoku/>
        <w:wordWrap w:val="0"/>
        <w:overflowPunct/>
        <w:topLinePunct/>
        <w:autoSpaceDE/>
        <w:autoSpaceDN/>
        <w:bidi w:val="0"/>
        <w:spacing w:before="0" w:after="0" w:line="360" w:lineRule="auto"/>
        <w:ind w:firstLine="470" w:firstLineChars="196"/>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（2）谈判文件明显以不合理条件对供应商实行差别待遇或者歧视待遇的；</w:t>
      </w:r>
    </w:p>
    <w:p w14:paraId="15430AC3">
      <w:pPr>
        <w:keepNext w:val="0"/>
        <w:keepLines w:val="0"/>
        <w:pageBreakBefore w:val="0"/>
        <w:widowControl w:val="0"/>
        <w:kinsoku/>
        <w:wordWrap w:val="0"/>
        <w:overflowPunct/>
        <w:topLinePunct/>
        <w:autoSpaceDE/>
        <w:autoSpaceDN/>
        <w:bidi w:val="0"/>
        <w:spacing w:before="0" w:after="0" w:line="360" w:lineRule="auto"/>
        <w:ind w:firstLine="470" w:firstLineChars="196"/>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（3）采购项目属于国家规定的优先、强制采购范围，但是谈判文件未依法体现优先、强制采购相关规定的；</w:t>
      </w:r>
    </w:p>
    <w:p w14:paraId="56DAECEB">
      <w:pPr>
        <w:keepNext w:val="0"/>
        <w:keepLines w:val="0"/>
        <w:pageBreakBefore w:val="0"/>
        <w:widowControl w:val="0"/>
        <w:kinsoku/>
        <w:wordWrap w:val="0"/>
        <w:overflowPunct/>
        <w:topLinePunct/>
        <w:autoSpaceDE/>
        <w:autoSpaceDN/>
        <w:bidi w:val="0"/>
        <w:spacing w:before="0" w:after="0" w:line="360" w:lineRule="auto"/>
        <w:ind w:firstLine="470" w:firstLineChars="196"/>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（4）采购项目属于政府采购促进中小企业发展的范围，但是谈判文件未依法体现促进中小企业发展相关规定的；</w:t>
      </w:r>
    </w:p>
    <w:p w14:paraId="50FACA29">
      <w:pPr>
        <w:keepNext w:val="0"/>
        <w:keepLines w:val="0"/>
        <w:pageBreakBefore w:val="0"/>
        <w:widowControl w:val="0"/>
        <w:kinsoku/>
        <w:wordWrap w:val="0"/>
        <w:overflowPunct/>
        <w:topLinePunct/>
        <w:autoSpaceDE/>
        <w:autoSpaceDN/>
        <w:bidi w:val="0"/>
        <w:spacing w:before="0" w:after="0" w:line="360" w:lineRule="auto"/>
        <w:ind w:firstLine="470" w:firstLineChars="196"/>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（5）谈判文件载明的成交原则不合法的；</w:t>
      </w:r>
    </w:p>
    <w:p w14:paraId="7902561A">
      <w:pPr>
        <w:keepNext w:val="0"/>
        <w:keepLines w:val="0"/>
        <w:pageBreakBefore w:val="0"/>
        <w:widowControl w:val="0"/>
        <w:kinsoku/>
        <w:wordWrap w:val="0"/>
        <w:overflowPunct/>
        <w:topLinePunct/>
        <w:autoSpaceDE/>
        <w:autoSpaceDN/>
        <w:bidi w:val="0"/>
        <w:spacing w:before="0" w:after="0" w:line="360" w:lineRule="auto"/>
        <w:ind w:firstLine="470" w:firstLineChars="196"/>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（6）谈判文件有违反国家其他有关强制性规定的情形。</w:t>
      </w:r>
    </w:p>
    <w:p w14:paraId="690CEA45">
      <w:pPr>
        <w:keepNext w:val="0"/>
        <w:keepLines w:val="0"/>
        <w:pageBreakBefore w:val="0"/>
        <w:widowControl w:val="0"/>
        <w:kinsoku/>
        <w:wordWrap w:val="0"/>
        <w:overflowPunct/>
        <w:topLinePunct/>
        <w:autoSpaceDE/>
        <w:autoSpaceDN/>
        <w:bidi w:val="0"/>
        <w:spacing w:before="0" w:after="0" w:line="360" w:lineRule="auto"/>
        <w:ind w:firstLine="470" w:firstLineChars="196"/>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2.1.3 出现本条2.1.2规定应当停止评审情形的，谈判小组应当向采购组织单位书面书面说明情况。除2.1.2规定的情形外，谈判小组不得以任何方式和理由停止评审。</w:t>
      </w:r>
    </w:p>
    <w:p w14:paraId="1C821829">
      <w:pPr>
        <w:keepNext w:val="0"/>
        <w:keepLines w:val="0"/>
        <w:pageBreakBefore w:val="0"/>
        <w:widowControl w:val="0"/>
        <w:kinsoku/>
        <w:wordWrap w:val="0"/>
        <w:overflowPunct/>
        <w:topLinePunct/>
        <w:autoSpaceDE/>
        <w:autoSpaceDN/>
        <w:bidi w:val="0"/>
        <w:spacing w:before="0" w:after="0" w:line="360" w:lineRule="auto"/>
        <w:ind w:firstLine="470" w:firstLineChars="196"/>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2.2谈判。</w:t>
      </w:r>
    </w:p>
    <w:p w14:paraId="58124604">
      <w:pPr>
        <w:keepNext w:val="0"/>
        <w:keepLines w:val="0"/>
        <w:pageBreakBefore w:val="0"/>
        <w:widowControl w:val="0"/>
        <w:kinsoku/>
        <w:wordWrap w:val="0"/>
        <w:overflowPunct/>
        <w:topLinePunct/>
        <w:autoSpaceDE/>
        <w:autoSpaceDN/>
        <w:bidi w:val="0"/>
        <w:spacing w:before="0" w:after="0" w:line="360" w:lineRule="auto"/>
        <w:ind w:firstLine="470" w:firstLineChars="196"/>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2.2.1谈判小组所有成员集中与单一供应商分别进行一轮或多轮谈判，并给予所有参加谈判的供应商平等的谈判机会。谈判顺序以现场抽签的方式确定。谈判过程中，谈判小组可以根据谈判情况调整谈判轮次。</w:t>
      </w:r>
    </w:p>
    <w:p w14:paraId="7B56BA58">
      <w:pPr>
        <w:keepNext w:val="0"/>
        <w:keepLines w:val="0"/>
        <w:pageBreakBefore w:val="0"/>
        <w:widowControl w:val="0"/>
        <w:kinsoku/>
        <w:wordWrap w:val="0"/>
        <w:overflowPunct/>
        <w:topLinePunct/>
        <w:autoSpaceDE/>
        <w:autoSpaceDN/>
        <w:bidi w:val="0"/>
        <w:spacing w:before="0" w:after="0" w:line="360" w:lineRule="auto"/>
        <w:ind w:firstLine="470" w:firstLineChars="196"/>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2.2.2每轮谈判开始前，谈判小组应根据谈判文件的规定，并结合各供应商的响应文件拟定谈判内容。</w:t>
      </w:r>
    </w:p>
    <w:p w14:paraId="54D3C165">
      <w:pPr>
        <w:keepNext w:val="0"/>
        <w:keepLines w:val="0"/>
        <w:pageBreakBefore w:val="0"/>
        <w:widowControl w:val="0"/>
        <w:kinsoku/>
        <w:wordWrap w:val="0"/>
        <w:overflowPunct/>
        <w:topLinePunct/>
        <w:autoSpaceDE/>
        <w:autoSpaceDN/>
        <w:bidi w:val="0"/>
        <w:spacing w:before="0" w:after="0" w:line="360" w:lineRule="auto"/>
        <w:ind w:firstLine="470" w:firstLineChars="196"/>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2.2.3在谈判过程中，谈判小组可以根据谈判文件和谈判情况实质性变动谈判文件的技术、服务要求以及合同草案条款，但不得变动谈判文件中的其他内容。实质性变动的内容，须经采购人代表书面确认。</w:t>
      </w:r>
    </w:p>
    <w:p w14:paraId="554C0177">
      <w:pPr>
        <w:keepNext w:val="0"/>
        <w:keepLines w:val="0"/>
        <w:pageBreakBefore w:val="0"/>
        <w:widowControl w:val="0"/>
        <w:kinsoku/>
        <w:wordWrap w:val="0"/>
        <w:overflowPunct/>
        <w:topLinePunct/>
        <w:autoSpaceDE/>
        <w:autoSpaceDN/>
        <w:bidi w:val="0"/>
        <w:spacing w:before="0" w:after="0" w:line="360" w:lineRule="auto"/>
        <w:ind w:firstLine="470" w:firstLineChars="196"/>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2.2.4对谈判文件作出的实质性变动是谈判文件的有效组成部分，谈判小组应当及时以书面形式同时通知所有参加谈判的供应商。</w:t>
      </w:r>
    </w:p>
    <w:p w14:paraId="324259B3">
      <w:pPr>
        <w:keepNext w:val="0"/>
        <w:keepLines w:val="0"/>
        <w:pageBreakBefore w:val="0"/>
        <w:widowControl w:val="0"/>
        <w:kinsoku/>
        <w:wordWrap w:val="0"/>
        <w:overflowPunct/>
        <w:topLinePunct/>
        <w:autoSpaceDE/>
        <w:autoSpaceDN/>
        <w:bidi w:val="0"/>
        <w:spacing w:before="0" w:after="0" w:line="360" w:lineRule="auto"/>
        <w:ind w:firstLine="470" w:firstLineChars="196"/>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2.2.5谈判过程中，谈判文件变动的，供应商应当按照谈判文件的变动情况和谈判小组的要求重新提交响应文件，并由其法定代表人/主要负责人/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谈判过程中，供应商根据谈判情况自行决定变更其响应文件的，谈判小组不得拒绝，并应当给予供应商必要的时间，但是供应商变更其响应文件，应当以有利于满足谈判文件要求为原则，不得变更为不利于满足谈判文件规定，否则，其响应文件作为无效处理。</w:t>
      </w:r>
    </w:p>
    <w:p w14:paraId="16DFD3EE">
      <w:pPr>
        <w:pStyle w:val="23"/>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2.2.6</w:t>
      </w:r>
      <w:r>
        <w:rPr>
          <w:rFonts w:hint="eastAsia" w:ascii="宋体" w:hAnsi="宋体" w:eastAsia="宋体" w:cs="宋体"/>
          <w:color w:val="auto"/>
          <w:sz w:val="24"/>
          <w:szCs w:val="24"/>
          <w:lang w:val="zh-CN"/>
        </w:rPr>
        <w:t>有效性、完整性和响应程度审查</w:t>
      </w:r>
    </w:p>
    <w:p w14:paraId="4B7DE87B">
      <w:pPr>
        <w:pStyle w:val="23"/>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2.2.6.1谈判过程中，</w:t>
      </w:r>
      <w:r>
        <w:rPr>
          <w:rFonts w:hint="eastAsia" w:ascii="宋体" w:hAnsi="宋体" w:eastAsia="宋体" w:cs="宋体"/>
          <w:color w:val="auto"/>
          <w:sz w:val="24"/>
          <w:szCs w:val="24"/>
          <w:lang w:val="zh-CN"/>
        </w:rPr>
        <w:t>谈判小组对供应商首次递交的响应文件进行审查，审查中发现供应商首次响应文件有下列情况之一的，应按照无效响应文件处理：</w:t>
      </w:r>
    </w:p>
    <w:p w14:paraId="7E47A3F3">
      <w:pPr>
        <w:pStyle w:val="23"/>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）响应文件的语言、报价货币、知识产权、响应文件有效期不符合采购文件的规定，影响谈判小组评判的；</w:t>
      </w:r>
    </w:p>
    <w:p w14:paraId="320683A8">
      <w:pPr>
        <w:pStyle w:val="23"/>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zh-CN"/>
        </w:rPr>
        <w:t>2.4.6.2经最终谈判后，响应文件仍有下列情况之一的，应按照无效响应文件处理：</w:t>
      </w:r>
    </w:p>
    <w:p w14:paraId="1560D49E">
      <w:pPr>
        <w:pStyle w:val="23"/>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响应文件仍不能实质响应采购文件的实质性要求的；</w:t>
      </w:r>
    </w:p>
    <w:p w14:paraId="5E28ADDF">
      <w:pPr>
        <w:pStyle w:val="23"/>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（2）响应文件仍中有谈判文件规定的其他无效响应情形的。</w:t>
      </w:r>
    </w:p>
    <w:p w14:paraId="75237752">
      <w:pPr>
        <w:pStyle w:val="23"/>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2.2.6.3谈判小组对响应文件签署、盖章等进行审查过程中，有下列情形的，谈判小组应当评定为不影响整个响应文件有效性和采购活动公平竞争，并通过响应文件的有效性审查：</w:t>
      </w:r>
    </w:p>
    <w:p w14:paraId="3A58D14C">
      <w:pPr>
        <w:pStyle w:val="23"/>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）响应文件存在个别地方（总数不能超过2个）没有法定代表人/单位负责人签字，但有法定代表人/单位负责人的私人印章或者有效授权代理人签字的，但法定代表人/单位负责人授权书除外；</w:t>
      </w:r>
    </w:p>
    <w:p w14:paraId="01F34824">
      <w:pPr>
        <w:pStyle w:val="23"/>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）响应文件除采购文件明确要求加盖单位(法人)公章的以外，其他地方以相关专用章加盖的；</w:t>
      </w:r>
    </w:p>
    <w:p w14:paraId="74625F4B">
      <w:pPr>
        <w:pStyle w:val="23"/>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）以骑缝章的形式代替响应文件内容逐页盖章的（但是骑缝章模糊不清，印章名称无法辨认的除外）。</w:t>
      </w:r>
    </w:p>
    <w:p w14:paraId="16B8030E">
      <w:pPr>
        <w:pStyle w:val="23"/>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2.2.6.4谈判小组</w:t>
      </w:r>
      <w:r>
        <w:rPr>
          <w:rFonts w:hint="eastAsia" w:ascii="宋体" w:hAnsi="宋体" w:eastAsia="宋体" w:cs="宋体"/>
          <w:color w:val="auto"/>
          <w:sz w:val="24"/>
          <w:szCs w:val="24"/>
          <w:lang w:val="zh-CN"/>
        </w:rPr>
        <w:t>对所有响应文件的有效性、完整性和响应程度进行审查</w:t>
      </w:r>
      <w:r>
        <w:rPr>
          <w:rFonts w:hint="eastAsia" w:ascii="宋体" w:hAnsi="宋体" w:eastAsia="宋体" w:cs="宋体"/>
          <w:color w:val="auto"/>
          <w:sz w:val="24"/>
          <w:szCs w:val="24"/>
        </w:rPr>
        <w:t>后，向采购</w:t>
      </w:r>
      <w:r>
        <w:rPr>
          <w:rFonts w:hint="eastAsia" w:ascii="宋体" w:hAnsi="宋体" w:eastAsia="宋体" w:cs="宋体"/>
          <w:color w:val="auto"/>
          <w:sz w:val="24"/>
          <w:szCs w:val="24"/>
          <w:lang w:val="zh-CN"/>
        </w:rPr>
        <w:t>代理机构</w:t>
      </w:r>
      <w:r>
        <w:rPr>
          <w:rFonts w:hint="eastAsia" w:ascii="宋体" w:hAnsi="宋体" w:eastAsia="宋体" w:cs="宋体"/>
          <w:color w:val="auto"/>
          <w:sz w:val="24"/>
          <w:szCs w:val="24"/>
        </w:rPr>
        <w:t>出具</w:t>
      </w:r>
      <w:r>
        <w:rPr>
          <w:rFonts w:hint="eastAsia" w:ascii="宋体" w:hAnsi="宋体" w:eastAsia="宋体" w:cs="宋体"/>
          <w:color w:val="auto"/>
          <w:sz w:val="24"/>
          <w:szCs w:val="24"/>
          <w:lang w:val="zh-CN"/>
        </w:rPr>
        <w:t>有效性、完整性和响应程度</w:t>
      </w:r>
      <w:r>
        <w:rPr>
          <w:rFonts w:hint="eastAsia" w:ascii="宋体" w:hAnsi="宋体" w:eastAsia="宋体" w:cs="宋体"/>
          <w:color w:val="auto"/>
          <w:sz w:val="24"/>
          <w:szCs w:val="24"/>
        </w:rPr>
        <w:t>审查报告，确定继续谈判的供应商名单。没有通过</w:t>
      </w:r>
      <w:r>
        <w:rPr>
          <w:rFonts w:hint="eastAsia" w:ascii="宋体" w:hAnsi="宋体" w:eastAsia="宋体" w:cs="宋体"/>
          <w:color w:val="auto"/>
          <w:sz w:val="24"/>
          <w:szCs w:val="24"/>
          <w:lang w:val="zh-CN"/>
        </w:rPr>
        <w:t>有效性、完整性和响应程度</w:t>
      </w:r>
      <w:r>
        <w:rPr>
          <w:rFonts w:hint="eastAsia" w:ascii="宋体" w:hAnsi="宋体" w:eastAsia="宋体" w:cs="宋体"/>
          <w:color w:val="auto"/>
          <w:sz w:val="24"/>
          <w:szCs w:val="24"/>
        </w:rPr>
        <w:t>审查的供应商，谈判小组应在</w:t>
      </w:r>
      <w:r>
        <w:rPr>
          <w:rFonts w:hint="eastAsia" w:ascii="宋体" w:hAnsi="宋体" w:eastAsia="宋体" w:cs="宋体"/>
          <w:color w:val="auto"/>
          <w:sz w:val="24"/>
          <w:szCs w:val="24"/>
          <w:lang w:val="zh-CN"/>
        </w:rPr>
        <w:t>有效性、完整性和响应程度</w:t>
      </w:r>
      <w:r>
        <w:rPr>
          <w:rFonts w:hint="eastAsia" w:ascii="宋体" w:hAnsi="宋体" w:eastAsia="宋体" w:cs="宋体"/>
          <w:color w:val="auto"/>
          <w:sz w:val="24"/>
          <w:szCs w:val="24"/>
        </w:rPr>
        <w:t>审查报告中说明原因。</w:t>
      </w:r>
    </w:p>
    <w:p w14:paraId="3E552BA4">
      <w:pPr>
        <w:keepNext w:val="0"/>
        <w:keepLines w:val="0"/>
        <w:pageBreakBefore w:val="0"/>
        <w:widowControl w:val="0"/>
        <w:kinsoku/>
        <w:wordWrap w:val="0"/>
        <w:overflowPunct/>
        <w:topLinePunct/>
        <w:autoSpaceDE/>
        <w:autoSpaceDN/>
        <w:bidi w:val="0"/>
        <w:spacing w:before="0" w:after="0" w:line="360" w:lineRule="auto"/>
        <w:ind w:firstLine="470" w:firstLineChars="196"/>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2.2.7谈判过程中，谈判的任何一方不得透露与谈判有关的其他供应商的技术资料、价格和其他信息。</w:t>
      </w:r>
    </w:p>
    <w:p w14:paraId="2B281AFB">
      <w:pPr>
        <w:keepNext w:val="0"/>
        <w:keepLines w:val="0"/>
        <w:pageBreakBefore w:val="0"/>
        <w:widowControl w:val="0"/>
        <w:kinsoku/>
        <w:wordWrap w:val="0"/>
        <w:overflowPunct/>
        <w:topLinePunct/>
        <w:autoSpaceDE/>
        <w:autoSpaceDN/>
        <w:bidi w:val="0"/>
        <w:spacing w:before="0" w:after="0" w:line="360" w:lineRule="auto"/>
        <w:ind w:firstLine="470" w:firstLineChars="196"/>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2.2.8谈判过程中，谈判小组发现或者知晓供应商存在违法、违纪行为的，谈判小组应当将该供应商响应文件作无效处理，不允许其提交最后报价。</w:t>
      </w:r>
    </w:p>
    <w:p w14:paraId="1657E09A">
      <w:pPr>
        <w:keepNext w:val="0"/>
        <w:keepLines w:val="0"/>
        <w:pageBreakBefore w:val="0"/>
        <w:widowControl w:val="0"/>
        <w:kinsoku/>
        <w:wordWrap w:val="0"/>
        <w:overflowPunct/>
        <w:topLinePunct/>
        <w:autoSpaceDE/>
        <w:autoSpaceDN/>
        <w:bidi w:val="0"/>
        <w:spacing w:before="0" w:after="0" w:line="360" w:lineRule="auto"/>
        <w:ind w:firstLine="470" w:firstLineChars="196"/>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2.2.9谈判完成后，谈判小组应出具谈判情况记录表，谈判情况记录表需包含谈判内容、谈判意见、实质性变动内容等。</w:t>
      </w:r>
    </w:p>
    <w:p w14:paraId="74FC04B0">
      <w:pPr>
        <w:keepNext w:val="0"/>
        <w:keepLines w:val="0"/>
        <w:pageBreakBefore w:val="0"/>
        <w:widowControl w:val="0"/>
        <w:kinsoku/>
        <w:wordWrap w:val="0"/>
        <w:overflowPunct/>
        <w:topLinePunct/>
        <w:autoSpaceDE/>
        <w:autoSpaceDN/>
        <w:bidi w:val="0"/>
        <w:spacing w:line="360" w:lineRule="auto"/>
        <w:ind w:firstLine="480" w:firstLineChars="200"/>
        <w:textAlignment w:val="auto"/>
        <w:outlineLvl w:val="9"/>
        <w:rPr>
          <w:ins w:id="1" w:author="ts" w:date="2018-05-17T10:56:00Z"/>
          <w:rFonts w:hint="eastAsia" w:ascii="宋体" w:hAnsi="宋体" w:eastAsia="宋体" w:cs="宋体"/>
          <w:color w:val="auto"/>
          <w:sz w:val="24"/>
          <w:szCs w:val="24"/>
        </w:rPr>
      </w:pPr>
      <w:r>
        <w:rPr>
          <w:rFonts w:hint="eastAsia" w:ascii="宋体" w:hAnsi="宋体" w:eastAsia="宋体" w:cs="宋体"/>
          <w:color w:val="auto"/>
          <w:sz w:val="24"/>
          <w:szCs w:val="24"/>
        </w:rPr>
        <w:t>2.3报价</w:t>
      </w:r>
    </w:p>
    <w:p w14:paraId="44C0CD0B">
      <w:pPr>
        <w:keepNext w:val="0"/>
        <w:keepLines w:val="0"/>
        <w:pageBreakBefore w:val="0"/>
        <w:widowControl w:val="0"/>
        <w:kinsoku/>
        <w:wordWrap w:val="0"/>
        <w:overflowPunct/>
        <w:topLinePunct/>
        <w:autoSpaceDE/>
        <w:autoSpaceDN/>
        <w:bidi w:val="0"/>
        <w:spacing w:line="360" w:lineRule="auto"/>
        <w:ind w:firstLine="480" w:firstLineChars="20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rPr>
        <w:t>2.3.1除首次响应文件中的报价以外，供应商报价采用现场报价。现场报价前，谈判小组应对供应商首次响应文件中的报价进行评审：</w:t>
      </w:r>
    </w:p>
    <w:p w14:paraId="4D90C3AB">
      <w:pPr>
        <w:pStyle w:val="23"/>
        <w:keepNext w:val="0"/>
        <w:keepLines w:val="0"/>
        <w:pageBreakBefore w:val="0"/>
        <w:widowControl w:val="0"/>
        <w:kinsoku/>
        <w:wordWrap w:val="0"/>
        <w:overflowPunct/>
        <w:topLinePunct/>
        <w:autoSpaceDE/>
        <w:autoSpaceDN/>
        <w:bidi w:val="0"/>
        <w:snapToGrid w:val="0"/>
        <w:spacing w:line="360" w:lineRule="auto"/>
        <w:ind w:firstLine="480" w:firstLineChars="20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（1）供应商出现谈判文件“供应商须知附表”中第5项规定情形之一的，应按照无效响应文件处理；</w:t>
      </w:r>
    </w:p>
    <w:p w14:paraId="08A4EAFA">
      <w:pPr>
        <w:keepNext w:val="0"/>
        <w:keepLines w:val="0"/>
        <w:pageBreakBefore w:val="0"/>
        <w:widowControl w:val="0"/>
        <w:kinsoku/>
        <w:wordWrap w:val="0"/>
        <w:overflowPunct/>
        <w:topLinePunct/>
        <w:autoSpaceDE/>
        <w:autoSpaceDN/>
        <w:bidi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2.3.2已标价工程量清单评审结束后，谈判小组应当要求所有实质性响应的供应商在规定时间内提交最后报价或者多轮报价后再最后报价，提交最后报价的供应商不得少于3家。两轮（首次响应文件中的报价为第一轮）以上报价的，供应商在未提高响应文件中承诺的产品及其服务质量的情况下，其最后报价不得高于对该项目之前的报价，否则，谈判小组应当对其响应文件按无效处理，并书面告知供应商，说明理由。谈判小组认为供应商最后报价明显低于成本价，在谈判小组发出质询函后供应商未能提供合理的成本分析和价格构成的或对质函询的解释未被谈判小组采信的，应按照无效响应文件处理。</w:t>
      </w:r>
    </w:p>
    <w:p w14:paraId="434C6DD8">
      <w:pPr>
        <w:keepNext w:val="0"/>
        <w:keepLines w:val="0"/>
        <w:pageBreakBefore w:val="0"/>
        <w:widowControl w:val="0"/>
        <w:kinsoku/>
        <w:wordWrap w:val="0"/>
        <w:overflowPunct/>
        <w:topLinePunct/>
        <w:autoSpaceDE/>
        <w:autoSpaceDN/>
        <w:bidi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2.3.3参与报价的供应商按谈判小组要求进行报价。最后报价超过竞争性谈判文件规定的政府采购预算（或最高限价）或者相关报价不符合采购文件其他的报价规定的，应按照无效响应文件处理。供应商现场报价大写金额和小写金额不一致的，以大写金额为准，但大写金额文字存在错误的，应当先对大写金额的文字错误进行澄清、说明或者更正，再行修正。修正后的报价经供应商确认后产生约束力，供应商不确认的，其响应文件作为无效处理。</w:t>
      </w:r>
    </w:p>
    <w:p w14:paraId="48E49E4E">
      <w:pPr>
        <w:keepNext w:val="0"/>
        <w:keepLines w:val="0"/>
        <w:pageBreakBefore w:val="0"/>
        <w:widowControl w:val="0"/>
        <w:kinsoku/>
        <w:wordWrap w:val="0"/>
        <w:overflowPunct/>
        <w:topLinePunct/>
        <w:autoSpaceDE/>
        <w:autoSpaceDN/>
        <w:bidi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2.3.4供应商报价应当由法定代表人/主要负责人/本人或其授权代表签字确认（注：供应商为法人的，应当由其法定代表人或者授权代表签字确认；供应商为其他组织的，应当由其主要负责人或者授权代表签字确认；供应商为自然人的，应当由其本人或者授权代表签字确认）或加盖公章。报价是供应商响应文件的有效组成部分。</w:t>
      </w:r>
    </w:p>
    <w:p w14:paraId="67AF9F1C">
      <w:pPr>
        <w:keepNext w:val="0"/>
        <w:keepLines w:val="0"/>
        <w:pageBreakBefore w:val="0"/>
        <w:widowControl w:val="0"/>
        <w:kinsoku/>
        <w:wordWrap w:val="0"/>
        <w:overflowPunct/>
        <w:topLinePunct/>
        <w:autoSpaceDE/>
        <w:autoSpaceDN/>
        <w:bidi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2.3.5采购人在谈判文件中直接确定了采购项目采购价格的，供应商的报价应当按照谈判文件中确定了的采购项目采购价格进行报价，不得增加或者减少，否则其报价无效，其响应文件将作为无效处理。</w:t>
      </w:r>
    </w:p>
    <w:p w14:paraId="4648EB2A">
      <w:pPr>
        <w:keepNext w:val="0"/>
        <w:keepLines w:val="0"/>
        <w:pageBreakBefore w:val="0"/>
        <w:widowControl w:val="0"/>
        <w:kinsoku/>
        <w:wordWrap w:val="0"/>
        <w:overflowPunct/>
        <w:topLinePunct/>
        <w:autoSpaceDE/>
        <w:autoSpaceDN/>
        <w:bidi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2.3.6 谈判小组应当将供应商的最后报价进行促进中小企业发展的价格扣除和对失信供应商的价格加成后进行排序。</w:t>
      </w:r>
    </w:p>
    <w:p w14:paraId="598F7A29">
      <w:pPr>
        <w:keepNext w:val="0"/>
        <w:keepLines w:val="0"/>
        <w:pageBreakBefore w:val="0"/>
        <w:widowControl w:val="0"/>
        <w:kinsoku/>
        <w:wordWrap w:val="0"/>
        <w:overflowPunct/>
        <w:topLinePunct/>
        <w:autoSpaceDE/>
        <w:autoSpaceDN/>
        <w:bidi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2.4谈判小组复核。供应商最后报价结束后，谈判小组应当进行评审复核，对拟推荐为成交候选供应商的、报价最低的、供应商响应文件作无效处理的重点复</w:t>
      </w:r>
      <w:r>
        <w:rPr>
          <w:rFonts w:hint="eastAsia" w:ascii="宋体" w:hAnsi="宋体" w:eastAsia="宋体" w:cs="宋体"/>
          <w:color w:val="auto"/>
          <w:sz w:val="24"/>
          <w:szCs w:val="24"/>
        </w:rPr>
        <w:t>核。</w:t>
      </w:r>
    </w:p>
    <w:p w14:paraId="3A8BFCC7">
      <w:pPr>
        <w:keepNext w:val="0"/>
        <w:keepLines w:val="0"/>
        <w:pageBreakBefore w:val="0"/>
        <w:widowControl w:val="0"/>
        <w:kinsoku/>
        <w:wordWrap w:val="0"/>
        <w:overflowPunct/>
        <w:topLinePunct/>
        <w:autoSpaceDE/>
        <w:autoSpaceDN/>
        <w:bidi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2.5推荐成交候选供应商。谈判小组应当根据报价低到高顺序推荐3家以上成交候选供应商，并编写谈判报告。最后报价相同的</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由代理机构或采购人</w:t>
      </w:r>
      <w:r>
        <w:rPr>
          <w:rFonts w:hint="eastAsia" w:ascii="宋体" w:hAnsi="宋体" w:eastAsia="宋体" w:cs="宋体"/>
          <w:color w:val="auto"/>
          <w:sz w:val="24"/>
          <w:szCs w:val="24"/>
        </w:rPr>
        <w:t>随机抽签确定成交供应商。</w:t>
      </w:r>
    </w:p>
    <w:p w14:paraId="32727B9C">
      <w:pPr>
        <w:keepNext w:val="0"/>
        <w:keepLines w:val="0"/>
        <w:pageBreakBefore w:val="0"/>
        <w:widowControl w:val="0"/>
        <w:kinsoku/>
        <w:wordWrap w:val="0"/>
        <w:overflowPunct/>
        <w:topLinePunct/>
        <w:autoSpaceDE/>
        <w:autoSpaceDN/>
        <w:bidi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2.6编写谈判报告。谈判小组推荐成交候选供应商后，应向采购代理机构出具谈判报告。谈判报告应当包括以下主要内容：</w:t>
      </w:r>
    </w:p>
    <w:p w14:paraId="7AAFFE91">
      <w:pPr>
        <w:keepNext w:val="0"/>
        <w:keepLines w:val="0"/>
        <w:pageBreakBefore w:val="0"/>
        <w:widowControl w:val="0"/>
        <w:kinsoku/>
        <w:wordWrap w:val="0"/>
        <w:overflowPunct/>
        <w:topLinePunct/>
        <w:autoSpaceDE/>
        <w:autoSpaceDN/>
        <w:bidi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（1）邀请供应商参加采购活动的具体方式和相关情况；</w:t>
      </w:r>
    </w:p>
    <w:p w14:paraId="74627498">
      <w:pPr>
        <w:keepNext w:val="0"/>
        <w:keepLines w:val="0"/>
        <w:pageBreakBefore w:val="0"/>
        <w:widowControl w:val="0"/>
        <w:kinsoku/>
        <w:wordWrap w:val="0"/>
        <w:overflowPunct/>
        <w:topLinePunct/>
        <w:autoSpaceDE/>
        <w:autoSpaceDN/>
        <w:bidi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（2）响应文件开启日期和地点；</w:t>
      </w:r>
    </w:p>
    <w:p w14:paraId="784FBD28">
      <w:pPr>
        <w:keepNext w:val="0"/>
        <w:keepLines w:val="0"/>
        <w:pageBreakBefore w:val="0"/>
        <w:widowControl w:val="0"/>
        <w:kinsoku/>
        <w:wordWrap w:val="0"/>
        <w:overflowPunct/>
        <w:topLinePunct/>
        <w:autoSpaceDE/>
        <w:autoSpaceDN/>
        <w:bidi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（3）获取谈判文件的供应商名单和谈判小组成员名单；</w:t>
      </w:r>
    </w:p>
    <w:p w14:paraId="46E7520C">
      <w:pPr>
        <w:keepNext w:val="0"/>
        <w:keepLines w:val="0"/>
        <w:pageBreakBefore w:val="0"/>
        <w:widowControl w:val="0"/>
        <w:kinsoku/>
        <w:wordWrap w:val="0"/>
        <w:overflowPunct/>
        <w:topLinePunct/>
        <w:autoSpaceDE/>
        <w:autoSpaceDN/>
        <w:bidi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（4）评审情况记录和说明，包括对供应商的资格审查情况、供应商响应文件审查情况、谈判情况、报价情况等；</w:t>
      </w:r>
    </w:p>
    <w:p w14:paraId="791E81C1">
      <w:pPr>
        <w:keepNext w:val="0"/>
        <w:keepLines w:val="0"/>
        <w:pageBreakBefore w:val="0"/>
        <w:widowControl w:val="0"/>
        <w:kinsoku/>
        <w:wordWrap w:val="0"/>
        <w:overflowPunct/>
        <w:topLinePunct/>
        <w:autoSpaceDE/>
        <w:autoSpaceDN/>
        <w:bidi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（5）提出的成交候选供应商的排序名单及理由。</w:t>
      </w:r>
    </w:p>
    <w:p w14:paraId="59572E23">
      <w:pPr>
        <w:keepNext w:val="0"/>
        <w:keepLines w:val="0"/>
        <w:pageBreakBefore w:val="0"/>
        <w:widowControl w:val="0"/>
        <w:kinsoku/>
        <w:wordWrap w:val="0"/>
        <w:overflowPunct/>
        <w:topLinePunct/>
        <w:autoSpaceDE/>
        <w:autoSpaceDN/>
        <w:bidi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谈判报告应当由谈判小组全体人员签字认可。谈判小组成员对谈判报告有异议的，谈判小组按照少数服从多数的原则推荐成交候选供应商，采购程序继续进行。对谈判报告有异议的谈判小组成员，应当在报告上签署不同意见并说明理由，由谈判小组书面记录相关情况。谈判小组成员拒绝在报告上签字又不书面说明其不同意见和理由的，视为同意谈判报告。</w:t>
      </w:r>
    </w:p>
    <w:p w14:paraId="02B4AB98">
      <w:pPr>
        <w:keepNext w:val="0"/>
        <w:keepLines w:val="0"/>
        <w:pageBreakBefore w:val="0"/>
        <w:widowControl w:val="0"/>
        <w:kinsoku/>
        <w:wordWrap w:val="0"/>
        <w:overflowPunct/>
        <w:topLinePunct/>
        <w:autoSpaceDE/>
        <w:autoSpaceDN/>
        <w:bidi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2.7谈判异议处理规则。在谈判过程中，谈判小组成员对响应文件是否符合谈判文件规定存在争议的，应当以少数服从多数的原则处理，但不违背谈判文件规定。有不同意见的谈判小组成员认为认定过程和结果不符合法律法规或者谈判文件规定的，应当在谈判报告中予以反映。</w:t>
      </w:r>
    </w:p>
    <w:p w14:paraId="21EC78EF">
      <w:pPr>
        <w:keepNext w:val="0"/>
        <w:keepLines w:val="0"/>
        <w:pageBreakBefore w:val="0"/>
        <w:widowControl w:val="0"/>
        <w:kinsoku/>
        <w:wordWrap w:val="0"/>
        <w:overflowPunct/>
        <w:topLinePunct/>
        <w:autoSpaceDE/>
        <w:autoSpaceDN/>
        <w:bidi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2.8供应商澄清、说明</w:t>
      </w:r>
    </w:p>
    <w:p w14:paraId="28669040">
      <w:pPr>
        <w:keepNext w:val="0"/>
        <w:keepLines w:val="0"/>
        <w:pageBreakBefore w:val="0"/>
        <w:widowControl w:val="0"/>
        <w:kinsoku/>
        <w:wordWrap w:val="0"/>
        <w:overflowPunct/>
        <w:topLinePunct/>
        <w:autoSpaceDE/>
        <w:autoSpaceDN/>
        <w:bidi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2.8.1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510D2E8">
      <w:pPr>
        <w:keepNext w:val="0"/>
        <w:keepLines w:val="0"/>
        <w:pageBreakBefore w:val="0"/>
        <w:widowControl w:val="0"/>
        <w:kinsoku/>
        <w:wordWrap w:val="0"/>
        <w:overflowPunct/>
        <w:topLinePunct/>
        <w:autoSpaceDE/>
        <w:autoSpaceDN/>
        <w:bidi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2.8.2谈判小组要求供应商澄清、说明或者更正响应文件应当以书面形式作出。供应商的澄清、说明或者更正应当由法定代表人/主要负责人/本人或其授权代表签字（</w:t>
      </w:r>
      <w:r>
        <w:rPr>
          <w:rFonts w:hint="eastAsia" w:ascii="宋体" w:hAnsi="宋体" w:eastAsia="宋体" w:cs="宋体"/>
          <w:b/>
          <w:bCs/>
          <w:color w:val="auto"/>
          <w:sz w:val="24"/>
          <w:szCs w:val="24"/>
        </w:rPr>
        <w:t>注：</w:t>
      </w:r>
      <w:r>
        <w:rPr>
          <w:rFonts w:hint="eastAsia" w:ascii="宋体" w:hAnsi="宋体" w:eastAsia="宋体" w:cs="宋体"/>
          <w:color w:val="auto"/>
          <w:sz w:val="24"/>
          <w:szCs w:val="24"/>
        </w:rPr>
        <w:t>供应商为法人的，应当由其法定代表人或者授权代表签字确认；供应商为其他组织的，应当由其主要负责人或者授权代表签字确认；供应商为自然人的，应当由其本人或者授权代表签字确认）或者加盖公章。</w:t>
      </w:r>
    </w:p>
    <w:p w14:paraId="218F880C">
      <w:pPr>
        <w:keepNext w:val="0"/>
        <w:keepLines w:val="0"/>
        <w:pageBreakBefore w:val="0"/>
        <w:widowControl w:val="0"/>
        <w:kinsoku/>
        <w:wordWrap w:val="0"/>
        <w:overflowPunct/>
        <w:topLinePunct/>
        <w:autoSpaceDE/>
        <w:autoSpaceDN/>
        <w:bidi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2.9终止谈判采购活动。</w:t>
      </w:r>
    </w:p>
    <w:p w14:paraId="6DE25F67">
      <w:pPr>
        <w:keepNext w:val="0"/>
        <w:keepLines w:val="0"/>
        <w:pageBreakBefore w:val="0"/>
        <w:widowControl w:val="0"/>
        <w:kinsoku/>
        <w:wordWrap w:val="0"/>
        <w:overflowPunct/>
        <w:topLinePunct/>
        <w:autoSpaceDE/>
        <w:autoSpaceDN/>
        <w:bidi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出现下列情形之一的，采购人或者采购代理机构应当终止竞争性谈判采购活动，发布项目终止公告并说明原因，重新开展采购活动：</w:t>
      </w:r>
    </w:p>
    <w:p w14:paraId="08510731">
      <w:pPr>
        <w:keepNext w:val="0"/>
        <w:keepLines w:val="0"/>
        <w:pageBreakBefore w:val="0"/>
        <w:widowControl w:val="0"/>
        <w:kinsoku/>
        <w:wordWrap w:val="0"/>
        <w:overflowPunct/>
        <w:topLinePunct/>
        <w:autoSpaceDE/>
        <w:autoSpaceDN/>
        <w:bidi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（1）因情况变化，不再符合规定的竞争性谈判采购方式适用情形的；</w:t>
      </w:r>
    </w:p>
    <w:p w14:paraId="79630668">
      <w:pPr>
        <w:keepNext w:val="0"/>
        <w:keepLines w:val="0"/>
        <w:pageBreakBefore w:val="0"/>
        <w:widowControl w:val="0"/>
        <w:kinsoku/>
        <w:wordWrap w:val="0"/>
        <w:overflowPunct/>
        <w:topLinePunct/>
        <w:autoSpaceDE/>
        <w:autoSpaceDN/>
        <w:bidi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14:paraId="39AF6267">
      <w:pPr>
        <w:keepNext w:val="0"/>
        <w:keepLines w:val="0"/>
        <w:pageBreakBefore w:val="0"/>
        <w:widowControl w:val="0"/>
        <w:kinsoku/>
        <w:wordWrap w:val="0"/>
        <w:overflowPunct/>
        <w:topLinePunct/>
        <w:autoSpaceDE/>
        <w:autoSpaceDN/>
        <w:bidi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（3）在采购过程中符合要求的供应商或者最后报价未超过采购预算的供应商不足3家的。</w:t>
      </w:r>
    </w:p>
    <w:p w14:paraId="06B9BC2E">
      <w:pPr>
        <w:keepNext w:val="0"/>
        <w:keepLines w:val="0"/>
        <w:pageBreakBefore w:val="0"/>
        <w:widowControl w:val="0"/>
        <w:kinsoku/>
        <w:wordWrap w:val="0"/>
        <w:overflowPunct/>
        <w:topLinePunct/>
        <w:autoSpaceDE/>
        <w:autoSpaceDN/>
        <w:bidi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2.10谈判活动结束后，发现资格预审过程中资格性审查认定错误的，谈判结果无效，重新开展采购活动，由此给供应商造成损失的，由采购人、采购代理机构承担赔偿责任。但是，经过所有参加采购活动的供应商书面认可，同意重新实行资格性审查的，可以直接重新实行资格性审查，并重新按照规定要求进行谈判评审。</w:t>
      </w:r>
    </w:p>
    <w:bookmarkEnd w:id="108"/>
    <w:bookmarkEnd w:id="109"/>
    <w:bookmarkEnd w:id="110"/>
    <w:bookmarkEnd w:id="111"/>
    <w:p w14:paraId="7CE94E90">
      <w:pPr>
        <w:keepNext w:val="0"/>
        <w:keepLines w:val="0"/>
        <w:pageBreakBefore w:val="0"/>
        <w:widowControl w:val="0"/>
        <w:tabs>
          <w:tab w:val="left" w:pos="851"/>
        </w:tabs>
        <w:kinsoku/>
        <w:wordWrap w:val="0"/>
        <w:overflowPunct/>
        <w:topLinePunct/>
        <w:autoSpaceDE/>
        <w:autoSpaceDN/>
        <w:bidi w:val="0"/>
        <w:spacing w:line="360" w:lineRule="auto"/>
        <w:ind w:firstLine="48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3.谈判纪律及注意事项</w:t>
      </w:r>
    </w:p>
    <w:p w14:paraId="11F1B70C">
      <w:pPr>
        <w:keepNext w:val="0"/>
        <w:keepLines w:val="0"/>
        <w:pageBreakBefore w:val="0"/>
        <w:widowControl w:val="0"/>
        <w:tabs>
          <w:tab w:val="left" w:pos="851"/>
        </w:tabs>
        <w:kinsoku/>
        <w:wordWrap w:val="0"/>
        <w:overflowPunct/>
        <w:topLinePunct/>
        <w:autoSpaceDE/>
        <w:autoSpaceDN/>
        <w:bidi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3.1谈判小组内部讨论的情况和意见必须保密，任何人不得以任何形式透露给供应商或与供应商有关的单位或个人。</w:t>
      </w:r>
    </w:p>
    <w:p w14:paraId="20FB7589">
      <w:pPr>
        <w:keepNext w:val="0"/>
        <w:keepLines w:val="0"/>
        <w:pageBreakBefore w:val="0"/>
        <w:widowControl w:val="0"/>
        <w:tabs>
          <w:tab w:val="left" w:pos="851"/>
        </w:tabs>
        <w:kinsoku/>
        <w:wordWrap w:val="0"/>
        <w:overflowPunct/>
        <w:topLinePunct/>
        <w:autoSpaceDE/>
        <w:autoSpaceDN/>
        <w:bidi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3.2在谈判过程中，供应商不得以任何形式对谈判小组成员进行旨在影响谈判结果的私下接触，否则将取消其参与谈判的资格。</w:t>
      </w:r>
    </w:p>
    <w:p w14:paraId="3D1042F0">
      <w:pPr>
        <w:keepNext w:val="0"/>
        <w:keepLines w:val="0"/>
        <w:pageBreakBefore w:val="0"/>
        <w:widowControl w:val="0"/>
        <w:tabs>
          <w:tab w:val="left" w:pos="851"/>
        </w:tabs>
        <w:kinsoku/>
        <w:wordWrap w:val="0"/>
        <w:overflowPunct/>
        <w:topLinePunct/>
        <w:autoSpaceDE/>
        <w:autoSpaceDN/>
        <w:bidi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3.3对各供应商的商业秘密，谈判小组成员应予以保密，不得泄露给其他供应商。</w:t>
      </w:r>
    </w:p>
    <w:p w14:paraId="37D55E85">
      <w:pPr>
        <w:keepNext w:val="0"/>
        <w:keepLines w:val="0"/>
        <w:pageBreakBefore w:val="0"/>
        <w:widowControl w:val="0"/>
        <w:tabs>
          <w:tab w:val="left" w:pos="851"/>
        </w:tabs>
        <w:kinsoku/>
        <w:wordWrap w:val="0"/>
        <w:overflowPunct/>
        <w:topLinePunct/>
        <w:autoSpaceDE/>
        <w:autoSpaceDN/>
        <w:bidi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3.4 谈判小组独立评判，推荐成交候选人，并写出书面报告。</w:t>
      </w:r>
    </w:p>
    <w:p w14:paraId="1CE7DDA7">
      <w:pPr>
        <w:keepNext w:val="0"/>
        <w:keepLines w:val="0"/>
        <w:pageBreakBefore w:val="0"/>
        <w:widowControl w:val="0"/>
        <w:tabs>
          <w:tab w:val="left" w:pos="851"/>
        </w:tabs>
        <w:kinsoku/>
        <w:wordWrap w:val="0"/>
        <w:overflowPunct/>
        <w:topLinePunct/>
        <w:autoSpaceDE/>
        <w:autoSpaceDN/>
        <w:bidi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3.5 谈判小组可根据需要对供应商进行实地考察。</w:t>
      </w:r>
    </w:p>
    <w:p w14:paraId="6CF1385A">
      <w:pPr>
        <w:keepNext w:val="0"/>
        <w:keepLines w:val="0"/>
        <w:pageBreakBefore w:val="0"/>
        <w:widowControl w:val="0"/>
        <w:kinsoku/>
        <w:wordWrap w:val="0"/>
        <w:overflowPunct/>
        <w:topLinePunct/>
        <w:autoSpaceDE/>
        <w:autoSpaceDN/>
        <w:bidi w:val="0"/>
        <w:spacing w:line="360" w:lineRule="auto"/>
        <w:ind w:firstLine="480" w:firstLineChars="200"/>
        <w:textAlignment w:val="auto"/>
        <w:outlineLvl w:val="9"/>
        <w:rPr>
          <w:rFonts w:hint="eastAsia" w:ascii="宋体" w:hAnsi="宋体" w:eastAsia="宋体" w:cs="宋体"/>
          <w:color w:val="auto"/>
          <w:sz w:val="24"/>
          <w:szCs w:val="24"/>
        </w:rPr>
      </w:pPr>
    </w:p>
    <w:p w14:paraId="46FC47A5">
      <w:pPr>
        <w:keepNext w:val="0"/>
        <w:keepLines w:val="0"/>
        <w:pageBreakBefore w:val="0"/>
        <w:widowControl w:val="0"/>
        <w:tabs>
          <w:tab w:val="left" w:pos="7665"/>
        </w:tabs>
        <w:kinsoku/>
        <w:wordWrap w:val="0"/>
        <w:overflowPunct/>
        <w:topLinePunct/>
        <w:autoSpaceDE/>
        <w:autoSpaceDN/>
        <w:bidi w:val="0"/>
        <w:spacing w:line="360" w:lineRule="auto"/>
        <w:ind w:firstLine="480"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color w:val="auto"/>
          <w:sz w:val="24"/>
          <w:szCs w:val="24"/>
        </w:rPr>
        <w:t>4.</w:t>
      </w:r>
      <w:bookmarkEnd w:id="112"/>
      <w:r>
        <w:rPr>
          <w:rFonts w:hint="eastAsia" w:ascii="宋体" w:hAnsi="宋体" w:eastAsia="宋体" w:cs="宋体"/>
          <w:b/>
          <w:bCs/>
          <w:color w:val="auto"/>
          <w:sz w:val="24"/>
          <w:szCs w:val="24"/>
        </w:rPr>
        <w:t>谈判小组在政府采购活动中承担以下义务：</w:t>
      </w:r>
    </w:p>
    <w:p w14:paraId="6560BEA3">
      <w:pPr>
        <w:pStyle w:val="97"/>
        <w:keepNext w:val="0"/>
        <w:keepLines w:val="0"/>
        <w:pageBreakBefore w:val="0"/>
        <w:widowControl w:val="0"/>
        <w:numPr>
          <w:ilvl w:val="0"/>
          <w:numId w:val="8"/>
        </w:numPr>
        <w:tabs>
          <w:tab w:val="left" w:pos="7665"/>
        </w:tabs>
        <w:kinsoku/>
        <w:wordWrap w:val="0"/>
        <w:overflowPunct/>
        <w:topLinePunct/>
        <w:autoSpaceDE/>
        <w:autoSpaceDN/>
        <w:bidi w:val="0"/>
        <w:spacing w:line="360" w:lineRule="auto"/>
        <w:ind w:left="0" w:firstLine="567" w:firstLineChars="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遵守评审工作纪律；</w:t>
      </w:r>
    </w:p>
    <w:p w14:paraId="38198BF3">
      <w:pPr>
        <w:pStyle w:val="97"/>
        <w:keepNext w:val="0"/>
        <w:keepLines w:val="0"/>
        <w:pageBreakBefore w:val="0"/>
        <w:widowControl w:val="0"/>
        <w:numPr>
          <w:ilvl w:val="0"/>
          <w:numId w:val="8"/>
        </w:numPr>
        <w:tabs>
          <w:tab w:val="left" w:pos="7665"/>
        </w:tabs>
        <w:kinsoku/>
        <w:wordWrap w:val="0"/>
        <w:overflowPunct/>
        <w:topLinePunct/>
        <w:autoSpaceDE/>
        <w:autoSpaceDN/>
        <w:bidi w:val="0"/>
        <w:spacing w:line="360" w:lineRule="auto"/>
        <w:ind w:left="0" w:firstLine="567" w:firstLineChars="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按照客观、公正、审慎的原则，根据谈判文件规定的评审程序、评审方法和评审标准进行独立评审；</w:t>
      </w:r>
    </w:p>
    <w:p w14:paraId="4BC5AF52">
      <w:pPr>
        <w:pStyle w:val="97"/>
        <w:keepNext w:val="0"/>
        <w:keepLines w:val="0"/>
        <w:pageBreakBefore w:val="0"/>
        <w:widowControl w:val="0"/>
        <w:numPr>
          <w:ilvl w:val="0"/>
          <w:numId w:val="8"/>
        </w:numPr>
        <w:tabs>
          <w:tab w:val="left" w:pos="7665"/>
        </w:tabs>
        <w:kinsoku/>
        <w:wordWrap w:val="0"/>
        <w:overflowPunct/>
        <w:topLinePunct/>
        <w:autoSpaceDE/>
        <w:autoSpaceDN/>
        <w:bidi w:val="0"/>
        <w:spacing w:line="360" w:lineRule="auto"/>
        <w:ind w:left="0" w:firstLine="567" w:firstLineChars="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不得泄露评审文件、评审情况和在评审过程中获悉的商业秘密；</w:t>
      </w:r>
    </w:p>
    <w:p w14:paraId="162425CF">
      <w:pPr>
        <w:pStyle w:val="97"/>
        <w:keepNext w:val="0"/>
        <w:keepLines w:val="0"/>
        <w:pageBreakBefore w:val="0"/>
        <w:widowControl w:val="0"/>
        <w:numPr>
          <w:ilvl w:val="0"/>
          <w:numId w:val="8"/>
        </w:numPr>
        <w:tabs>
          <w:tab w:val="left" w:pos="7665"/>
        </w:tabs>
        <w:kinsoku/>
        <w:wordWrap w:val="0"/>
        <w:overflowPunct/>
        <w:topLinePunct/>
        <w:autoSpaceDE/>
        <w:autoSpaceDN/>
        <w:bidi w:val="0"/>
        <w:spacing w:line="360" w:lineRule="auto"/>
        <w:ind w:left="0" w:firstLine="567" w:firstLineChars="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及时向财政部门报告评审过程中发现的采购人、采购代理机构向评审专家做倾向性、误导性的解释或者说明，以及供应商行贿、提供虚假材料或者串通等违法行为；</w:t>
      </w:r>
    </w:p>
    <w:p w14:paraId="300E6ADA">
      <w:pPr>
        <w:pStyle w:val="97"/>
        <w:keepNext w:val="0"/>
        <w:keepLines w:val="0"/>
        <w:pageBreakBefore w:val="0"/>
        <w:widowControl w:val="0"/>
        <w:numPr>
          <w:ilvl w:val="0"/>
          <w:numId w:val="8"/>
        </w:numPr>
        <w:tabs>
          <w:tab w:val="left" w:pos="7665"/>
        </w:tabs>
        <w:kinsoku/>
        <w:wordWrap w:val="0"/>
        <w:overflowPunct/>
        <w:topLinePunct/>
        <w:autoSpaceDE/>
        <w:autoSpaceDN/>
        <w:bidi w:val="0"/>
        <w:spacing w:line="360" w:lineRule="auto"/>
        <w:ind w:left="0" w:firstLine="567" w:firstLineChars="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发现谈判文件内容违反国家有关强制性规定或者谈判文件存在歧义、重大缺陷导致评审工作无法进行时，停止评审并向采购人或者采购代理机构书面说明情况；</w:t>
      </w:r>
    </w:p>
    <w:p w14:paraId="0A4AEB3B">
      <w:pPr>
        <w:pStyle w:val="97"/>
        <w:keepNext w:val="0"/>
        <w:keepLines w:val="0"/>
        <w:pageBreakBefore w:val="0"/>
        <w:widowControl w:val="0"/>
        <w:numPr>
          <w:ilvl w:val="0"/>
          <w:numId w:val="8"/>
        </w:numPr>
        <w:tabs>
          <w:tab w:val="left" w:pos="7665"/>
        </w:tabs>
        <w:kinsoku/>
        <w:wordWrap w:val="0"/>
        <w:overflowPunct/>
        <w:topLinePunct/>
        <w:autoSpaceDE/>
        <w:autoSpaceDN/>
        <w:bidi w:val="0"/>
        <w:spacing w:line="360" w:lineRule="auto"/>
        <w:ind w:left="0" w:firstLine="567" w:firstLineChars="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及时向财政、监察等部门举报在评审过程中受到非法干预的情况；</w:t>
      </w:r>
    </w:p>
    <w:p w14:paraId="30F5CE17">
      <w:pPr>
        <w:pStyle w:val="97"/>
        <w:keepNext w:val="0"/>
        <w:keepLines w:val="0"/>
        <w:pageBreakBefore w:val="0"/>
        <w:widowControl w:val="0"/>
        <w:numPr>
          <w:ilvl w:val="0"/>
          <w:numId w:val="8"/>
        </w:numPr>
        <w:tabs>
          <w:tab w:val="left" w:pos="7665"/>
        </w:tabs>
        <w:kinsoku/>
        <w:wordWrap w:val="0"/>
        <w:overflowPunct/>
        <w:topLinePunct/>
        <w:autoSpaceDE/>
        <w:autoSpaceDN/>
        <w:bidi w:val="0"/>
        <w:spacing w:line="360" w:lineRule="auto"/>
        <w:ind w:left="0" w:firstLine="567" w:firstLineChars="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配合答复处理供应商的询问、质疑和投诉等事项；</w:t>
      </w:r>
    </w:p>
    <w:p w14:paraId="151E2AD4">
      <w:pPr>
        <w:pStyle w:val="97"/>
        <w:keepNext w:val="0"/>
        <w:keepLines w:val="0"/>
        <w:pageBreakBefore w:val="0"/>
        <w:widowControl w:val="0"/>
        <w:numPr>
          <w:ilvl w:val="0"/>
          <w:numId w:val="8"/>
        </w:numPr>
        <w:tabs>
          <w:tab w:val="left" w:pos="7665"/>
        </w:tabs>
        <w:kinsoku/>
        <w:wordWrap w:val="0"/>
        <w:overflowPunct/>
        <w:topLinePunct/>
        <w:autoSpaceDE/>
        <w:autoSpaceDN/>
        <w:bidi w:val="0"/>
        <w:spacing w:line="360" w:lineRule="auto"/>
        <w:ind w:left="0" w:firstLine="567" w:firstLineChars="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法律、法规和规章规定的其他义务。</w:t>
      </w:r>
    </w:p>
    <w:p w14:paraId="64DAA248">
      <w:pPr>
        <w:keepNext w:val="0"/>
        <w:keepLines w:val="0"/>
        <w:pageBreakBefore w:val="0"/>
        <w:widowControl w:val="0"/>
        <w:tabs>
          <w:tab w:val="left" w:pos="7665"/>
        </w:tabs>
        <w:kinsoku/>
        <w:wordWrap w:val="0"/>
        <w:overflowPunct/>
        <w:topLinePunct/>
        <w:autoSpaceDE/>
        <w:autoSpaceDN/>
        <w:bidi w:val="0"/>
        <w:spacing w:line="360" w:lineRule="auto"/>
        <w:ind w:firstLine="48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5.评审专家在政府采购活动中应当遵守以下工作纪律：</w:t>
      </w:r>
    </w:p>
    <w:p w14:paraId="33E04487">
      <w:pPr>
        <w:pStyle w:val="97"/>
        <w:keepNext w:val="0"/>
        <w:keepLines w:val="0"/>
        <w:pageBreakBefore w:val="0"/>
        <w:widowControl w:val="0"/>
        <w:numPr>
          <w:ilvl w:val="0"/>
          <w:numId w:val="0"/>
        </w:numPr>
        <w:tabs>
          <w:tab w:val="left" w:pos="7665"/>
        </w:tabs>
        <w:kinsoku/>
        <w:wordWrap w:val="0"/>
        <w:overflowPunct/>
        <w:topLinePunct/>
        <w:autoSpaceDE/>
        <w:autoSpaceDN/>
        <w:bidi w:val="0"/>
        <w:spacing w:line="360" w:lineRule="auto"/>
        <w:ind w:left="0" w:leftChars="0" w:firstLine="567" w:firstLineChars="0"/>
        <w:textAlignment w:val="auto"/>
        <w:outlineLvl w:val="9"/>
        <w:rPr>
          <w:rFonts w:hint="eastAsia" w:ascii="宋体" w:hAnsi="宋体" w:eastAsia="宋体" w:cs="宋体"/>
          <w:color w:val="auto"/>
          <w:sz w:val="24"/>
          <w:szCs w:val="24"/>
        </w:rPr>
      </w:pPr>
      <w:r>
        <w:rPr>
          <w:rFonts w:hint="default" w:ascii="宋体" w:hAnsi="宋体" w:eastAsia="宋体" w:cs="宋体"/>
          <w:b w:val="0"/>
          <w:bCs w:val="0"/>
          <w:color w:val="auto"/>
          <w:kern w:val="0"/>
          <w:sz w:val="24"/>
          <w:szCs w:val="24"/>
          <w:lang w:val="en-US" w:eastAsia="zh-CN" w:bidi="ar-SA"/>
        </w:rPr>
        <w:t>5.1</w:t>
      </w:r>
      <w:r>
        <w:rPr>
          <w:rFonts w:hint="eastAsia" w:ascii="宋体" w:hAnsi="宋体" w:eastAsia="宋体" w:cs="宋体"/>
          <w:color w:val="auto"/>
          <w:sz w:val="24"/>
          <w:szCs w:val="24"/>
        </w:rPr>
        <w:t>不得参加与自己有《中华人民共和国政府采购法实施条例》第九条规定的利害关系的政府采购项目的评审活动。发现参加了与自己有利害关系的评审活动，须主动提出回避，退出评审；</w:t>
      </w:r>
    </w:p>
    <w:p w14:paraId="4C011B04">
      <w:pPr>
        <w:pStyle w:val="97"/>
        <w:keepNext w:val="0"/>
        <w:keepLines w:val="0"/>
        <w:pageBreakBefore w:val="0"/>
        <w:widowControl w:val="0"/>
        <w:numPr>
          <w:ilvl w:val="0"/>
          <w:numId w:val="0"/>
        </w:numPr>
        <w:tabs>
          <w:tab w:val="left" w:pos="7665"/>
        </w:tabs>
        <w:kinsoku/>
        <w:wordWrap w:val="0"/>
        <w:overflowPunct/>
        <w:topLinePunct/>
        <w:autoSpaceDE/>
        <w:autoSpaceDN/>
        <w:bidi w:val="0"/>
        <w:spacing w:line="360" w:lineRule="auto"/>
        <w:ind w:left="0" w:leftChars="0" w:firstLine="567" w:firstLineChars="0"/>
        <w:textAlignment w:val="auto"/>
        <w:outlineLvl w:val="9"/>
        <w:rPr>
          <w:rFonts w:hint="eastAsia" w:ascii="宋体" w:hAnsi="宋体" w:eastAsia="宋体" w:cs="宋体"/>
          <w:color w:val="auto"/>
          <w:sz w:val="24"/>
          <w:szCs w:val="24"/>
        </w:rPr>
      </w:pPr>
      <w:r>
        <w:rPr>
          <w:rFonts w:hint="default" w:ascii="宋体" w:hAnsi="宋体" w:eastAsia="宋体" w:cs="宋体"/>
          <w:b w:val="0"/>
          <w:bCs w:val="0"/>
          <w:color w:val="auto"/>
          <w:kern w:val="0"/>
          <w:sz w:val="24"/>
          <w:szCs w:val="24"/>
          <w:lang w:val="en-US" w:eastAsia="zh-CN" w:bidi="ar-SA"/>
        </w:rPr>
        <w:t>5.2</w:t>
      </w:r>
      <w:r>
        <w:rPr>
          <w:rFonts w:hint="eastAsia" w:ascii="宋体" w:hAnsi="宋体" w:eastAsia="宋体" w:cs="宋体"/>
          <w:color w:val="auto"/>
          <w:sz w:val="24"/>
          <w:szCs w:val="24"/>
        </w:rPr>
        <w:t>评审前，应当将通讯工具或者相关电子设备交由采购代理机构统一保管；</w:t>
      </w:r>
    </w:p>
    <w:p w14:paraId="5A32161F">
      <w:pPr>
        <w:pStyle w:val="97"/>
        <w:keepNext w:val="0"/>
        <w:keepLines w:val="0"/>
        <w:pageBreakBefore w:val="0"/>
        <w:widowControl w:val="0"/>
        <w:numPr>
          <w:ilvl w:val="0"/>
          <w:numId w:val="0"/>
        </w:numPr>
        <w:tabs>
          <w:tab w:val="left" w:pos="7665"/>
        </w:tabs>
        <w:kinsoku/>
        <w:wordWrap w:val="0"/>
        <w:overflowPunct/>
        <w:topLinePunct/>
        <w:autoSpaceDE/>
        <w:autoSpaceDN/>
        <w:bidi w:val="0"/>
        <w:spacing w:line="360" w:lineRule="auto"/>
        <w:ind w:left="0" w:leftChars="0" w:firstLine="567" w:firstLineChars="0"/>
        <w:textAlignment w:val="auto"/>
        <w:outlineLvl w:val="9"/>
        <w:rPr>
          <w:rFonts w:hint="eastAsia" w:ascii="宋体" w:hAnsi="宋体" w:eastAsia="宋体" w:cs="宋体"/>
          <w:color w:val="auto"/>
          <w:sz w:val="24"/>
          <w:szCs w:val="24"/>
        </w:rPr>
      </w:pPr>
      <w:r>
        <w:rPr>
          <w:rFonts w:hint="default" w:ascii="宋体" w:hAnsi="宋体" w:eastAsia="宋体" w:cs="宋体"/>
          <w:b w:val="0"/>
          <w:bCs w:val="0"/>
          <w:color w:val="auto"/>
          <w:kern w:val="0"/>
          <w:sz w:val="24"/>
          <w:szCs w:val="24"/>
          <w:lang w:val="en-US" w:eastAsia="zh-CN" w:bidi="ar-SA"/>
        </w:rPr>
        <w:t>5.3</w:t>
      </w:r>
      <w:r>
        <w:rPr>
          <w:rFonts w:hint="eastAsia" w:ascii="宋体" w:hAnsi="宋体" w:eastAsia="宋体" w:cs="宋体"/>
          <w:color w:val="auto"/>
          <w:sz w:val="24"/>
          <w:szCs w:val="24"/>
        </w:rPr>
        <w:t>评审过程中，不得与外界联系，因发生不可预见情况，确实需要与外界联系的，应当在监督人员监督之下办理；</w:t>
      </w:r>
    </w:p>
    <w:p w14:paraId="2F22DD1A">
      <w:pPr>
        <w:pStyle w:val="97"/>
        <w:keepNext w:val="0"/>
        <w:keepLines w:val="0"/>
        <w:pageBreakBefore w:val="0"/>
        <w:widowControl w:val="0"/>
        <w:numPr>
          <w:ilvl w:val="0"/>
          <w:numId w:val="0"/>
        </w:numPr>
        <w:tabs>
          <w:tab w:val="left" w:pos="7665"/>
        </w:tabs>
        <w:kinsoku/>
        <w:wordWrap w:val="0"/>
        <w:overflowPunct/>
        <w:topLinePunct/>
        <w:autoSpaceDE/>
        <w:autoSpaceDN/>
        <w:bidi w:val="0"/>
        <w:spacing w:line="360" w:lineRule="auto"/>
        <w:ind w:left="0" w:leftChars="0" w:firstLine="567" w:firstLineChars="0"/>
        <w:textAlignment w:val="auto"/>
        <w:outlineLvl w:val="9"/>
        <w:rPr>
          <w:rFonts w:hint="eastAsia" w:ascii="宋体" w:hAnsi="宋体" w:eastAsia="宋体" w:cs="宋体"/>
          <w:color w:val="auto"/>
          <w:sz w:val="24"/>
          <w:szCs w:val="24"/>
        </w:rPr>
      </w:pPr>
      <w:r>
        <w:rPr>
          <w:rFonts w:hint="default" w:ascii="宋体" w:hAnsi="宋体" w:eastAsia="宋体" w:cs="宋体"/>
          <w:b w:val="0"/>
          <w:bCs w:val="0"/>
          <w:color w:val="auto"/>
          <w:kern w:val="0"/>
          <w:sz w:val="24"/>
          <w:szCs w:val="24"/>
          <w:lang w:val="en-US" w:eastAsia="zh-CN" w:bidi="ar-SA"/>
        </w:rPr>
        <w:t>5.4</w:t>
      </w:r>
      <w:r>
        <w:rPr>
          <w:rFonts w:hint="eastAsia" w:ascii="宋体" w:hAnsi="宋体" w:eastAsia="宋体" w:cs="宋体"/>
          <w:color w:val="auto"/>
          <w:sz w:val="24"/>
          <w:szCs w:val="24"/>
        </w:rPr>
        <w:t>评审过程中，不得发表影响评审公正的倾向性、歧视性言论，不得征询或者接受采购人的倾向性意见，不得明示或暗示供应商在澄清时表达与其响应文件原义不同的意见，不得以谈判文件没有规定的评审方法和标准作为评审的依据，不得修改或者细化评审程序、评审方法、评审因素和评审标准，不得违规撰写评审意见，不得拒绝对自己的评审意见签字确认；</w:t>
      </w:r>
    </w:p>
    <w:p w14:paraId="2BB20436">
      <w:pPr>
        <w:pStyle w:val="97"/>
        <w:keepNext w:val="0"/>
        <w:keepLines w:val="0"/>
        <w:pageBreakBefore w:val="0"/>
        <w:widowControl w:val="0"/>
        <w:numPr>
          <w:ilvl w:val="0"/>
          <w:numId w:val="0"/>
        </w:numPr>
        <w:tabs>
          <w:tab w:val="left" w:pos="7665"/>
        </w:tabs>
        <w:kinsoku/>
        <w:wordWrap w:val="0"/>
        <w:overflowPunct/>
        <w:topLinePunct/>
        <w:autoSpaceDE/>
        <w:autoSpaceDN/>
        <w:bidi w:val="0"/>
        <w:spacing w:line="360" w:lineRule="auto"/>
        <w:ind w:left="0" w:leftChars="0" w:firstLine="567" w:firstLineChars="0"/>
        <w:textAlignment w:val="auto"/>
        <w:outlineLvl w:val="9"/>
        <w:rPr>
          <w:rFonts w:hint="eastAsia" w:ascii="宋体" w:hAnsi="宋体" w:eastAsia="宋体" w:cs="宋体"/>
          <w:color w:val="auto"/>
          <w:sz w:val="24"/>
          <w:szCs w:val="24"/>
        </w:rPr>
      </w:pPr>
      <w:r>
        <w:rPr>
          <w:rFonts w:hint="default" w:ascii="宋体" w:hAnsi="宋体" w:eastAsia="宋体" w:cs="宋体"/>
          <w:b w:val="0"/>
          <w:bCs w:val="0"/>
          <w:color w:val="auto"/>
          <w:kern w:val="0"/>
          <w:sz w:val="24"/>
          <w:szCs w:val="24"/>
          <w:lang w:val="en-US" w:eastAsia="zh-CN" w:bidi="ar-SA"/>
        </w:rPr>
        <w:t>5.5</w:t>
      </w:r>
      <w:r>
        <w:rPr>
          <w:rFonts w:hint="eastAsia" w:ascii="宋体" w:hAnsi="宋体" w:eastAsia="宋体" w:cs="宋体"/>
          <w:color w:val="auto"/>
          <w:sz w:val="24"/>
          <w:szCs w:val="24"/>
        </w:rPr>
        <w:t>在评审过程中和评审结束后，不得记录、复制或带走任何评审资料，不得向外界透露评审内容；</w:t>
      </w:r>
    </w:p>
    <w:p w14:paraId="3FF2330D">
      <w:pPr>
        <w:pStyle w:val="97"/>
        <w:keepNext w:val="0"/>
        <w:keepLines w:val="0"/>
        <w:pageBreakBefore w:val="0"/>
        <w:widowControl w:val="0"/>
        <w:numPr>
          <w:ilvl w:val="0"/>
          <w:numId w:val="0"/>
        </w:numPr>
        <w:tabs>
          <w:tab w:val="left" w:pos="7665"/>
        </w:tabs>
        <w:kinsoku/>
        <w:wordWrap w:val="0"/>
        <w:overflowPunct/>
        <w:topLinePunct/>
        <w:autoSpaceDE/>
        <w:autoSpaceDN/>
        <w:bidi w:val="0"/>
        <w:spacing w:line="360" w:lineRule="auto"/>
        <w:ind w:left="0" w:leftChars="0" w:firstLine="567" w:firstLineChars="0"/>
        <w:textAlignment w:val="auto"/>
        <w:outlineLvl w:val="9"/>
        <w:rPr>
          <w:rFonts w:hint="eastAsia" w:ascii="宋体" w:hAnsi="宋体" w:eastAsia="宋体" w:cs="宋体"/>
          <w:color w:val="auto"/>
          <w:sz w:val="24"/>
          <w:szCs w:val="24"/>
        </w:rPr>
      </w:pPr>
      <w:r>
        <w:rPr>
          <w:rFonts w:hint="default" w:ascii="宋体" w:hAnsi="宋体" w:eastAsia="宋体" w:cs="宋体"/>
          <w:b w:val="0"/>
          <w:bCs w:val="0"/>
          <w:color w:val="auto"/>
          <w:kern w:val="0"/>
          <w:sz w:val="24"/>
          <w:szCs w:val="24"/>
          <w:lang w:val="en-US" w:eastAsia="zh-CN" w:bidi="ar-SA"/>
        </w:rPr>
        <w:t>5.6</w:t>
      </w:r>
      <w:r>
        <w:rPr>
          <w:rFonts w:hint="eastAsia" w:ascii="宋体" w:hAnsi="宋体" w:eastAsia="宋体" w:cs="宋体"/>
          <w:color w:val="auto"/>
          <w:sz w:val="24"/>
          <w:szCs w:val="24"/>
        </w:rPr>
        <w:t>评审现场服从采购代理机构工作人员的管理，接受现场监督人员的合法监督；</w:t>
      </w:r>
    </w:p>
    <w:p w14:paraId="2B0E490C">
      <w:pPr>
        <w:pStyle w:val="97"/>
        <w:keepNext w:val="0"/>
        <w:keepLines w:val="0"/>
        <w:pageBreakBefore w:val="0"/>
        <w:widowControl w:val="0"/>
        <w:numPr>
          <w:ilvl w:val="0"/>
          <w:numId w:val="0"/>
        </w:numPr>
        <w:tabs>
          <w:tab w:val="left" w:pos="7665"/>
        </w:tabs>
        <w:kinsoku/>
        <w:wordWrap w:val="0"/>
        <w:overflowPunct/>
        <w:topLinePunct/>
        <w:autoSpaceDE/>
        <w:autoSpaceDN/>
        <w:bidi w:val="0"/>
        <w:spacing w:line="360" w:lineRule="auto"/>
        <w:ind w:left="0" w:leftChars="0" w:firstLine="567" w:firstLineChars="0"/>
        <w:textAlignment w:val="auto"/>
        <w:outlineLvl w:val="9"/>
        <w:rPr>
          <w:rFonts w:hint="eastAsia" w:ascii="宋体" w:hAnsi="宋体" w:eastAsia="宋体" w:cs="宋体"/>
          <w:color w:val="auto"/>
          <w:sz w:val="24"/>
          <w:szCs w:val="24"/>
        </w:rPr>
      </w:pPr>
      <w:r>
        <w:rPr>
          <w:rFonts w:hint="default" w:ascii="宋体" w:hAnsi="宋体" w:eastAsia="宋体" w:cs="宋体"/>
          <w:b w:val="0"/>
          <w:bCs w:val="0"/>
          <w:color w:val="auto"/>
          <w:kern w:val="0"/>
          <w:sz w:val="24"/>
          <w:szCs w:val="24"/>
          <w:lang w:val="en-US" w:eastAsia="zh-CN" w:bidi="ar-SA"/>
        </w:rPr>
        <w:t>5.7</w:t>
      </w:r>
      <w:r>
        <w:rPr>
          <w:rFonts w:hint="eastAsia" w:ascii="宋体" w:hAnsi="宋体" w:eastAsia="宋体" w:cs="宋体"/>
          <w:color w:val="auto"/>
          <w:sz w:val="24"/>
          <w:szCs w:val="24"/>
        </w:rPr>
        <w:t>遵守有关廉洁自律规定，不得私下接触供应商，不得收受供应商及有关业务单位和个人的财物或好处，不得接受采购代理机构的请托。</w:t>
      </w:r>
    </w:p>
    <w:p w14:paraId="25D1505D">
      <w:pPr>
        <w:pStyle w:val="97"/>
        <w:numPr>
          <w:ilvl w:val="0"/>
          <w:numId w:val="0"/>
        </w:numPr>
        <w:tabs>
          <w:tab w:val="left" w:pos="7665"/>
        </w:tabs>
        <w:spacing w:line="360" w:lineRule="auto"/>
        <w:ind w:left="0" w:leftChars="0" w:firstLine="567" w:firstLineChars="0"/>
        <w:outlineLvl w:val="9"/>
        <w:rPr>
          <w:rFonts w:hint="eastAsia" w:ascii="宋体" w:hAnsi="宋体" w:eastAsia="宋体" w:cs="宋体"/>
          <w:color w:val="auto"/>
          <w:sz w:val="36"/>
          <w:szCs w:val="36"/>
        </w:rPr>
        <w:sectPr>
          <w:pgSz w:w="11907" w:h="16840"/>
          <w:pgMar w:top="1440" w:right="1800" w:bottom="1440" w:left="1800" w:header="720" w:footer="720" w:gutter="0"/>
          <w:pgNumType w:fmt="decimal"/>
          <w:cols w:space="720" w:num="1"/>
        </w:sectPr>
      </w:pPr>
      <w:bookmarkStart w:id="113" w:name="_Toc509579148"/>
    </w:p>
    <w:p w14:paraId="40DCDD06">
      <w:pPr>
        <w:pStyle w:val="97"/>
        <w:numPr>
          <w:ilvl w:val="0"/>
          <w:numId w:val="0"/>
        </w:numPr>
        <w:tabs>
          <w:tab w:val="left" w:pos="7665"/>
        </w:tabs>
        <w:spacing w:line="360" w:lineRule="auto"/>
        <w:ind w:left="0" w:leftChars="0" w:firstLine="567" w:firstLineChars="0"/>
        <w:outlineLvl w:val="9"/>
        <w:rPr>
          <w:rFonts w:hint="eastAsia" w:ascii="宋体" w:hAnsi="宋体" w:eastAsia="宋体" w:cs="宋体"/>
          <w:color w:val="auto"/>
          <w:sz w:val="36"/>
          <w:szCs w:val="36"/>
        </w:rPr>
      </w:pPr>
    </w:p>
    <w:p w14:paraId="0A7B4DD7">
      <w:pPr>
        <w:pStyle w:val="97"/>
        <w:numPr>
          <w:ilvl w:val="0"/>
          <w:numId w:val="0"/>
        </w:numPr>
        <w:tabs>
          <w:tab w:val="left" w:pos="7665"/>
        </w:tabs>
        <w:spacing w:line="360" w:lineRule="auto"/>
        <w:ind w:left="0" w:leftChars="0" w:firstLine="567" w:firstLineChars="0"/>
        <w:jc w:val="center"/>
        <w:outlineLvl w:val="0"/>
        <w:rPr>
          <w:rFonts w:hint="eastAsia" w:ascii="宋体" w:hAnsi="宋体" w:eastAsia="宋体" w:cs="宋体"/>
          <w:color w:val="auto"/>
          <w:sz w:val="24"/>
          <w:szCs w:val="24"/>
        </w:rPr>
      </w:pPr>
      <w:bookmarkStart w:id="114" w:name="_Toc4873"/>
      <w:r>
        <w:rPr>
          <w:rFonts w:hint="eastAsia" w:ascii="宋体" w:hAnsi="宋体" w:eastAsia="宋体" w:cs="宋体"/>
          <w:color w:val="auto"/>
          <w:sz w:val="36"/>
          <w:szCs w:val="36"/>
        </w:rPr>
        <w:t>第</w:t>
      </w:r>
      <w:r>
        <w:rPr>
          <w:rFonts w:hint="eastAsia" w:ascii="宋体" w:hAnsi="宋体" w:eastAsia="宋体" w:cs="宋体"/>
          <w:color w:val="auto"/>
          <w:sz w:val="36"/>
          <w:szCs w:val="36"/>
          <w:lang w:val="en-US" w:eastAsia="zh-CN"/>
        </w:rPr>
        <w:t>九</w:t>
      </w:r>
      <w:r>
        <w:rPr>
          <w:rFonts w:hint="eastAsia" w:ascii="宋体" w:hAnsi="宋体" w:eastAsia="宋体" w:cs="宋体"/>
          <w:color w:val="auto"/>
          <w:sz w:val="36"/>
          <w:szCs w:val="36"/>
        </w:rPr>
        <w:t>章</w:t>
      </w:r>
      <w:r>
        <w:rPr>
          <w:rFonts w:hint="eastAsia" w:ascii="宋体" w:hAnsi="宋体" w:eastAsia="宋体" w:cs="宋体"/>
          <w:color w:val="auto"/>
          <w:sz w:val="36"/>
          <w:szCs w:val="36"/>
          <w:lang w:val="en-US" w:eastAsia="zh-CN"/>
        </w:rPr>
        <w:t xml:space="preserve">   </w:t>
      </w:r>
      <w:r>
        <w:rPr>
          <w:rFonts w:hint="eastAsia" w:ascii="宋体" w:hAnsi="宋体" w:eastAsia="宋体" w:cs="宋体"/>
          <w:color w:val="auto"/>
          <w:sz w:val="36"/>
          <w:szCs w:val="36"/>
        </w:rPr>
        <w:t>政府采购合同（草案）</w:t>
      </w:r>
      <w:bookmarkEnd w:id="113"/>
      <w:bookmarkEnd w:id="114"/>
    </w:p>
    <w:bookmarkEnd w:id="94"/>
    <w:bookmarkEnd w:id="95"/>
    <w:bookmarkEnd w:id="96"/>
    <w:p w14:paraId="476A99FE">
      <w:pPr>
        <w:spacing w:line="360" w:lineRule="auto"/>
        <w:ind w:firstLine="480" w:firstLineChars="200"/>
        <w:rPr>
          <w:rFonts w:hint="eastAsia" w:ascii="宋体" w:hAnsi="宋体" w:eastAsia="宋体" w:cs="宋体"/>
          <w:color w:val="auto"/>
          <w:sz w:val="24"/>
          <w:szCs w:val="24"/>
        </w:rPr>
      </w:pPr>
    </w:p>
    <w:p w14:paraId="11ECCB3D">
      <w:pPr>
        <w:pStyle w:val="89"/>
        <w:spacing w:line="360" w:lineRule="auto"/>
        <w:ind w:firstLine="31680"/>
        <w:outlineLvl w:val="9"/>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政府采购法》、《中华人民共和国合同法》、《中华人民共和国建筑法》及XXX采购项目（项目编号：XXX）的谈判文件、乙方的响应文件及成交通知书，甲、乙双方同意签订本合同。详细技术说明及其他有关合同项目的特定信息由合同附件予以说明，合同附件及本项目的谈判文件、响应文件、评审报告、成交通知书等均为本合同不可分割的部分。双方同意共同遵守如下条款：</w:t>
      </w:r>
    </w:p>
    <w:p w14:paraId="22A17C7C">
      <w:pPr>
        <w:pStyle w:val="89"/>
        <w:spacing w:line="360" w:lineRule="auto"/>
        <w:ind w:firstLine="31680"/>
        <w:outlineLvl w:val="9"/>
        <w:rPr>
          <w:rFonts w:hint="eastAsia" w:ascii="宋体" w:hAnsi="宋体" w:eastAsia="宋体" w:cs="宋体"/>
          <w:color w:val="auto"/>
          <w:sz w:val="24"/>
          <w:szCs w:val="24"/>
        </w:rPr>
      </w:pPr>
      <w:r>
        <w:rPr>
          <w:rFonts w:hint="eastAsia" w:ascii="宋体" w:hAnsi="宋体" w:eastAsia="宋体" w:cs="宋体"/>
          <w:color w:val="auto"/>
          <w:sz w:val="24"/>
          <w:szCs w:val="24"/>
        </w:rPr>
        <w:t>为强化采购人主体责任，避免或者减少采购项目竣工结算中的违法违规和权力寻租行为，本采购项目政府采购合同约定履行按照《中华人民共和国政府采购法》及其实施条例等有关规定执行。采购项目竣工后验收过程中，采购人作为项目竣工验收的责任主体，将严把工程质量关，可能引入其他第三方机构协助验收，但任何第三方机构不会对政府采购合同价格进行变更，不得审减、审增，对于验收合格的采购项目，采购人应当按照政府采购合同确定的金额在收到供应商发票后30内支付采购资金。验收所产生的任何费用应由采购人承担，不要求或者专家成交供应商负担。</w:t>
      </w:r>
    </w:p>
    <w:p w14:paraId="20B7FE14">
      <w:pPr>
        <w:keepNext/>
        <w:keepLines/>
        <w:spacing w:before="260" w:after="260"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本项目通用合同条款参照《建设工程施工合同(示范文本)》(GF-2017-0201)通用合同条款执行。如有最新版本，参照最新版本执行。</w:t>
      </w:r>
    </w:p>
    <w:p w14:paraId="6A08A106">
      <w:pPr>
        <w:widowControl/>
        <w:spacing w:line="360" w:lineRule="auto"/>
        <w:ind w:left="31680" w:hanging="480" w:hanging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注：本采购合同中出现的措辞“发包人”与谈判文件中的“采购人”含义相同；</w:t>
      </w:r>
    </w:p>
    <w:p w14:paraId="13AD3E16">
      <w:pPr>
        <w:widowControl/>
        <w:spacing w:line="360" w:lineRule="auto"/>
        <w:ind w:left="450" w:leftChars="100" w:hanging="240" w:hangingChars="1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“投标人”与“供应商“含义相同；</w:t>
      </w:r>
    </w:p>
    <w:p w14:paraId="4D109DA3">
      <w:pPr>
        <w:widowControl/>
        <w:spacing w:line="360" w:lineRule="auto"/>
        <w:ind w:left="450" w:leftChars="100" w:hanging="240" w:hangingChars="1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“招标文件”与“采购文件”及“谈判文件”含义相同。</w:t>
      </w:r>
    </w:p>
    <w:p w14:paraId="65CF14A9">
      <w:pPr>
        <w:widowControl/>
        <w:jc w:val="left"/>
        <w:outlineLvl w:val="9"/>
        <w:rPr>
          <w:rFonts w:hint="eastAsia" w:ascii="宋体" w:hAnsi="宋体" w:eastAsia="宋体" w:cs="宋体"/>
          <w:color w:val="auto"/>
          <w:sz w:val="24"/>
          <w:szCs w:val="24"/>
        </w:rPr>
        <w:sectPr>
          <w:pgSz w:w="11907" w:h="16840"/>
          <w:pgMar w:top="1440" w:right="1800" w:bottom="1440" w:left="1800" w:header="720" w:footer="720" w:gutter="0"/>
          <w:pgNumType w:fmt="decimal"/>
          <w:cols w:space="720" w:num="1"/>
        </w:sectPr>
      </w:pPr>
    </w:p>
    <w:bookmarkEnd w:id="53"/>
    <w:p w14:paraId="0AD61E05">
      <w:pPr>
        <w:pStyle w:val="179"/>
        <w:jc w:val="center"/>
        <w:outlineLvl w:val="9"/>
        <w:rPr>
          <w:color w:val="auto"/>
        </w:rPr>
      </w:pPr>
      <w:r>
        <w:rPr>
          <w:rFonts w:ascii="仿宋_GB2312" w:hAnsi="仿宋_GB2312" w:eastAsia="仿宋_GB2312" w:cs="仿宋_GB2312"/>
          <w:b/>
          <w:color w:val="auto"/>
          <w:sz w:val="48"/>
        </w:rPr>
        <w:t>政府采购合同</w:t>
      </w:r>
    </w:p>
    <w:p w14:paraId="3559186F">
      <w:pPr>
        <w:pStyle w:val="179"/>
        <w:jc w:val="center"/>
        <w:outlineLvl w:val="9"/>
        <w:rPr>
          <w:color w:val="auto"/>
        </w:rPr>
      </w:pPr>
      <w:r>
        <w:rPr>
          <w:rFonts w:ascii="仿宋_GB2312" w:hAnsi="仿宋_GB2312" w:eastAsia="仿宋_GB2312" w:cs="仿宋_GB2312"/>
          <w:b/>
          <w:color w:val="auto"/>
          <w:sz w:val="48"/>
        </w:rPr>
        <w:t xml:space="preserve"> （服务类）</w:t>
      </w:r>
      <w:r>
        <w:rPr>
          <w:color w:val="auto"/>
        </w:rPr>
        <w:br w:type="textWrapping"/>
      </w:r>
      <w:r>
        <w:rPr>
          <w:color w:val="auto"/>
        </w:rPr>
        <w:br w:type="textWrapping"/>
      </w:r>
      <w:r>
        <w:rPr>
          <w:color w:val="auto"/>
        </w:rPr>
        <w:br w:type="textWrapping"/>
      </w:r>
      <w:r>
        <w:rPr>
          <w:color w:val="auto"/>
        </w:rPr>
        <w:br w:type="textWrapping"/>
      </w:r>
      <w:r>
        <w:rPr>
          <w:color w:val="auto"/>
        </w:rPr>
        <w:br w:type="textWrapping"/>
      </w:r>
    </w:p>
    <w:p w14:paraId="1902636C">
      <w:pPr>
        <w:pStyle w:val="179"/>
        <w:ind w:left="1800"/>
        <w:jc w:val="left"/>
        <w:outlineLvl w:val="9"/>
        <w:rPr>
          <w:color w:val="auto"/>
        </w:rPr>
      </w:pPr>
      <w:r>
        <w:rPr>
          <w:rFonts w:ascii="仿宋_GB2312" w:hAnsi="仿宋_GB2312" w:eastAsia="仿宋_GB2312" w:cs="仿宋_GB2312"/>
          <w:b/>
          <w:color w:val="auto"/>
          <w:sz w:val="27"/>
        </w:rPr>
        <w:t xml:space="preserve"> 政府采购合同编号：__________________</w:t>
      </w:r>
    </w:p>
    <w:p w14:paraId="2186D57A">
      <w:pPr>
        <w:pStyle w:val="179"/>
        <w:jc w:val="left"/>
        <w:outlineLvl w:val="9"/>
        <w:rPr>
          <w:color w:val="auto"/>
        </w:rPr>
      </w:pPr>
      <w:r>
        <w:rPr>
          <w:rFonts w:ascii="仿宋_GB2312" w:hAnsi="仿宋_GB2312" w:eastAsia="仿宋_GB2312" w:cs="仿宋_GB2312"/>
          <w:b/>
          <w:color w:val="auto"/>
          <w:sz w:val="27"/>
        </w:rPr>
        <w:t xml:space="preserve"> 履约地点：__________________</w:t>
      </w:r>
    </w:p>
    <w:p w14:paraId="77661242">
      <w:pPr>
        <w:pStyle w:val="179"/>
        <w:jc w:val="left"/>
        <w:outlineLvl w:val="9"/>
        <w:rPr>
          <w:color w:val="auto"/>
        </w:rPr>
      </w:pPr>
      <w:r>
        <w:rPr>
          <w:rFonts w:ascii="仿宋_GB2312" w:hAnsi="仿宋_GB2312" w:eastAsia="仿宋_GB2312" w:cs="仿宋_GB2312"/>
          <w:b/>
          <w:color w:val="auto"/>
          <w:sz w:val="27"/>
        </w:rPr>
        <w:t xml:space="preserve"> 签订地点：__________________</w:t>
      </w:r>
    </w:p>
    <w:p w14:paraId="5AA84619">
      <w:pPr>
        <w:pStyle w:val="179"/>
        <w:jc w:val="left"/>
        <w:outlineLvl w:val="9"/>
        <w:rPr>
          <w:color w:val="auto"/>
        </w:rPr>
      </w:pPr>
      <w:r>
        <w:rPr>
          <w:rFonts w:ascii="仿宋_GB2312" w:hAnsi="仿宋_GB2312" w:eastAsia="仿宋_GB2312" w:cs="仿宋_GB2312"/>
          <w:b/>
          <w:color w:val="auto"/>
          <w:sz w:val="27"/>
        </w:rPr>
        <w:t xml:space="preserve"> 签订时间：20___年___月___日</w:t>
      </w:r>
    </w:p>
    <w:p w14:paraId="7D6AFC9C">
      <w:pPr>
        <w:pStyle w:val="179"/>
        <w:jc w:val="left"/>
        <w:outlineLvl w:val="9"/>
        <w:rPr>
          <w:color w:val="auto"/>
        </w:rPr>
      </w:pPr>
      <w:r>
        <w:rPr>
          <w:rFonts w:ascii="仿宋_GB2312" w:hAnsi="仿宋_GB2312" w:eastAsia="仿宋_GB2312" w:cs="仿宋_GB2312"/>
          <w:b/>
          <w:color w:val="auto"/>
          <w:sz w:val="27"/>
        </w:rPr>
        <w:t xml:space="preserve"> 采购人（甲方）：__________________</w:t>
      </w:r>
    </w:p>
    <w:p w14:paraId="61881D83">
      <w:pPr>
        <w:pStyle w:val="179"/>
        <w:jc w:val="left"/>
        <w:outlineLvl w:val="9"/>
        <w:rPr>
          <w:color w:val="auto"/>
        </w:rPr>
      </w:pPr>
      <w:r>
        <w:rPr>
          <w:rFonts w:ascii="仿宋_GB2312" w:hAnsi="仿宋_GB2312" w:eastAsia="仿宋_GB2312" w:cs="仿宋_GB2312"/>
          <w:b/>
          <w:color w:val="auto"/>
          <w:sz w:val="27"/>
        </w:rPr>
        <w:t xml:space="preserve"> 采购人地址：__________________</w:t>
      </w:r>
    </w:p>
    <w:p w14:paraId="718D1D8B">
      <w:pPr>
        <w:pStyle w:val="179"/>
        <w:jc w:val="left"/>
        <w:outlineLvl w:val="9"/>
        <w:rPr>
          <w:color w:val="auto"/>
        </w:rPr>
      </w:pPr>
      <w:r>
        <w:rPr>
          <w:rFonts w:ascii="仿宋_GB2312" w:hAnsi="仿宋_GB2312" w:eastAsia="仿宋_GB2312" w:cs="仿宋_GB2312"/>
          <w:b/>
          <w:color w:val="auto"/>
          <w:sz w:val="27"/>
        </w:rPr>
        <w:t xml:space="preserve"> 供应商(乙方)：__________________</w:t>
      </w:r>
    </w:p>
    <w:p w14:paraId="0C7D793A">
      <w:pPr>
        <w:pStyle w:val="179"/>
        <w:jc w:val="left"/>
        <w:outlineLvl w:val="9"/>
        <w:rPr>
          <w:color w:val="auto"/>
        </w:rPr>
      </w:pPr>
      <w:r>
        <w:rPr>
          <w:rFonts w:ascii="仿宋_GB2312" w:hAnsi="仿宋_GB2312" w:eastAsia="仿宋_GB2312" w:cs="仿宋_GB2312"/>
          <w:b/>
          <w:color w:val="auto"/>
          <w:sz w:val="27"/>
        </w:rPr>
        <w:t xml:space="preserve"> 供应商地址：__________________</w:t>
      </w:r>
    </w:p>
    <w:p w14:paraId="1278844A">
      <w:pPr>
        <w:pStyle w:val="179"/>
        <w:jc w:val="left"/>
        <w:outlineLvl w:val="9"/>
        <w:rPr>
          <w:color w:val="auto"/>
        </w:rPr>
      </w:pPr>
      <w:r>
        <w:rPr>
          <w:rFonts w:ascii="仿宋_GB2312" w:hAnsi="仿宋_GB2312" w:eastAsia="仿宋_GB2312" w:cs="仿宋_GB2312"/>
          <w:color w:val="auto"/>
        </w:rPr>
        <w:t xml:space="preserve"> </w:t>
      </w:r>
    </w:p>
    <w:p w14:paraId="6766B1CD">
      <w:pPr>
        <w:pStyle w:val="179"/>
        <w:jc w:val="left"/>
        <w:outlineLvl w:val="9"/>
        <w:rPr>
          <w:color w:val="auto"/>
        </w:rPr>
      </w:pPr>
      <w:r>
        <w:rPr>
          <w:rFonts w:ascii="仿宋_GB2312" w:hAnsi="仿宋_GB2312" w:eastAsia="仿宋_GB2312" w:cs="仿宋_GB2312"/>
          <w:color w:val="auto"/>
        </w:rPr>
        <w:t xml:space="preserve"> 依据《中华人民共和国民法典》 《中华人民共和国政府采购法》与项目行业有关的法律法规，以及________采购项目的 《谈判文件》 ，乙方的《投标（响应）文件》及《中标（成交）通知书》，甲乙双方同意签订本合同。具体情况及要求如下：</w:t>
      </w:r>
    </w:p>
    <w:p w14:paraId="7DC1A059">
      <w:pPr>
        <w:pStyle w:val="179"/>
        <w:jc w:val="left"/>
        <w:outlineLvl w:val="9"/>
        <w:rPr>
          <w:color w:val="auto"/>
        </w:rPr>
      </w:pPr>
      <w:r>
        <w:rPr>
          <w:rFonts w:ascii="仿宋_GB2312" w:hAnsi="仿宋_GB2312" w:eastAsia="仿宋_GB2312" w:cs="仿宋_GB2312"/>
          <w:b/>
          <w:color w:val="auto"/>
          <w:sz w:val="28"/>
        </w:rPr>
        <w:t xml:space="preserve"> 一、标的信息</w:t>
      </w:r>
    </w:p>
    <w:p w14:paraId="46C03E8C">
      <w:pPr>
        <w:pStyle w:val="179"/>
        <w:jc w:val="left"/>
        <w:outlineLvl w:val="9"/>
        <w:rPr>
          <w:color w:val="auto"/>
        </w:rPr>
      </w:pPr>
      <w:r>
        <w:rPr>
          <w:color w:val="auto"/>
        </w:rPr>
        <w:br w:type="textWrapping"/>
      </w:r>
    </w:p>
    <w:p w14:paraId="4EA28D94">
      <w:pPr>
        <w:pStyle w:val="179"/>
        <w:jc w:val="left"/>
        <w:outlineLvl w:val="9"/>
        <w:rPr>
          <w:color w:val="auto"/>
        </w:rPr>
      </w:pPr>
      <w:r>
        <w:rPr>
          <w:rFonts w:ascii="仿宋_GB2312" w:hAnsi="仿宋_GB2312" w:eastAsia="仿宋_GB2312" w:cs="仿宋_GB2312"/>
          <w:b/>
          <w:color w:val="auto"/>
          <w:sz w:val="28"/>
        </w:rPr>
        <w:t xml:space="preserve"> 二、服务要求</w:t>
      </w:r>
    </w:p>
    <w:p w14:paraId="5B80DCE4">
      <w:pPr>
        <w:pStyle w:val="179"/>
        <w:jc w:val="left"/>
        <w:outlineLvl w:val="9"/>
        <w:rPr>
          <w:color w:val="auto"/>
        </w:rPr>
      </w:pPr>
      <w:r>
        <w:rPr>
          <w:rFonts w:ascii="仿宋_GB2312" w:hAnsi="仿宋_GB2312" w:eastAsia="仿宋_GB2312" w:cs="仿宋_GB2312"/>
          <w:b/>
          <w:color w:val="auto"/>
          <w:sz w:val="28"/>
        </w:rPr>
        <w:t xml:space="preserve"> 三、合同定价方式、付款进度和支付方式 </w:t>
      </w:r>
      <w:r>
        <w:rPr>
          <w:rFonts w:ascii="仿宋_GB2312" w:hAnsi="仿宋_GB2312" w:eastAsia="仿宋_GB2312" w:cs="仿宋_GB2312"/>
          <w:color w:val="auto"/>
        </w:rPr>
        <w:t xml:space="preserve"> 合同定价方式：</w:t>
      </w:r>
    </w:p>
    <w:p w14:paraId="649D4587">
      <w:pPr>
        <w:pStyle w:val="179"/>
        <w:jc w:val="left"/>
        <w:outlineLvl w:val="9"/>
        <w:rPr>
          <w:color w:val="auto"/>
        </w:rPr>
      </w:pPr>
      <w:r>
        <w:rPr>
          <w:color w:val="auto"/>
        </w:rPr>
        <w:br w:type="textWrapping"/>
      </w:r>
    </w:p>
    <w:p w14:paraId="20752A58">
      <w:pPr>
        <w:pStyle w:val="179"/>
        <w:jc w:val="left"/>
        <w:outlineLvl w:val="9"/>
        <w:rPr>
          <w:color w:val="auto"/>
        </w:rPr>
      </w:pPr>
      <w:r>
        <w:rPr>
          <w:rFonts w:ascii="仿宋_GB2312" w:hAnsi="仿宋_GB2312" w:eastAsia="仿宋_GB2312" w:cs="仿宋_GB2312"/>
          <w:b/>
          <w:color w:val="auto"/>
          <w:sz w:val="28"/>
        </w:rPr>
        <w:t xml:space="preserve"> 四、履约保证金</w:t>
      </w:r>
    </w:p>
    <w:p w14:paraId="3A3156AE">
      <w:pPr>
        <w:pStyle w:val="179"/>
        <w:jc w:val="left"/>
        <w:outlineLvl w:val="9"/>
        <w:rPr>
          <w:color w:val="auto"/>
        </w:rPr>
      </w:pPr>
      <w:r>
        <w:rPr>
          <w:color w:val="auto"/>
        </w:rPr>
        <w:br w:type="textWrapping"/>
      </w:r>
    </w:p>
    <w:p w14:paraId="29618685">
      <w:pPr>
        <w:pStyle w:val="179"/>
        <w:jc w:val="left"/>
        <w:outlineLvl w:val="9"/>
        <w:rPr>
          <w:color w:val="auto"/>
        </w:rPr>
      </w:pPr>
      <w:r>
        <w:rPr>
          <w:rFonts w:ascii="仿宋_GB2312" w:hAnsi="仿宋_GB2312" w:eastAsia="仿宋_GB2312" w:cs="仿宋_GB2312"/>
          <w:b/>
          <w:color w:val="auto"/>
          <w:sz w:val="28"/>
        </w:rPr>
        <w:t xml:space="preserve"> 五、验收标准和方法</w:t>
      </w:r>
    </w:p>
    <w:p w14:paraId="418EE099">
      <w:pPr>
        <w:pStyle w:val="179"/>
        <w:jc w:val="left"/>
        <w:outlineLvl w:val="9"/>
        <w:rPr>
          <w:color w:val="auto"/>
        </w:rPr>
      </w:pPr>
    </w:p>
    <w:p w14:paraId="1096B7A3">
      <w:pPr>
        <w:pStyle w:val="179"/>
        <w:jc w:val="left"/>
        <w:outlineLvl w:val="9"/>
        <w:rPr>
          <w:color w:val="auto"/>
        </w:rPr>
      </w:pPr>
      <w:r>
        <w:rPr>
          <w:rFonts w:ascii="仿宋_GB2312" w:hAnsi="仿宋_GB2312" w:eastAsia="仿宋_GB2312" w:cs="仿宋_GB2312"/>
          <w:b/>
          <w:color w:val="auto"/>
          <w:sz w:val="28"/>
        </w:rPr>
        <w:t xml:space="preserve"> 六、甲方的权利和义务</w:t>
      </w:r>
    </w:p>
    <w:p w14:paraId="32A12D5E">
      <w:pPr>
        <w:pStyle w:val="179"/>
        <w:jc w:val="left"/>
        <w:outlineLvl w:val="9"/>
        <w:rPr>
          <w:color w:val="auto"/>
        </w:rPr>
      </w:pPr>
      <w:r>
        <w:rPr>
          <w:rFonts w:ascii="仿宋_GB2312" w:hAnsi="仿宋_GB2312" w:eastAsia="仿宋_GB2312" w:cs="仿宋_GB2312"/>
          <w:color w:val="auto"/>
        </w:rPr>
        <w:t>1.甲方有权对合同规定范围内乙方的服务行为进行监督和检查，拥有监管权。有权定期核对乙方提供服务所配备的人员数量。对甲方认为不合理的部分XXX。</w:t>
      </w:r>
    </w:p>
    <w:p w14:paraId="3DC69DE9">
      <w:pPr>
        <w:pStyle w:val="179"/>
        <w:jc w:val="left"/>
        <w:outlineLvl w:val="9"/>
        <w:rPr>
          <w:color w:val="auto"/>
        </w:rPr>
      </w:pPr>
      <w:r>
        <w:rPr>
          <w:rFonts w:ascii="仿宋_GB2312" w:hAnsi="仿宋_GB2312" w:eastAsia="仿宋_GB2312" w:cs="仿宋_GB2312"/>
          <w:color w:val="auto"/>
        </w:rPr>
        <w:t>2.根据本合同规定，按时向乙方支付应付服务费用。</w:t>
      </w:r>
    </w:p>
    <w:p w14:paraId="0BB9331D">
      <w:pPr>
        <w:pStyle w:val="179"/>
        <w:jc w:val="left"/>
        <w:outlineLvl w:val="9"/>
        <w:rPr>
          <w:color w:val="auto"/>
        </w:rPr>
      </w:pPr>
      <w:r>
        <w:rPr>
          <w:rFonts w:ascii="仿宋_GB2312" w:hAnsi="仿宋_GB2312" w:eastAsia="仿宋_GB2312" w:cs="仿宋_GB2312"/>
          <w:color w:val="auto"/>
        </w:rPr>
        <w:t>3.国家法律、法规所规定由甲方承担的其它责任。</w:t>
      </w:r>
    </w:p>
    <w:p w14:paraId="388DB7F5">
      <w:pPr>
        <w:pStyle w:val="179"/>
        <w:jc w:val="left"/>
        <w:outlineLvl w:val="9"/>
        <w:rPr>
          <w:color w:val="auto"/>
        </w:rPr>
      </w:pPr>
      <w:r>
        <w:rPr>
          <w:rFonts w:ascii="仿宋_GB2312" w:hAnsi="仿宋_GB2312" w:eastAsia="仿宋_GB2312" w:cs="仿宋_GB2312"/>
          <w:b/>
          <w:color w:val="auto"/>
          <w:sz w:val="28"/>
        </w:rPr>
        <w:t xml:space="preserve"> 七、乙方的权利和义务</w:t>
      </w:r>
    </w:p>
    <w:p w14:paraId="47A05701">
      <w:pPr>
        <w:pStyle w:val="179"/>
        <w:jc w:val="left"/>
        <w:outlineLvl w:val="9"/>
        <w:rPr>
          <w:color w:val="auto"/>
        </w:rPr>
      </w:pPr>
      <w:r>
        <w:rPr>
          <w:rFonts w:ascii="仿宋_GB2312" w:hAnsi="仿宋_GB2312" w:eastAsia="仿宋_GB2312" w:cs="仿宋_GB2312"/>
          <w:color w:val="auto"/>
        </w:rPr>
        <w:t>1.根据本合同的约定向甲方收取相关服务费用。</w:t>
      </w:r>
    </w:p>
    <w:p w14:paraId="34C9A9B8">
      <w:pPr>
        <w:pStyle w:val="179"/>
        <w:jc w:val="left"/>
        <w:outlineLvl w:val="9"/>
        <w:rPr>
          <w:color w:val="auto"/>
        </w:rPr>
      </w:pPr>
      <w:r>
        <w:rPr>
          <w:rFonts w:ascii="仿宋_GB2312" w:hAnsi="仿宋_GB2312" w:eastAsia="仿宋_GB2312" w:cs="仿宋_GB2312"/>
          <w:color w:val="auto"/>
        </w:rPr>
        <w:t>2.接受项目行业管理部门及政府有关部门的指导，接受甲方的监督。</w:t>
      </w:r>
    </w:p>
    <w:p w14:paraId="1C91537E">
      <w:pPr>
        <w:pStyle w:val="179"/>
        <w:jc w:val="left"/>
        <w:outlineLvl w:val="9"/>
        <w:rPr>
          <w:color w:val="auto"/>
        </w:rPr>
      </w:pPr>
      <w:r>
        <w:rPr>
          <w:rFonts w:ascii="仿宋_GB2312" w:hAnsi="仿宋_GB2312" w:eastAsia="仿宋_GB2312" w:cs="仿宋_GB2312"/>
          <w:color w:val="auto"/>
        </w:rPr>
        <w:t>3.乙方承诺遵守《中华人民共和国劳动合同法》有关规定和《中华人民共和国妇女权益保障法》中关于“劳动和社会保障权益”的有关要求。</w:t>
      </w:r>
    </w:p>
    <w:p w14:paraId="0728AA76">
      <w:pPr>
        <w:pStyle w:val="179"/>
        <w:jc w:val="left"/>
        <w:outlineLvl w:val="9"/>
        <w:rPr>
          <w:color w:val="auto"/>
        </w:rPr>
      </w:pPr>
      <w:r>
        <w:rPr>
          <w:rFonts w:ascii="仿宋_GB2312" w:hAnsi="仿宋_GB2312" w:eastAsia="仿宋_GB2312" w:cs="仿宋_GB2312"/>
          <w:color w:val="auto"/>
        </w:rPr>
        <w:t>4.国家法律、法规所规定由乙方承担的其它责任。</w:t>
      </w:r>
    </w:p>
    <w:p w14:paraId="594372AA">
      <w:pPr>
        <w:pStyle w:val="179"/>
        <w:jc w:val="left"/>
        <w:outlineLvl w:val="9"/>
        <w:rPr>
          <w:color w:val="auto"/>
        </w:rPr>
      </w:pPr>
      <w:r>
        <w:rPr>
          <w:rFonts w:ascii="仿宋_GB2312" w:hAnsi="仿宋_GB2312" w:eastAsia="仿宋_GB2312" w:cs="仿宋_GB2312"/>
          <w:b/>
          <w:color w:val="auto"/>
          <w:sz w:val="28"/>
        </w:rPr>
        <w:t xml:space="preserve"> 八、违约责任</w:t>
      </w:r>
    </w:p>
    <w:p w14:paraId="0783D3B4">
      <w:pPr>
        <w:pStyle w:val="179"/>
        <w:jc w:val="left"/>
        <w:outlineLvl w:val="9"/>
        <w:rPr>
          <w:color w:val="auto"/>
        </w:rPr>
      </w:pPr>
    </w:p>
    <w:p w14:paraId="01F993C4">
      <w:pPr>
        <w:pStyle w:val="179"/>
        <w:jc w:val="left"/>
        <w:outlineLvl w:val="9"/>
        <w:rPr>
          <w:color w:val="auto"/>
        </w:rPr>
      </w:pPr>
      <w:r>
        <w:rPr>
          <w:rFonts w:ascii="仿宋_GB2312" w:hAnsi="仿宋_GB2312" w:eastAsia="仿宋_GB2312" w:cs="仿宋_GB2312"/>
          <w:b/>
          <w:color w:val="auto"/>
          <w:sz w:val="28"/>
        </w:rPr>
        <w:t xml:space="preserve"> 九、不可抗事件处理</w:t>
      </w:r>
    </w:p>
    <w:p w14:paraId="0E99587A">
      <w:pPr>
        <w:pStyle w:val="179"/>
        <w:jc w:val="left"/>
        <w:outlineLvl w:val="9"/>
        <w:rPr>
          <w:color w:val="auto"/>
        </w:rPr>
      </w:pPr>
      <w:r>
        <w:rPr>
          <w:rFonts w:ascii="仿宋_GB2312" w:hAnsi="仿宋_GB2312" w:eastAsia="仿宋_GB2312" w:cs="仿宋_GB2312"/>
          <w:color w:val="auto"/>
        </w:rPr>
        <w:t>1.在合同有效期内，任何一方因战争、洪灾、台风、地震等不可抗力事件导致不能履行合同，则合同履行期可延长，其延长期与不可抗力事件影响期相同。</w:t>
      </w:r>
    </w:p>
    <w:p w14:paraId="33EF8729">
      <w:pPr>
        <w:pStyle w:val="179"/>
        <w:jc w:val="left"/>
        <w:outlineLvl w:val="9"/>
        <w:rPr>
          <w:color w:val="auto"/>
        </w:rPr>
      </w:pPr>
      <w:r>
        <w:rPr>
          <w:rFonts w:ascii="仿宋_GB2312" w:hAnsi="仿宋_GB2312" w:eastAsia="仿宋_GB2312" w:cs="仿宋_GB2312"/>
          <w:color w:val="auto"/>
        </w:rPr>
        <w:t>2.受阻一方应在不可抗事件发生后尽快用电话通知对方并于事故发生后XX天内将有关部门出具的证明文件等用特快专递或挂号信寄给对方审阅确认。</w:t>
      </w:r>
    </w:p>
    <w:p w14:paraId="7E4F3835">
      <w:pPr>
        <w:pStyle w:val="179"/>
        <w:jc w:val="left"/>
        <w:outlineLvl w:val="9"/>
        <w:rPr>
          <w:color w:val="auto"/>
        </w:rPr>
      </w:pPr>
      <w:r>
        <w:rPr>
          <w:rFonts w:ascii="仿宋_GB2312" w:hAnsi="仿宋_GB2312" w:eastAsia="仿宋_GB2312" w:cs="仿宋_GB2312"/>
          <w:color w:val="auto"/>
        </w:rPr>
        <w:t>3.不可抗事件延续XX天以上，双方应通过友好协商，确定是否继续履行合同。</w:t>
      </w:r>
    </w:p>
    <w:p w14:paraId="190784E8">
      <w:pPr>
        <w:pStyle w:val="179"/>
        <w:jc w:val="left"/>
        <w:outlineLvl w:val="9"/>
        <w:rPr>
          <w:color w:val="auto"/>
        </w:rPr>
      </w:pPr>
      <w:r>
        <w:rPr>
          <w:rFonts w:ascii="仿宋_GB2312" w:hAnsi="仿宋_GB2312" w:eastAsia="仿宋_GB2312" w:cs="仿宋_GB2312"/>
          <w:b/>
          <w:color w:val="auto"/>
          <w:sz w:val="28"/>
        </w:rPr>
        <w:t xml:space="preserve"> 十、解决合同纠纷的方式</w:t>
      </w:r>
    </w:p>
    <w:p w14:paraId="38518494">
      <w:pPr>
        <w:pStyle w:val="179"/>
        <w:jc w:val="left"/>
        <w:outlineLvl w:val="9"/>
        <w:rPr>
          <w:color w:val="auto"/>
        </w:rPr>
      </w:pPr>
      <w:r>
        <w:rPr>
          <w:rFonts w:ascii="仿宋_GB2312" w:hAnsi="仿宋_GB2312" w:eastAsia="仿宋_GB2312" w:cs="仿宋_GB2312"/>
          <w:b/>
          <w:color w:val="auto"/>
          <w:sz w:val="28"/>
        </w:rPr>
        <w:t xml:space="preserve"> 十一、合同生效及其他</w:t>
      </w:r>
    </w:p>
    <w:p w14:paraId="6A7C6CD6">
      <w:pPr>
        <w:pStyle w:val="179"/>
        <w:jc w:val="left"/>
        <w:outlineLvl w:val="9"/>
        <w:rPr>
          <w:color w:val="auto"/>
        </w:rPr>
      </w:pPr>
      <w:r>
        <w:rPr>
          <w:rFonts w:ascii="仿宋_GB2312" w:hAnsi="仿宋_GB2312" w:eastAsia="仿宋_GB2312" w:cs="仿宋_GB2312"/>
          <w:color w:val="auto"/>
        </w:rPr>
        <w:t>1.合同经双方法定代表人（或主要负责人）或授权委托代理人签字并加盖公章后生效。</w:t>
      </w:r>
    </w:p>
    <w:p w14:paraId="69D26595">
      <w:pPr>
        <w:pStyle w:val="179"/>
        <w:jc w:val="left"/>
        <w:outlineLvl w:val="9"/>
        <w:rPr>
          <w:color w:val="auto"/>
        </w:rPr>
      </w:pPr>
      <w:r>
        <w:rPr>
          <w:rFonts w:ascii="仿宋_GB2312" w:hAnsi="仿宋_GB2312" w:eastAsia="仿宋_GB2312" w:cs="仿宋_GB2312"/>
          <w:color w:val="auto"/>
        </w:rPr>
        <w:t>2.政府采购合同履行中，甲方需追加与合同标的相同的货物的，在不改变合同其他条款的前提下，可以与乙方协商签订补充合同，但所有补充合同的采购金额不得超过原合同采购金额的百分之十。补充协议签订后，报政府采购监督管理部门备案，方可作为主合同不可分割的一部分。</w:t>
      </w:r>
    </w:p>
    <w:p w14:paraId="044846D6">
      <w:pPr>
        <w:pStyle w:val="179"/>
        <w:jc w:val="left"/>
        <w:outlineLvl w:val="9"/>
        <w:rPr>
          <w:color w:val="auto"/>
        </w:rPr>
      </w:pPr>
      <w:r>
        <w:rPr>
          <w:rFonts w:ascii="仿宋_GB2312" w:hAnsi="仿宋_GB2312" w:eastAsia="仿宋_GB2312" w:cs="仿宋_GB2312"/>
          <w:color w:val="auto"/>
        </w:rPr>
        <w:t>3.本合同一式3份，自双方签章之日起生效。甲方持有1份，乙方持有1份，同级财政部门备案1份，具有同等法律效力。</w:t>
      </w:r>
    </w:p>
    <w:p w14:paraId="712B37F4">
      <w:pPr>
        <w:pStyle w:val="179"/>
        <w:jc w:val="left"/>
        <w:outlineLvl w:val="9"/>
        <w:rPr>
          <w:color w:val="auto"/>
        </w:rPr>
      </w:pPr>
      <w:r>
        <w:rPr>
          <w:color w:val="auto"/>
        </w:rPr>
        <w:br w:type="textWrapping"/>
      </w:r>
    </w:p>
    <w:p w14:paraId="01256E16">
      <w:pPr>
        <w:pStyle w:val="179"/>
        <w:jc w:val="left"/>
        <w:outlineLvl w:val="9"/>
        <w:rPr>
          <w:color w:val="auto"/>
        </w:rPr>
      </w:pPr>
      <w:r>
        <w:rPr>
          <w:rFonts w:ascii="仿宋_GB2312" w:hAnsi="仿宋_GB2312" w:eastAsia="仿宋_GB2312" w:cs="仿宋_GB2312"/>
          <w:color w:val="auto"/>
        </w:rPr>
        <w:t xml:space="preserve"> 甲方： （盖章）</w:t>
      </w:r>
      <w:r>
        <w:rPr>
          <w:rFonts w:hint="eastAsia" w:ascii="仿宋_GB2312" w:hAnsi="仿宋_GB2312" w:eastAsia="仿宋_GB2312" w:cs="仿宋_GB2312"/>
          <w:color w:val="auto"/>
          <w:lang w:val="en-US" w:eastAsia="zh-CN"/>
        </w:rPr>
        <w:t xml:space="preserve">                             </w:t>
      </w:r>
      <w:r>
        <w:rPr>
          <w:rFonts w:ascii="仿宋_GB2312" w:hAnsi="仿宋_GB2312" w:eastAsia="仿宋_GB2312" w:cs="仿宋_GB2312"/>
          <w:color w:val="auto"/>
        </w:rPr>
        <w:t>乙方：(盖章）</w:t>
      </w:r>
    </w:p>
    <w:p w14:paraId="44C10562">
      <w:pPr>
        <w:pStyle w:val="179"/>
        <w:jc w:val="left"/>
        <w:outlineLvl w:val="9"/>
        <w:rPr>
          <w:color w:val="auto"/>
        </w:rPr>
      </w:pPr>
      <w:r>
        <w:rPr>
          <w:rFonts w:ascii="仿宋_GB2312" w:hAnsi="仿宋_GB2312" w:eastAsia="仿宋_GB2312" w:cs="仿宋_GB2312"/>
          <w:color w:val="auto"/>
        </w:rPr>
        <w:t xml:space="preserve"> 法定代表人或主要负责人（授权代表）： </w:t>
      </w:r>
      <w:r>
        <w:rPr>
          <w:rFonts w:hint="eastAsia" w:ascii="仿宋_GB2312" w:hAnsi="仿宋_GB2312" w:eastAsia="仿宋_GB2312" w:cs="仿宋_GB2312"/>
          <w:color w:val="auto"/>
          <w:lang w:val="en-US" w:eastAsia="zh-CN"/>
        </w:rPr>
        <w:t xml:space="preserve">       </w:t>
      </w:r>
      <w:r>
        <w:rPr>
          <w:rFonts w:ascii="仿宋_GB2312" w:hAnsi="仿宋_GB2312" w:eastAsia="仿宋_GB2312" w:cs="仿宋_GB2312"/>
          <w:color w:val="auto"/>
        </w:rPr>
        <w:t>法定代表人或主要负责人（授权代表）：</w:t>
      </w:r>
    </w:p>
    <w:p w14:paraId="2CB3E002">
      <w:pPr>
        <w:pStyle w:val="179"/>
        <w:jc w:val="left"/>
        <w:outlineLvl w:val="9"/>
        <w:rPr>
          <w:color w:val="auto"/>
        </w:rPr>
      </w:pPr>
      <w:r>
        <w:rPr>
          <w:rFonts w:ascii="仿宋_GB2312" w:hAnsi="仿宋_GB2312" w:eastAsia="仿宋_GB2312" w:cs="仿宋_GB2312"/>
          <w:color w:val="auto"/>
        </w:rPr>
        <w:t xml:space="preserve"> 地 址： </w:t>
      </w:r>
      <w:r>
        <w:rPr>
          <w:rFonts w:hint="eastAsia" w:ascii="仿宋_GB2312" w:hAnsi="仿宋_GB2312" w:eastAsia="仿宋_GB2312" w:cs="仿宋_GB2312"/>
          <w:color w:val="auto"/>
          <w:lang w:val="en-US" w:eastAsia="zh-CN"/>
        </w:rPr>
        <w:t xml:space="preserve">                                    </w:t>
      </w:r>
      <w:r>
        <w:rPr>
          <w:rFonts w:ascii="仿宋_GB2312" w:hAnsi="仿宋_GB2312" w:eastAsia="仿宋_GB2312" w:cs="仿宋_GB2312"/>
          <w:color w:val="auto"/>
        </w:rPr>
        <w:t>地 址：</w:t>
      </w:r>
    </w:p>
    <w:p w14:paraId="0138B6E1">
      <w:pPr>
        <w:pStyle w:val="179"/>
        <w:jc w:val="left"/>
        <w:outlineLvl w:val="9"/>
        <w:rPr>
          <w:color w:val="auto"/>
        </w:rPr>
      </w:pPr>
      <w:r>
        <w:rPr>
          <w:rFonts w:ascii="仿宋_GB2312" w:hAnsi="仿宋_GB2312" w:eastAsia="仿宋_GB2312" w:cs="仿宋_GB2312"/>
          <w:color w:val="auto"/>
        </w:rPr>
        <w:t xml:space="preserve"> 开户银行：</w:t>
      </w:r>
      <w:r>
        <w:rPr>
          <w:rFonts w:hint="eastAsia" w:ascii="仿宋_GB2312" w:hAnsi="仿宋_GB2312" w:eastAsia="仿宋_GB2312" w:cs="仿宋_GB2312"/>
          <w:color w:val="auto"/>
          <w:lang w:val="en-US" w:eastAsia="zh-CN"/>
        </w:rPr>
        <w:t xml:space="preserve">                                  </w:t>
      </w:r>
      <w:r>
        <w:rPr>
          <w:rFonts w:ascii="仿宋_GB2312" w:hAnsi="仿宋_GB2312" w:eastAsia="仿宋_GB2312" w:cs="仿宋_GB2312"/>
          <w:color w:val="auto"/>
        </w:rPr>
        <w:t>开户银行：</w:t>
      </w:r>
    </w:p>
    <w:p w14:paraId="7477FABC">
      <w:pPr>
        <w:pStyle w:val="179"/>
        <w:jc w:val="left"/>
        <w:outlineLvl w:val="9"/>
        <w:rPr>
          <w:color w:val="auto"/>
        </w:rPr>
      </w:pPr>
      <w:r>
        <w:rPr>
          <w:rFonts w:ascii="仿宋_GB2312" w:hAnsi="仿宋_GB2312" w:eastAsia="仿宋_GB2312" w:cs="仿宋_GB2312"/>
          <w:color w:val="auto"/>
        </w:rPr>
        <w:t xml:space="preserve"> 账号：</w:t>
      </w:r>
      <w:r>
        <w:rPr>
          <w:rFonts w:hint="eastAsia" w:ascii="仿宋_GB2312" w:hAnsi="仿宋_GB2312" w:eastAsia="仿宋_GB2312" w:cs="仿宋_GB2312"/>
          <w:color w:val="auto"/>
          <w:lang w:val="en-US" w:eastAsia="zh-CN"/>
        </w:rPr>
        <w:t xml:space="preserve">                                      </w:t>
      </w:r>
      <w:r>
        <w:rPr>
          <w:rFonts w:ascii="仿宋_GB2312" w:hAnsi="仿宋_GB2312" w:eastAsia="仿宋_GB2312" w:cs="仿宋_GB2312"/>
          <w:color w:val="auto"/>
        </w:rPr>
        <w:t>账号：</w:t>
      </w:r>
    </w:p>
    <w:p w14:paraId="3DEE1352">
      <w:pPr>
        <w:pStyle w:val="179"/>
        <w:jc w:val="left"/>
        <w:outlineLvl w:val="9"/>
        <w:rPr>
          <w:color w:val="auto"/>
        </w:rPr>
      </w:pPr>
      <w:r>
        <w:rPr>
          <w:rFonts w:ascii="仿宋_GB2312" w:hAnsi="仿宋_GB2312" w:eastAsia="仿宋_GB2312" w:cs="仿宋_GB2312"/>
          <w:color w:val="auto"/>
        </w:rPr>
        <w:t xml:space="preserve"> </w:t>
      </w:r>
      <w:r>
        <w:rPr>
          <w:rFonts w:hint="eastAsia" w:ascii="仿宋_GB2312" w:hAnsi="仿宋_GB2312" w:eastAsia="仿宋_GB2312" w:cs="仿宋_GB2312"/>
          <w:color w:val="auto"/>
          <w:lang w:val="en-US" w:eastAsia="zh-CN"/>
        </w:rPr>
        <w:t xml:space="preserve">                                            </w:t>
      </w:r>
      <w:r>
        <w:rPr>
          <w:rFonts w:ascii="仿宋_GB2312" w:hAnsi="仿宋_GB2312" w:eastAsia="仿宋_GB2312" w:cs="仿宋_GB2312"/>
          <w:color w:val="auto"/>
        </w:rPr>
        <w:t>签订时间： 年 月 日</w:t>
      </w:r>
    </w:p>
    <w:p w14:paraId="2807EEA7">
      <w:pPr>
        <w:pStyle w:val="179"/>
        <w:jc w:val="left"/>
        <w:outlineLvl w:val="9"/>
        <w:rPr>
          <w:rFonts w:hint="eastAsia" w:ascii="宋体" w:hAnsi="宋体" w:eastAsia="宋体" w:cs="宋体"/>
          <w:color w:val="auto"/>
          <w:sz w:val="24"/>
          <w:szCs w:val="24"/>
          <w:lang w:eastAsia="zh-CN"/>
        </w:rPr>
      </w:pPr>
      <w:r>
        <w:rPr>
          <w:rFonts w:hint="eastAsia" w:ascii="仿宋_GB2312" w:hAnsi="仿宋_GB2312" w:eastAsia="仿宋_GB2312" w:cs="仿宋_GB2312"/>
          <w:color w:val="auto"/>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FB" w:usb2="0000002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Tms Rmn">
    <w:altName w:val="Times New Roman"/>
    <w:panose1 w:val="020206030405050203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DejaVu Sans">
    <w:panose1 w:val="020B0606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8E3F1">
    <w:pPr>
      <w:pStyle w:val="28"/>
      <w:jc w:val="center"/>
      <w:rPr>
        <w:rFonts w:asci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E9EFE">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2E9EFE">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58010">
    <w:pPr>
      <w:pStyle w:val="2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FE7D1">
                          <w:pPr>
                            <w:pStyle w:val="28"/>
                            <w:jc w:val="center"/>
                          </w:pPr>
                          <w:r>
                            <w:fldChar w:fldCharType="begin"/>
                          </w:r>
                          <w:r>
                            <w:instrText xml:space="preserve"> PAGE   \* MERGEFORMAT </w:instrText>
                          </w:r>
                          <w:r>
                            <w:fldChar w:fldCharType="separate"/>
                          </w:r>
                          <w:r>
                            <w:rPr>
                              <w:lang w:val="zh-CN"/>
                            </w:rPr>
                            <w:t>29</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7DFE7D1">
                    <w:pPr>
                      <w:pStyle w:val="28"/>
                      <w:jc w:val="center"/>
                    </w:pPr>
                    <w:r>
                      <w:fldChar w:fldCharType="begin"/>
                    </w:r>
                    <w:r>
                      <w:instrText xml:space="preserve"> PAGE   \* MERGEFORMAT </w:instrText>
                    </w:r>
                    <w:r>
                      <w:fldChar w:fldCharType="separate"/>
                    </w:r>
                    <w:r>
                      <w:rPr>
                        <w:lang w:val="zh-CN"/>
                      </w:rPr>
                      <w:t>29</w:t>
                    </w:r>
                    <w:r>
                      <w:rPr>
                        <w:lang w:val="zh-CN"/>
                      </w:rPr>
                      <w:fldChar w:fldCharType="end"/>
                    </w:r>
                  </w:p>
                </w:txbxContent>
              </v:textbox>
            </v:shape>
          </w:pict>
        </mc:Fallback>
      </mc:AlternateContent>
    </w:r>
  </w:p>
  <w:p w14:paraId="3960837C">
    <w:pPr>
      <w:pStyle w:val="28"/>
      <w:jc w:val="center"/>
      <w:rPr>
        <w:rFonts w:asci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3F906">
    <w:pPr>
      <w:pStyle w:val="2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65909E">
                          <w:pPr>
                            <w:pStyle w:val="28"/>
                            <w:jc w:val="center"/>
                          </w:pPr>
                          <w:r>
                            <w:fldChar w:fldCharType="begin"/>
                          </w:r>
                          <w:r>
                            <w:instrText xml:space="preserve"> PAGE   \* MERGEFORMAT </w:instrText>
                          </w:r>
                          <w:r>
                            <w:fldChar w:fldCharType="separate"/>
                          </w:r>
                          <w:r>
                            <w:rPr>
                              <w:lang w:val="zh-CN"/>
                            </w:rPr>
                            <w:t>57</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365909E">
                    <w:pPr>
                      <w:pStyle w:val="28"/>
                      <w:jc w:val="center"/>
                    </w:pPr>
                    <w:r>
                      <w:fldChar w:fldCharType="begin"/>
                    </w:r>
                    <w:r>
                      <w:instrText xml:space="preserve"> PAGE   \* MERGEFORMAT </w:instrText>
                    </w:r>
                    <w:r>
                      <w:fldChar w:fldCharType="separate"/>
                    </w:r>
                    <w:r>
                      <w:rPr>
                        <w:lang w:val="zh-CN"/>
                      </w:rPr>
                      <w:t>57</w:t>
                    </w:r>
                    <w:r>
                      <w:rPr>
                        <w:lang w:val="zh-CN"/>
                      </w:rPr>
                      <w:fldChar w:fldCharType="end"/>
                    </w:r>
                  </w:p>
                </w:txbxContent>
              </v:textbox>
            </v:shape>
          </w:pict>
        </mc:Fallback>
      </mc:AlternateContent>
    </w:r>
  </w:p>
  <w:p w14:paraId="4738054B">
    <w:pPr>
      <w:pStyle w:val="28"/>
      <w:tabs>
        <w:tab w:val="center" w:pos="4533"/>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74C3F">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8D0ED">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2"/>
      <w:numFmt w:val="decimal"/>
      <w:lvlText w:val="%1）"/>
      <w:lvlJc w:val="left"/>
      <w:pPr>
        <w:tabs>
          <w:tab w:val="left" w:pos="719"/>
        </w:tabs>
        <w:ind w:left="719" w:hanging="360"/>
      </w:pPr>
      <w:rPr>
        <w:rFonts w:hint="default"/>
      </w:rPr>
    </w:lvl>
    <w:lvl w:ilvl="1" w:tentative="0">
      <w:start w:val="1"/>
      <w:numFmt w:val="lowerLetter"/>
      <w:lvlText w:val="%2)"/>
      <w:lvlJc w:val="left"/>
      <w:pPr>
        <w:tabs>
          <w:tab w:val="left" w:pos="1199"/>
        </w:tabs>
        <w:ind w:left="1199" w:hanging="420"/>
      </w:pPr>
    </w:lvl>
    <w:lvl w:ilvl="2" w:tentative="0">
      <w:start w:val="1"/>
      <w:numFmt w:val="lowerRoman"/>
      <w:lvlText w:val="%3."/>
      <w:lvlJc w:val="right"/>
      <w:pPr>
        <w:tabs>
          <w:tab w:val="left" w:pos="1619"/>
        </w:tabs>
        <w:ind w:left="1619" w:hanging="420"/>
      </w:pPr>
    </w:lvl>
    <w:lvl w:ilvl="3" w:tentative="0">
      <w:start w:val="1"/>
      <w:numFmt w:val="decimal"/>
      <w:lvlText w:val="%4."/>
      <w:lvlJc w:val="left"/>
      <w:pPr>
        <w:tabs>
          <w:tab w:val="left" w:pos="2039"/>
        </w:tabs>
        <w:ind w:left="2039" w:hanging="420"/>
      </w:pPr>
    </w:lvl>
    <w:lvl w:ilvl="4" w:tentative="0">
      <w:start w:val="1"/>
      <w:numFmt w:val="lowerLetter"/>
      <w:pStyle w:val="171"/>
      <w:lvlText w:val="%5)"/>
      <w:lvlJc w:val="left"/>
      <w:pPr>
        <w:tabs>
          <w:tab w:val="left" w:pos="2459"/>
        </w:tabs>
        <w:ind w:left="2459" w:hanging="420"/>
      </w:pPr>
    </w:lvl>
    <w:lvl w:ilvl="5" w:tentative="0">
      <w:start w:val="1"/>
      <w:numFmt w:val="lowerRoman"/>
      <w:lvlText w:val="%6."/>
      <w:lvlJc w:val="right"/>
      <w:pPr>
        <w:tabs>
          <w:tab w:val="left" w:pos="2879"/>
        </w:tabs>
        <w:ind w:left="2879" w:hanging="420"/>
      </w:pPr>
    </w:lvl>
    <w:lvl w:ilvl="6" w:tentative="0">
      <w:start w:val="1"/>
      <w:numFmt w:val="decimal"/>
      <w:lvlText w:val="%7."/>
      <w:lvlJc w:val="left"/>
      <w:pPr>
        <w:tabs>
          <w:tab w:val="left" w:pos="3299"/>
        </w:tabs>
        <w:ind w:left="3299" w:hanging="420"/>
      </w:pPr>
    </w:lvl>
    <w:lvl w:ilvl="7" w:tentative="0">
      <w:start w:val="1"/>
      <w:numFmt w:val="lowerLetter"/>
      <w:lvlText w:val="%8)"/>
      <w:lvlJc w:val="left"/>
      <w:pPr>
        <w:tabs>
          <w:tab w:val="left" w:pos="3719"/>
        </w:tabs>
        <w:ind w:left="3719" w:hanging="420"/>
      </w:pPr>
    </w:lvl>
    <w:lvl w:ilvl="8" w:tentative="0">
      <w:start w:val="1"/>
      <w:numFmt w:val="lowerRoman"/>
      <w:lvlText w:val="%9."/>
      <w:lvlJc w:val="right"/>
      <w:pPr>
        <w:tabs>
          <w:tab w:val="left" w:pos="4139"/>
        </w:tabs>
        <w:ind w:left="4139" w:hanging="420"/>
      </w:pPr>
    </w:lvl>
  </w:abstractNum>
  <w:abstractNum w:abstractNumId="1">
    <w:nsid w:val="0258D44E"/>
    <w:multiLevelType w:val="singleLevel"/>
    <w:tmpl w:val="0258D44E"/>
    <w:lvl w:ilvl="0" w:tentative="0">
      <w:start w:val="2"/>
      <w:numFmt w:val="chineseCounting"/>
      <w:suff w:val="nothing"/>
      <w:lvlText w:val="%1、"/>
      <w:lvlJc w:val="left"/>
      <w:rPr>
        <w:rFonts w:hint="eastAsia"/>
      </w:rPr>
    </w:lvl>
  </w:abstractNum>
  <w:abstractNum w:abstractNumId="2">
    <w:nsid w:val="065E6111"/>
    <w:multiLevelType w:val="singleLevel"/>
    <w:tmpl w:val="065E6111"/>
    <w:lvl w:ilvl="0" w:tentative="0">
      <w:start w:val="5"/>
      <w:numFmt w:val="chineseCounting"/>
      <w:suff w:val="space"/>
      <w:lvlText w:val="第%1章"/>
      <w:lvlJc w:val="left"/>
      <w:rPr>
        <w:rFonts w:hint="eastAsia"/>
      </w:rPr>
    </w:lvl>
  </w:abstractNum>
  <w:abstractNum w:abstractNumId="3">
    <w:nsid w:val="241CC626"/>
    <w:multiLevelType w:val="singleLevel"/>
    <w:tmpl w:val="241CC626"/>
    <w:lvl w:ilvl="0" w:tentative="0">
      <w:start w:val="4"/>
      <w:numFmt w:val="chineseCounting"/>
      <w:suff w:val="space"/>
      <w:lvlText w:val="第%1章"/>
      <w:lvlJc w:val="left"/>
      <w:rPr>
        <w:rFonts w:hint="eastAsia"/>
      </w:rPr>
    </w:lvl>
  </w:abstractNum>
  <w:abstractNum w:abstractNumId="4">
    <w:nsid w:val="28EA551B"/>
    <w:multiLevelType w:val="multilevel"/>
    <w:tmpl w:val="28EA551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FA6927E"/>
    <w:multiLevelType w:val="singleLevel"/>
    <w:tmpl w:val="2FA6927E"/>
    <w:lvl w:ilvl="0" w:tentative="0">
      <w:start w:val="4"/>
      <w:numFmt w:val="chineseCounting"/>
      <w:suff w:val="nothing"/>
      <w:lvlText w:val="%1、"/>
      <w:lvlJc w:val="left"/>
      <w:rPr>
        <w:rFonts w:hint="eastAsia"/>
      </w:rPr>
    </w:lvl>
  </w:abstractNum>
  <w:abstractNum w:abstractNumId="6">
    <w:nsid w:val="34BC8B6E"/>
    <w:multiLevelType w:val="singleLevel"/>
    <w:tmpl w:val="34BC8B6E"/>
    <w:lvl w:ilvl="0" w:tentative="0">
      <w:start w:val="11"/>
      <w:numFmt w:val="chineseCounting"/>
      <w:suff w:val="nothing"/>
      <w:lvlText w:val="%1、"/>
      <w:lvlJc w:val="left"/>
      <w:rPr>
        <w:rFonts w:hint="eastAsia"/>
      </w:rPr>
    </w:lvl>
  </w:abstractNum>
  <w:abstractNum w:abstractNumId="7">
    <w:nsid w:val="750E7C1E"/>
    <w:multiLevelType w:val="multilevel"/>
    <w:tmpl w:val="750E7C1E"/>
    <w:lvl w:ilvl="0" w:tentative="0">
      <w:start w:val="1"/>
      <w:numFmt w:val="decimal"/>
      <w:suff w:val="space"/>
      <w:lvlText w:val="4.%1"/>
      <w:lvlJc w:val="left"/>
      <w:pPr>
        <w:ind w:left="1130" w:hanging="420"/>
      </w:pPr>
      <w:rPr>
        <w:rFonts w:hint="default"/>
        <w:b w:val="0"/>
        <w:bCs w:val="0"/>
        <w:color w:val="auto"/>
      </w:rPr>
    </w:lvl>
    <w:lvl w:ilvl="1" w:tentative="0">
      <w:start w:val="1"/>
      <w:numFmt w:val="japaneseCounting"/>
      <w:lvlText w:val="（%2）"/>
      <w:lvlJc w:val="left"/>
      <w:pPr>
        <w:ind w:left="1850" w:hanging="720"/>
      </w:pPr>
      <w:rPr>
        <w:rFonts w:hint="default"/>
      </w:r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num w:numId="1">
    <w:abstractNumId w:val="0"/>
  </w:num>
  <w:num w:numId="2">
    <w:abstractNumId w:val="3"/>
  </w:num>
  <w:num w:numId="3">
    <w:abstractNumId w:val="2"/>
  </w:num>
  <w:num w:numId="4">
    <w:abstractNumId w:val="1"/>
  </w:num>
  <w:num w:numId="5">
    <w:abstractNumId w:val="4"/>
  </w:num>
  <w:num w:numId="6">
    <w:abstractNumId w:val="5"/>
  </w:num>
  <w:num w:numId="7">
    <w:abstractNumId w:val="6"/>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s">
    <w15:presenceInfo w15:providerId="None" w15:userId="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hN2RiMWVlYTc3YzQwYTZhNDhkNjFiNjA3MmYwYTIifQ=="/>
  </w:docVars>
  <w:rsids>
    <w:rsidRoot w:val="004963CF"/>
    <w:rsid w:val="000002C9"/>
    <w:rsid w:val="00001BA6"/>
    <w:rsid w:val="0000280D"/>
    <w:rsid w:val="000045B2"/>
    <w:rsid w:val="00005366"/>
    <w:rsid w:val="00005ED2"/>
    <w:rsid w:val="00006B76"/>
    <w:rsid w:val="00007C75"/>
    <w:rsid w:val="000118D6"/>
    <w:rsid w:val="00011D5F"/>
    <w:rsid w:val="0001383C"/>
    <w:rsid w:val="000142E9"/>
    <w:rsid w:val="0001445E"/>
    <w:rsid w:val="0001644F"/>
    <w:rsid w:val="00024AAB"/>
    <w:rsid w:val="00025453"/>
    <w:rsid w:val="00026573"/>
    <w:rsid w:val="00027650"/>
    <w:rsid w:val="000320FB"/>
    <w:rsid w:val="0003490D"/>
    <w:rsid w:val="000350DB"/>
    <w:rsid w:val="000352C0"/>
    <w:rsid w:val="000353EC"/>
    <w:rsid w:val="00036A7C"/>
    <w:rsid w:val="000438EF"/>
    <w:rsid w:val="00043BB1"/>
    <w:rsid w:val="00043DEF"/>
    <w:rsid w:val="000445CD"/>
    <w:rsid w:val="00044D30"/>
    <w:rsid w:val="00045F05"/>
    <w:rsid w:val="00047A99"/>
    <w:rsid w:val="00047C44"/>
    <w:rsid w:val="00052ECD"/>
    <w:rsid w:val="00056AF4"/>
    <w:rsid w:val="0005711D"/>
    <w:rsid w:val="00057788"/>
    <w:rsid w:val="000618F1"/>
    <w:rsid w:val="00063229"/>
    <w:rsid w:val="00065A79"/>
    <w:rsid w:val="00065B86"/>
    <w:rsid w:val="0007080C"/>
    <w:rsid w:val="00075C45"/>
    <w:rsid w:val="00076B9A"/>
    <w:rsid w:val="000771C9"/>
    <w:rsid w:val="000805C3"/>
    <w:rsid w:val="00080D90"/>
    <w:rsid w:val="00080EF8"/>
    <w:rsid w:val="00084B9B"/>
    <w:rsid w:val="00085618"/>
    <w:rsid w:val="00085C54"/>
    <w:rsid w:val="00090C38"/>
    <w:rsid w:val="00090C4E"/>
    <w:rsid w:val="00093573"/>
    <w:rsid w:val="000944EF"/>
    <w:rsid w:val="00097C46"/>
    <w:rsid w:val="000A08BB"/>
    <w:rsid w:val="000A12BE"/>
    <w:rsid w:val="000A4C23"/>
    <w:rsid w:val="000B079C"/>
    <w:rsid w:val="000B6A3F"/>
    <w:rsid w:val="000B718E"/>
    <w:rsid w:val="000B7A9E"/>
    <w:rsid w:val="000B7D6B"/>
    <w:rsid w:val="000C10A0"/>
    <w:rsid w:val="000C166E"/>
    <w:rsid w:val="000C1FF6"/>
    <w:rsid w:val="000C339F"/>
    <w:rsid w:val="000C4C4B"/>
    <w:rsid w:val="000C637A"/>
    <w:rsid w:val="000C65F1"/>
    <w:rsid w:val="000C6E82"/>
    <w:rsid w:val="000C7291"/>
    <w:rsid w:val="000C770F"/>
    <w:rsid w:val="000D0B1C"/>
    <w:rsid w:val="000D3DE4"/>
    <w:rsid w:val="000D5CC4"/>
    <w:rsid w:val="000E170E"/>
    <w:rsid w:val="000E1C7E"/>
    <w:rsid w:val="000F0293"/>
    <w:rsid w:val="000F5193"/>
    <w:rsid w:val="000F6146"/>
    <w:rsid w:val="000F6963"/>
    <w:rsid w:val="0010372F"/>
    <w:rsid w:val="00103EF3"/>
    <w:rsid w:val="00104100"/>
    <w:rsid w:val="0010456F"/>
    <w:rsid w:val="00110935"/>
    <w:rsid w:val="00112184"/>
    <w:rsid w:val="00114F40"/>
    <w:rsid w:val="0011501C"/>
    <w:rsid w:val="001205C1"/>
    <w:rsid w:val="00122204"/>
    <w:rsid w:val="00122ABF"/>
    <w:rsid w:val="00122F61"/>
    <w:rsid w:val="00123C23"/>
    <w:rsid w:val="001258F3"/>
    <w:rsid w:val="00125BDF"/>
    <w:rsid w:val="00125C11"/>
    <w:rsid w:val="00134E24"/>
    <w:rsid w:val="00135774"/>
    <w:rsid w:val="0013646E"/>
    <w:rsid w:val="00136E45"/>
    <w:rsid w:val="00137AD4"/>
    <w:rsid w:val="001430BB"/>
    <w:rsid w:val="00143782"/>
    <w:rsid w:val="0014617C"/>
    <w:rsid w:val="00146917"/>
    <w:rsid w:val="001471E1"/>
    <w:rsid w:val="00154637"/>
    <w:rsid w:val="001562CC"/>
    <w:rsid w:val="00161605"/>
    <w:rsid w:val="001619E0"/>
    <w:rsid w:val="00163CFF"/>
    <w:rsid w:val="00163DCD"/>
    <w:rsid w:val="00164D5B"/>
    <w:rsid w:val="001673A2"/>
    <w:rsid w:val="00167967"/>
    <w:rsid w:val="00170D1A"/>
    <w:rsid w:val="00171519"/>
    <w:rsid w:val="00177983"/>
    <w:rsid w:val="00180C7B"/>
    <w:rsid w:val="0018155B"/>
    <w:rsid w:val="001830FA"/>
    <w:rsid w:val="0018628A"/>
    <w:rsid w:val="00186F46"/>
    <w:rsid w:val="00186F9A"/>
    <w:rsid w:val="001870EF"/>
    <w:rsid w:val="001903C6"/>
    <w:rsid w:val="001908E4"/>
    <w:rsid w:val="0019108A"/>
    <w:rsid w:val="001917C3"/>
    <w:rsid w:val="001921F2"/>
    <w:rsid w:val="0019526D"/>
    <w:rsid w:val="00195CCF"/>
    <w:rsid w:val="00197003"/>
    <w:rsid w:val="00197F6D"/>
    <w:rsid w:val="001A3E74"/>
    <w:rsid w:val="001A4537"/>
    <w:rsid w:val="001A5C81"/>
    <w:rsid w:val="001A60FF"/>
    <w:rsid w:val="001A644E"/>
    <w:rsid w:val="001B0DDC"/>
    <w:rsid w:val="001B21E6"/>
    <w:rsid w:val="001B3A88"/>
    <w:rsid w:val="001B5643"/>
    <w:rsid w:val="001C00B8"/>
    <w:rsid w:val="001C25E2"/>
    <w:rsid w:val="001C5CD0"/>
    <w:rsid w:val="001C6E8F"/>
    <w:rsid w:val="001C765F"/>
    <w:rsid w:val="001C7906"/>
    <w:rsid w:val="001C7AFA"/>
    <w:rsid w:val="001D0047"/>
    <w:rsid w:val="001D1EC9"/>
    <w:rsid w:val="001D21A7"/>
    <w:rsid w:val="001D3D83"/>
    <w:rsid w:val="001D4AFE"/>
    <w:rsid w:val="001D6B0D"/>
    <w:rsid w:val="001D7434"/>
    <w:rsid w:val="001D7D77"/>
    <w:rsid w:val="001E10B6"/>
    <w:rsid w:val="001E3951"/>
    <w:rsid w:val="001E4F12"/>
    <w:rsid w:val="001E78D3"/>
    <w:rsid w:val="001E7E2D"/>
    <w:rsid w:val="001F0C43"/>
    <w:rsid w:val="001F468E"/>
    <w:rsid w:val="001F4A11"/>
    <w:rsid w:val="001F4B4F"/>
    <w:rsid w:val="001F50A2"/>
    <w:rsid w:val="001F5C93"/>
    <w:rsid w:val="002006F5"/>
    <w:rsid w:val="002009C2"/>
    <w:rsid w:val="00201B60"/>
    <w:rsid w:val="00203961"/>
    <w:rsid w:val="002043D9"/>
    <w:rsid w:val="002045CB"/>
    <w:rsid w:val="00206470"/>
    <w:rsid w:val="00215A5B"/>
    <w:rsid w:val="00217462"/>
    <w:rsid w:val="002308E0"/>
    <w:rsid w:val="00231731"/>
    <w:rsid w:val="002319FD"/>
    <w:rsid w:val="002341E5"/>
    <w:rsid w:val="00234840"/>
    <w:rsid w:val="00235948"/>
    <w:rsid w:val="00236F74"/>
    <w:rsid w:val="00240ACF"/>
    <w:rsid w:val="00241FB1"/>
    <w:rsid w:val="00243EFE"/>
    <w:rsid w:val="002501A9"/>
    <w:rsid w:val="00251126"/>
    <w:rsid w:val="0025237B"/>
    <w:rsid w:val="00254D85"/>
    <w:rsid w:val="00255520"/>
    <w:rsid w:val="0025607A"/>
    <w:rsid w:val="00266A70"/>
    <w:rsid w:val="002671EC"/>
    <w:rsid w:val="0026792F"/>
    <w:rsid w:val="00270166"/>
    <w:rsid w:val="0027469A"/>
    <w:rsid w:val="00277FC7"/>
    <w:rsid w:val="00281F04"/>
    <w:rsid w:val="002836B8"/>
    <w:rsid w:val="002879B4"/>
    <w:rsid w:val="00287FEF"/>
    <w:rsid w:val="00292EB2"/>
    <w:rsid w:val="00294BB9"/>
    <w:rsid w:val="00294D41"/>
    <w:rsid w:val="002951C3"/>
    <w:rsid w:val="00297E22"/>
    <w:rsid w:val="002A1CE0"/>
    <w:rsid w:val="002A1E25"/>
    <w:rsid w:val="002A20DF"/>
    <w:rsid w:val="002A3BD4"/>
    <w:rsid w:val="002A70BB"/>
    <w:rsid w:val="002B4916"/>
    <w:rsid w:val="002B5DA8"/>
    <w:rsid w:val="002B78F0"/>
    <w:rsid w:val="002C2FC5"/>
    <w:rsid w:val="002C4B42"/>
    <w:rsid w:val="002C5839"/>
    <w:rsid w:val="002C593F"/>
    <w:rsid w:val="002C5C0C"/>
    <w:rsid w:val="002C6271"/>
    <w:rsid w:val="002C7030"/>
    <w:rsid w:val="002D1422"/>
    <w:rsid w:val="002D2264"/>
    <w:rsid w:val="002D4948"/>
    <w:rsid w:val="002D60CA"/>
    <w:rsid w:val="002E08D9"/>
    <w:rsid w:val="002E47D1"/>
    <w:rsid w:val="002E4CEA"/>
    <w:rsid w:val="002E7B61"/>
    <w:rsid w:val="002F0009"/>
    <w:rsid w:val="002F59B1"/>
    <w:rsid w:val="0030072D"/>
    <w:rsid w:val="00303F64"/>
    <w:rsid w:val="00304070"/>
    <w:rsid w:val="00304BB6"/>
    <w:rsid w:val="003106B2"/>
    <w:rsid w:val="00311633"/>
    <w:rsid w:val="00311C55"/>
    <w:rsid w:val="0031394A"/>
    <w:rsid w:val="00313A80"/>
    <w:rsid w:val="003153A8"/>
    <w:rsid w:val="00315D8B"/>
    <w:rsid w:val="003162F4"/>
    <w:rsid w:val="003178CB"/>
    <w:rsid w:val="00317B78"/>
    <w:rsid w:val="00317D06"/>
    <w:rsid w:val="0032672E"/>
    <w:rsid w:val="00327C0C"/>
    <w:rsid w:val="003303C0"/>
    <w:rsid w:val="0033168C"/>
    <w:rsid w:val="00332C92"/>
    <w:rsid w:val="00334212"/>
    <w:rsid w:val="003361D1"/>
    <w:rsid w:val="0033631C"/>
    <w:rsid w:val="0033766F"/>
    <w:rsid w:val="0034034E"/>
    <w:rsid w:val="003417F8"/>
    <w:rsid w:val="00342009"/>
    <w:rsid w:val="003426D7"/>
    <w:rsid w:val="00344A9F"/>
    <w:rsid w:val="0034663D"/>
    <w:rsid w:val="003469FF"/>
    <w:rsid w:val="00346BEF"/>
    <w:rsid w:val="00346C0D"/>
    <w:rsid w:val="00346C9C"/>
    <w:rsid w:val="003502EC"/>
    <w:rsid w:val="00355F0C"/>
    <w:rsid w:val="003562B1"/>
    <w:rsid w:val="003579D0"/>
    <w:rsid w:val="00360133"/>
    <w:rsid w:val="00360576"/>
    <w:rsid w:val="00361AB0"/>
    <w:rsid w:val="00364CD9"/>
    <w:rsid w:val="00366093"/>
    <w:rsid w:val="0037038E"/>
    <w:rsid w:val="00374B12"/>
    <w:rsid w:val="00375AFF"/>
    <w:rsid w:val="00377D57"/>
    <w:rsid w:val="003803E0"/>
    <w:rsid w:val="00383128"/>
    <w:rsid w:val="0038506C"/>
    <w:rsid w:val="00391056"/>
    <w:rsid w:val="00391C6E"/>
    <w:rsid w:val="003946BC"/>
    <w:rsid w:val="00394768"/>
    <w:rsid w:val="0039603D"/>
    <w:rsid w:val="003964FD"/>
    <w:rsid w:val="003A1458"/>
    <w:rsid w:val="003A2B58"/>
    <w:rsid w:val="003A3EBE"/>
    <w:rsid w:val="003A3ED5"/>
    <w:rsid w:val="003A63F4"/>
    <w:rsid w:val="003A6752"/>
    <w:rsid w:val="003B2363"/>
    <w:rsid w:val="003B2462"/>
    <w:rsid w:val="003B5A53"/>
    <w:rsid w:val="003C0005"/>
    <w:rsid w:val="003C0916"/>
    <w:rsid w:val="003C179C"/>
    <w:rsid w:val="003C3544"/>
    <w:rsid w:val="003C46EC"/>
    <w:rsid w:val="003C4E7E"/>
    <w:rsid w:val="003C4FA1"/>
    <w:rsid w:val="003D07F1"/>
    <w:rsid w:val="003D111B"/>
    <w:rsid w:val="003D1341"/>
    <w:rsid w:val="003D18C4"/>
    <w:rsid w:val="003D224D"/>
    <w:rsid w:val="003D378F"/>
    <w:rsid w:val="003D6413"/>
    <w:rsid w:val="003D698E"/>
    <w:rsid w:val="003D6A42"/>
    <w:rsid w:val="003E25E3"/>
    <w:rsid w:val="003F3B66"/>
    <w:rsid w:val="003F6E87"/>
    <w:rsid w:val="003F71D0"/>
    <w:rsid w:val="003F7D73"/>
    <w:rsid w:val="0040095C"/>
    <w:rsid w:val="00400ADA"/>
    <w:rsid w:val="004014E2"/>
    <w:rsid w:val="00401858"/>
    <w:rsid w:val="00402669"/>
    <w:rsid w:val="00402CD6"/>
    <w:rsid w:val="00404536"/>
    <w:rsid w:val="004061B6"/>
    <w:rsid w:val="00414634"/>
    <w:rsid w:val="00417AD7"/>
    <w:rsid w:val="004213B7"/>
    <w:rsid w:val="00425BFC"/>
    <w:rsid w:val="00426A9B"/>
    <w:rsid w:val="0042738C"/>
    <w:rsid w:val="00430C54"/>
    <w:rsid w:val="004313A0"/>
    <w:rsid w:val="00432917"/>
    <w:rsid w:val="00434105"/>
    <w:rsid w:val="004348E7"/>
    <w:rsid w:val="004363C4"/>
    <w:rsid w:val="00436855"/>
    <w:rsid w:val="00437E7E"/>
    <w:rsid w:val="00437F74"/>
    <w:rsid w:val="004429D7"/>
    <w:rsid w:val="00442AA5"/>
    <w:rsid w:val="00442FCA"/>
    <w:rsid w:val="00443672"/>
    <w:rsid w:val="004467BC"/>
    <w:rsid w:val="00446D90"/>
    <w:rsid w:val="00454CC8"/>
    <w:rsid w:val="00456B96"/>
    <w:rsid w:val="004622A8"/>
    <w:rsid w:val="00464AAC"/>
    <w:rsid w:val="00465791"/>
    <w:rsid w:val="00466819"/>
    <w:rsid w:val="00471382"/>
    <w:rsid w:val="00471CDE"/>
    <w:rsid w:val="00472E4C"/>
    <w:rsid w:val="004738F5"/>
    <w:rsid w:val="00474A4C"/>
    <w:rsid w:val="004761FA"/>
    <w:rsid w:val="0047791E"/>
    <w:rsid w:val="004803C2"/>
    <w:rsid w:val="00481777"/>
    <w:rsid w:val="00481AF0"/>
    <w:rsid w:val="004824AC"/>
    <w:rsid w:val="00482521"/>
    <w:rsid w:val="00482650"/>
    <w:rsid w:val="00482974"/>
    <w:rsid w:val="0048681D"/>
    <w:rsid w:val="00486B78"/>
    <w:rsid w:val="0049059C"/>
    <w:rsid w:val="00490C59"/>
    <w:rsid w:val="00491ECD"/>
    <w:rsid w:val="00492D02"/>
    <w:rsid w:val="00493269"/>
    <w:rsid w:val="00494218"/>
    <w:rsid w:val="004948F7"/>
    <w:rsid w:val="004951B2"/>
    <w:rsid w:val="00495EAC"/>
    <w:rsid w:val="004963CF"/>
    <w:rsid w:val="0049661D"/>
    <w:rsid w:val="00496D41"/>
    <w:rsid w:val="004A02C0"/>
    <w:rsid w:val="004A14C7"/>
    <w:rsid w:val="004A1B5B"/>
    <w:rsid w:val="004A1EFE"/>
    <w:rsid w:val="004A2209"/>
    <w:rsid w:val="004A2E20"/>
    <w:rsid w:val="004A6A55"/>
    <w:rsid w:val="004A6CFC"/>
    <w:rsid w:val="004B0B86"/>
    <w:rsid w:val="004B1667"/>
    <w:rsid w:val="004B2429"/>
    <w:rsid w:val="004B30A8"/>
    <w:rsid w:val="004B477A"/>
    <w:rsid w:val="004B5F7C"/>
    <w:rsid w:val="004C121E"/>
    <w:rsid w:val="004C1809"/>
    <w:rsid w:val="004C267B"/>
    <w:rsid w:val="004C31F7"/>
    <w:rsid w:val="004C41D4"/>
    <w:rsid w:val="004C5693"/>
    <w:rsid w:val="004C572D"/>
    <w:rsid w:val="004C67A5"/>
    <w:rsid w:val="004D027A"/>
    <w:rsid w:val="004D3E29"/>
    <w:rsid w:val="004D6377"/>
    <w:rsid w:val="004D7A52"/>
    <w:rsid w:val="004E03AD"/>
    <w:rsid w:val="004E12DB"/>
    <w:rsid w:val="004E1559"/>
    <w:rsid w:val="004E28D8"/>
    <w:rsid w:val="004E2ED0"/>
    <w:rsid w:val="004E3F87"/>
    <w:rsid w:val="004E4275"/>
    <w:rsid w:val="004E4EBD"/>
    <w:rsid w:val="004E502D"/>
    <w:rsid w:val="004F012B"/>
    <w:rsid w:val="004F04C5"/>
    <w:rsid w:val="004F28B3"/>
    <w:rsid w:val="004F2C27"/>
    <w:rsid w:val="004F2D9F"/>
    <w:rsid w:val="004F7EC8"/>
    <w:rsid w:val="00500ADA"/>
    <w:rsid w:val="005011F1"/>
    <w:rsid w:val="0050422D"/>
    <w:rsid w:val="005045AA"/>
    <w:rsid w:val="0050632B"/>
    <w:rsid w:val="00506B36"/>
    <w:rsid w:val="00511247"/>
    <w:rsid w:val="0051476C"/>
    <w:rsid w:val="00516757"/>
    <w:rsid w:val="005170A5"/>
    <w:rsid w:val="00522F23"/>
    <w:rsid w:val="00523BB1"/>
    <w:rsid w:val="00525235"/>
    <w:rsid w:val="005257E2"/>
    <w:rsid w:val="00525ABD"/>
    <w:rsid w:val="00526EC5"/>
    <w:rsid w:val="00527A5D"/>
    <w:rsid w:val="00530AC8"/>
    <w:rsid w:val="00535B4B"/>
    <w:rsid w:val="00541304"/>
    <w:rsid w:val="00541DA0"/>
    <w:rsid w:val="00541E0D"/>
    <w:rsid w:val="00542BDD"/>
    <w:rsid w:val="00543B42"/>
    <w:rsid w:val="00545AC0"/>
    <w:rsid w:val="00550F27"/>
    <w:rsid w:val="0055230B"/>
    <w:rsid w:val="005600EC"/>
    <w:rsid w:val="00566338"/>
    <w:rsid w:val="00570A02"/>
    <w:rsid w:val="00573ED4"/>
    <w:rsid w:val="00575D04"/>
    <w:rsid w:val="005766C7"/>
    <w:rsid w:val="00576C41"/>
    <w:rsid w:val="005830B0"/>
    <w:rsid w:val="00584823"/>
    <w:rsid w:val="00584E64"/>
    <w:rsid w:val="00585158"/>
    <w:rsid w:val="0058612A"/>
    <w:rsid w:val="005901DD"/>
    <w:rsid w:val="00596438"/>
    <w:rsid w:val="00597088"/>
    <w:rsid w:val="00597604"/>
    <w:rsid w:val="00597A44"/>
    <w:rsid w:val="005A1C32"/>
    <w:rsid w:val="005A2E43"/>
    <w:rsid w:val="005A45A5"/>
    <w:rsid w:val="005B0BF1"/>
    <w:rsid w:val="005B1814"/>
    <w:rsid w:val="005B21E3"/>
    <w:rsid w:val="005B7553"/>
    <w:rsid w:val="005B75E3"/>
    <w:rsid w:val="005C6DC1"/>
    <w:rsid w:val="005C713C"/>
    <w:rsid w:val="005C7991"/>
    <w:rsid w:val="005C7994"/>
    <w:rsid w:val="005D0CC2"/>
    <w:rsid w:val="005D0E49"/>
    <w:rsid w:val="005D16BA"/>
    <w:rsid w:val="005D326A"/>
    <w:rsid w:val="005D4DD4"/>
    <w:rsid w:val="005D5133"/>
    <w:rsid w:val="005D57B4"/>
    <w:rsid w:val="005D6829"/>
    <w:rsid w:val="005D74D1"/>
    <w:rsid w:val="005E1006"/>
    <w:rsid w:val="005E3748"/>
    <w:rsid w:val="005E3FE6"/>
    <w:rsid w:val="005E58C3"/>
    <w:rsid w:val="005F072A"/>
    <w:rsid w:val="005F082D"/>
    <w:rsid w:val="005F37DA"/>
    <w:rsid w:val="005F5360"/>
    <w:rsid w:val="005F6C91"/>
    <w:rsid w:val="00600009"/>
    <w:rsid w:val="006008AE"/>
    <w:rsid w:val="00610785"/>
    <w:rsid w:val="0061107A"/>
    <w:rsid w:val="00611C56"/>
    <w:rsid w:val="00612313"/>
    <w:rsid w:val="0061340F"/>
    <w:rsid w:val="00614F72"/>
    <w:rsid w:val="006153EB"/>
    <w:rsid w:val="00616DD2"/>
    <w:rsid w:val="006172A2"/>
    <w:rsid w:val="00617F62"/>
    <w:rsid w:val="00620F31"/>
    <w:rsid w:val="006210B4"/>
    <w:rsid w:val="00622975"/>
    <w:rsid w:val="0062363E"/>
    <w:rsid w:val="006240F5"/>
    <w:rsid w:val="00626F0F"/>
    <w:rsid w:val="0062788E"/>
    <w:rsid w:val="0063150C"/>
    <w:rsid w:val="0063163D"/>
    <w:rsid w:val="00631927"/>
    <w:rsid w:val="00631994"/>
    <w:rsid w:val="006319C9"/>
    <w:rsid w:val="00632D7C"/>
    <w:rsid w:val="00635B24"/>
    <w:rsid w:val="00641535"/>
    <w:rsid w:val="006419A1"/>
    <w:rsid w:val="0064259D"/>
    <w:rsid w:val="00644966"/>
    <w:rsid w:val="00645411"/>
    <w:rsid w:val="00646734"/>
    <w:rsid w:val="00647B85"/>
    <w:rsid w:val="00653449"/>
    <w:rsid w:val="006547D5"/>
    <w:rsid w:val="00654A6A"/>
    <w:rsid w:val="0066294C"/>
    <w:rsid w:val="00665DC0"/>
    <w:rsid w:val="006662C3"/>
    <w:rsid w:val="006662D9"/>
    <w:rsid w:val="00666814"/>
    <w:rsid w:val="00666DF3"/>
    <w:rsid w:val="006728B1"/>
    <w:rsid w:val="0067569A"/>
    <w:rsid w:val="00675FC0"/>
    <w:rsid w:val="00681B80"/>
    <w:rsid w:val="00684FDE"/>
    <w:rsid w:val="00685B07"/>
    <w:rsid w:val="006879C6"/>
    <w:rsid w:val="006908CB"/>
    <w:rsid w:val="00692BB8"/>
    <w:rsid w:val="00694B8F"/>
    <w:rsid w:val="00695FFE"/>
    <w:rsid w:val="006972E5"/>
    <w:rsid w:val="00697650"/>
    <w:rsid w:val="006A1D9C"/>
    <w:rsid w:val="006A3908"/>
    <w:rsid w:val="006A6924"/>
    <w:rsid w:val="006A697C"/>
    <w:rsid w:val="006A6BD0"/>
    <w:rsid w:val="006A6F9A"/>
    <w:rsid w:val="006A7684"/>
    <w:rsid w:val="006B4996"/>
    <w:rsid w:val="006B565C"/>
    <w:rsid w:val="006B6642"/>
    <w:rsid w:val="006B697F"/>
    <w:rsid w:val="006B71A8"/>
    <w:rsid w:val="006B74C2"/>
    <w:rsid w:val="006C091C"/>
    <w:rsid w:val="006C1DE7"/>
    <w:rsid w:val="006C28E3"/>
    <w:rsid w:val="006C2925"/>
    <w:rsid w:val="006C4848"/>
    <w:rsid w:val="006C4E28"/>
    <w:rsid w:val="006C5032"/>
    <w:rsid w:val="006C6D59"/>
    <w:rsid w:val="006C6E25"/>
    <w:rsid w:val="006D3F7D"/>
    <w:rsid w:val="006D45FF"/>
    <w:rsid w:val="006D4FB4"/>
    <w:rsid w:val="006D58EF"/>
    <w:rsid w:val="006D7D20"/>
    <w:rsid w:val="006E3F97"/>
    <w:rsid w:val="006E40BE"/>
    <w:rsid w:val="006F25AD"/>
    <w:rsid w:val="006F2F68"/>
    <w:rsid w:val="006F3CBC"/>
    <w:rsid w:val="006F6A85"/>
    <w:rsid w:val="006F7CB3"/>
    <w:rsid w:val="00700ADB"/>
    <w:rsid w:val="007024C5"/>
    <w:rsid w:val="00704ACE"/>
    <w:rsid w:val="00705EFB"/>
    <w:rsid w:val="00706FD2"/>
    <w:rsid w:val="00707171"/>
    <w:rsid w:val="00707B57"/>
    <w:rsid w:val="00707CC8"/>
    <w:rsid w:val="00710B43"/>
    <w:rsid w:val="00712414"/>
    <w:rsid w:val="007127D1"/>
    <w:rsid w:val="00712C9C"/>
    <w:rsid w:val="00720397"/>
    <w:rsid w:val="007213C7"/>
    <w:rsid w:val="0072141B"/>
    <w:rsid w:val="00721509"/>
    <w:rsid w:val="00727C02"/>
    <w:rsid w:val="00730EC4"/>
    <w:rsid w:val="00731D8B"/>
    <w:rsid w:val="00732BF6"/>
    <w:rsid w:val="0073305A"/>
    <w:rsid w:val="00733C18"/>
    <w:rsid w:val="00735E22"/>
    <w:rsid w:val="007365B6"/>
    <w:rsid w:val="00736664"/>
    <w:rsid w:val="00736BD5"/>
    <w:rsid w:val="00743808"/>
    <w:rsid w:val="00744571"/>
    <w:rsid w:val="00746CBE"/>
    <w:rsid w:val="007473CE"/>
    <w:rsid w:val="00747C22"/>
    <w:rsid w:val="00750071"/>
    <w:rsid w:val="0075300D"/>
    <w:rsid w:val="007547FD"/>
    <w:rsid w:val="00754996"/>
    <w:rsid w:val="00754F74"/>
    <w:rsid w:val="00755173"/>
    <w:rsid w:val="007555E6"/>
    <w:rsid w:val="00755910"/>
    <w:rsid w:val="00755D75"/>
    <w:rsid w:val="0075776A"/>
    <w:rsid w:val="00760B0E"/>
    <w:rsid w:val="0076313E"/>
    <w:rsid w:val="00764985"/>
    <w:rsid w:val="00767158"/>
    <w:rsid w:val="007708D0"/>
    <w:rsid w:val="00771A68"/>
    <w:rsid w:val="00774F0B"/>
    <w:rsid w:val="00780942"/>
    <w:rsid w:val="007819CC"/>
    <w:rsid w:val="00787623"/>
    <w:rsid w:val="00787836"/>
    <w:rsid w:val="00791FB7"/>
    <w:rsid w:val="00792255"/>
    <w:rsid w:val="00792C89"/>
    <w:rsid w:val="00797F2B"/>
    <w:rsid w:val="007A3BA9"/>
    <w:rsid w:val="007A7CC8"/>
    <w:rsid w:val="007B2D1C"/>
    <w:rsid w:val="007B3F84"/>
    <w:rsid w:val="007B600E"/>
    <w:rsid w:val="007B63C3"/>
    <w:rsid w:val="007B7199"/>
    <w:rsid w:val="007C12F0"/>
    <w:rsid w:val="007C4898"/>
    <w:rsid w:val="007C7282"/>
    <w:rsid w:val="007D24F1"/>
    <w:rsid w:val="007D2D38"/>
    <w:rsid w:val="007D2E33"/>
    <w:rsid w:val="007D449D"/>
    <w:rsid w:val="007D5E44"/>
    <w:rsid w:val="007D606E"/>
    <w:rsid w:val="007D64CD"/>
    <w:rsid w:val="007E051E"/>
    <w:rsid w:val="007E4753"/>
    <w:rsid w:val="007E4A49"/>
    <w:rsid w:val="007E5DBE"/>
    <w:rsid w:val="007E7C4E"/>
    <w:rsid w:val="007E7CE0"/>
    <w:rsid w:val="007F1480"/>
    <w:rsid w:val="007F2519"/>
    <w:rsid w:val="007F303D"/>
    <w:rsid w:val="007F7D23"/>
    <w:rsid w:val="00801DAA"/>
    <w:rsid w:val="008025CC"/>
    <w:rsid w:val="00810E2C"/>
    <w:rsid w:val="00811B2B"/>
    <w:rsid w:val="00817B72"/>
    <w:rsid w:val="00821456"/>
    <w:rsid w:val="0082186F"/>
    <w:rsid w:val="00824C8A"/>
    <w:rsid w:val="00825FAC"/>
    <w:rsid w:val="008300F6"/>
    <w:rsid w:val="008307DA"/>
    <w:rsid w:val="00833196"/>
    <w:rsid w:val="00834A00"/>
    <w:rsid w:val="00834B80"/>
    <w:rsid w:val="00834F0D"/>
    <w:rsid w:val="00835FAA"/>
    <w:rsid w:val="008364B3"/>
    <w:rsid w:val="00841555"/>
    <w:rsid w:val="0084669E"/>
    <w:rsid w:val="008473C6"/>
    <w:rsid w:val="0085332F"/>
    <w:rsid w:val="008534FD"/>
    <w:rsid w:val="00861A09"/>
    <w:rsid w:val="00861CCA"/>
    <w:rsid w:val="008626EA"/>
    <w:rsid w:val="00862A03"/>
    <w:rsid w:val="00862B91"/>
    <w:rsid w:val="00865C33"/>
    <w:rsid w:val="00867DBC"/>
    <w:rsid w:val="00867DBF"/>
    <w:rsid w:val="00871711"/>
    <w:rsid w:val="00872DAB"/>
    <w:rsid w:val="00872FAE"/>
    <w:rsid w:val="00873F7B"/>
    <w:rsid w:val="00874490"/>
    <w:rsid w:val="00876212"/>
    <w:rsid w:val="00880FBC"/>
    <w:rsid w:val="00883451"/>
    <w:rsid w:val="00883718"/>
    <w:rsid w:val="0088456C"/>
    <w:rsid w:val="00891D4F"/>
    <w:rsid w:val="00892F38"/>
    <w:rsid w:val="00893370"/>
    <w:rsid w:val="008944FE"/>
    <w:rsid w:val="00895682"/>
    <w:rsid w:val="008A02D8"/>
    <w:rsid w:val="008A1654"/>
    <w:rsid w:val="008A572D"/>
    <w:rsid w:val="008A7729"/>
    <w:rsid w:val="008B17DE"/>
    <w:rsid w:val="008B1849"/>
    <w:rsid w:val="008B235F"/>
    <w:rsid w:val="008B33EE"/>
    <w:rsid w:val="008B4D5C"/>
    <w:rsid w:val="008B53A7"/>
    <w:rsid w:val="008B6027"/>
    <w:rsid w:val="008C0F07"/>
    <w:rsid w:val="008C2D28"/>
    <w:rsid w:val="008C35B7"/>
    <w:rsid w:val="008C3EC4"/>
    <w:rsid w:val="008D0544"/>
    <w:rsid w:val="008D20D2"/>
    <w:rsid w:val="008D30E0"/>
    <w:rsid w:val="008D3ACD"/>
    <w:rsid w:val="008D66A4"/>
    <w:rsid w:val="008D6DE8"/>
    <w:rsid w:val="008E1560"/>
    <w:rsid w:val="008E5B79"/>
    <w:rsid w:val="008E66AA"/>
    <w:rsid w:val="008E76F9"/>
    <w:rsid w:val="008E7B06"/>
    <w:rsid w:val="008F1968"/>
    <w:rsid w:val="008F3394"/>
    <w:rsid w:val="008F3C56"/>
    <w:rsid w:val="008F3EAE"/>
    <w:rsid w:val="009024CB"/>
    <w:rsid w:val="00902A91"/>
    <w:rsid w:val="00903C2D"/>
    <w:rsid w:val="00906F56"/>
    <w:rsid w:val="009104E4"/>
    <w:rsid w:val="00910DBE"/>
    <w:rsid w:val="00913CF5"/>
    <w:rsid w:val="00914B86"/>
    <w:rsid w:val="00916ABC"/>
    <w:rsid w:val="00917665"/>
    <w:rsid w:val="009203F9"/>
    <w:rsid w:val="00921CA4"/>
    <w:rsid w:val="00927194"/>
    <w:rsid w:val="00931770"/>
    <w:rsid w:val="0094011F"/>
    <w:rsid w:val="009401D9"/>
    <w:rsid w:val="00942784"/>
    <w:rsid w:val="00943C4E"/>
    <w:rsid w:val="00943E92"/>
    <w:rsid w:val="00943FC8"/>
    <w:rsid w:val="00946A45"/>
    <w:rsid w:val="009474C6"/>
    <w:rsid w:val="009474E7"/>
    <w:rsid w:val="00947E30"/>
    <w:rsid w:val="00951825"/>
    <w:rsid w:val="00956184"/>
    <w:rsid w:val="00957376"/>
    <w:rsid w:val="009576C4"/>
    <w:rsid w:val="009603F0"/>
    <w:rsid w:val="00965C41"/>
    <w:rsid w:val="00966CFD"/>
    <w:rsid w:val="00970EA2"/>
    <w:rsid w:val="00971C36"/>
    <w:rsid w:val="009738A3"/>
    <w:rsid w:val="00975EA1"/>
    <w:rsid w:val="00976D3F"/>
    <w:rsid w:val="00977185"/>
    <w:rsid w:val="00977A7F"/>
    <w:rsid w:val="00977D88"/>
    <w:rsid w:val="0098092B"/>
    <w:rsid w:val="00981E9D"/>
    <w:rsid w:val="00982169"/>
    <w:rsid w:val="00982A33"/>
    <w:rsid w:val="009837B6"/>
    <w:rsid w:val="00983C8D"/>
    <w:rsid w:val="00987329"/>
    <w:rsid w:val="009902C2"/>
    <w:rsid w:val="00993C92"/>
    <w:rsid w:val="00995C35"/>
    <w:rsid w:val="009978DE"/>
    <w:rsid w:val="009A525E"/>
    <w:rsid w:val="009B2C44"/>
    <w:rsid w:val="009B73D0"/>
    <w:rsid w:val="009C1E4D"/>
    <w:rsid w:val="009C2043"/>
    <w:rsid w:val="009C3725"/>
    <w:rsid w:val="009C3A75"/>
    <w:rsid w:val="009C3AB8"/>
    <w:rsid w:val="009C4F72"/>
    <w:rsid w:val="009C5991"/>
    <w:rsid w:val="009C5AA8"/>
    <w:rsid w:val="009C5C44"/>
    <w:rsid w:val="009D000D"/>
    <w:rsid w:val="009D18F6"/>
    <w:rsid w:val="009D494D"/>
    <w:rsid w:val="009D7704"/>
    <w:rsid w:val="009D7ABD"/>
    <w:rsid w:val="009E0BDB"/>
    <w:rsid w:val="009E136E"/>
    <w:rsid w:val="009E28E0"/>
    <w:rsid w:val="009E2CCC"/>
    <w:rsid w:val="009E2E93"/>
    <w:rsid w:val="009E5399"/>
    <w:rsid w:val="009E5CCC"/>
    <w:rsid w:val="009E6747"/>
    <w:rsid w:val="009F18E5"/>
    <w:rsid w:val="009F4B45"/>
    <w:rsid w:val="009F75FC"/>
    <w:rsid w:val="00A002FC"/>
    <w:rsid w:val="00A00660"/>
    <w:rsid w:val="00A025A1"/>
    <w:rsid w:val="00A05154"/>
    <w:rsid w:val="00A05A57"/>
    <w:rsid w:val="00A12C0D"/>
    <w:rsid w:val="00A15330"/>
    <w:rsid w:val="00A15481"/>
    <w:rsid w:val="00A17B37"/>
    <w:rsid w:val="00A2276B"/>
    <w:rsid w:val="00A23476"/>
    <w:rsid w:val="00A23670"/>
    <w:rsid w:val="00A25F5D"/>
    <w:rsid w:val="00A2775B"/>
    <w:rsid w:val="00A40144"/>
    <w:rsid w:val="00A416DD"/>
    <w:rsid w:val="00A43059"/>
    <w:rsid w:val="00A440B4"/>
    <w:rsid w:val="00A4627B"/>
    <w:rsid w:val="00A47A6E"/>
    <w:rsid w:val="00A5027D"/>
    <w:rsid w:val="00A50495"/>
    <w:rsid w:val="00A50E54"/>
    <w:rsid w:val="00A51FC4"/>
    <w:rsid w:val="00A52B39"/>
    <w:rsid w:val="00A546DC"/>
    <w:rsid w:val="00A55E23"/>
    <w:rsid w:val="00A571C4"/>
    <w:rsid w:val="00A574CF"/>
    <w:rsid w:val="00A5786D"/>
    <w:rsid w:val="00A60D54"/>
    <w:rsid w:val="00A630D2"/>
    <w:rsid w:val="00A63127"/>
    <w:rsid w:val="00A65878"/>
    <w:rsid w:val="00A66F38"/>
    <w:rsid w:val="00A7043C"/>
    <w:rsid w:val="00A70485"/>
    <w:rsid w:val="00A729E1"/>
    <w:rsid w:val="00A73908"/>
    <w:rsid w:val="00A772EB"/>
    <w:rsid w:val="00A77547"/>
    <w:rsid w:val="00A77660"/>
    <w:rsid w:val="00A80030"/>
    <w:rsid w:val="00A83BCA"/>
    <w:rsid w:val="00A84003"/>
    <w:rsid w:val="00A857D2"/>
    <w:rsid w:val="00A85E99"/>
    <w:rsid w:val="00A86CCD"/>
    <w:rsid w:val="00A90654"/>
    <w:rsid w:val="00A962F5"/>
    <w:rsid w:val="00A9695B"/>
    <w:rsid w:val="00AA55DC"/>
    <w:rsid w:val="00AA75B3"/>
    <w:rsid w:val="00AB0590"/>
    <w:rsid w:val="00AB2538"/>
    <w:rsid w:val="00AB6A10"/>
    <w:rsid w:val="00AB7B34"/>
    <w:rsid w:val="00AC180A"/>
    <w:rsid w:val="00AC34BE"/>
    <w:rsid w:val="00AC6041"/>
    <w:rsid w:val="00AC61F4"/>
    <w:rsid w:val="00AC6A28"/>
    <w:rsid w:val="00AC6EF4"/>
    <w:rsid w:val="00AC700D"/>
    <w:rsid w:val="00AD0794"/>
    <w:rsid w:val="00AD2DAA"/>
    <w:rsid w:val="00AD3A82"/>
    <w:rsid w:val="00AD4502"/>
    <w:rsid w:val="00AD4C8E"/>
    <w:rsid w:val="00AD5082"/>
    <w:rsid w:val="00AD69FD"/>
    <w:rsid w:val="00AE0788"/>
    <w:rsid w:val="00AE1E2C"/>
    <w:rsid w:val="00AE3590"/>
    <w:rsid w:val="00AE3A68"/>
    <w:rsid w:val="00AE415B"/>
    <w:rsid w:val="00AE5FEB"/>
    <w:rsid w:val="00AF0008"/>
    <w:rsid w:val="00AF0981"/>
    <w:rsid w:val="00AF5417"/>
    <w:rsid w:val="00AF5921"/>
    <w:rsid w:val="00AF62D3"/>
    <w:rsid w:val="00B004A7"/>
    <w:rsid w:val="00B00614"/>
    <w:rsid w:val="00B00BF5"/>
    <w:rsid w:val="00B01DE8"/>
    <w:rsid w:val="00B033FB"/>
    <w:rsid w:val="00B051BF"/>
    <w:rsid w:val="00B0665F"/>
    <w:rsid w:val="00B076D5"/>
    <w:rsid w:val="00B07D19"/>
    <w:rsid w:val="00B1082B"/>
    <w:rsid w:val="00B12650"/>
    <w:rsid w:val="00B135E0"/>
    <w:rsid w:val="00B15B19"/>
    <w:rsid w:val="00B231E5"/>
    <w:rsid w:val="00B24FEC"/>
    <w:rsid w:val="00B254CC"/>
    <w:rsid w:val="00B2578C"/>
    <w:rsid w:val="00B25B01"/>
    <w:rsid w:val="00B2689D"/>
    <w:rsid w:val="00B27F30"/>
    <w:rsid w:val="00B30284"/>
    <w:rsid w:val="00B302A7"/>
    <w:rsid w:val="00B318C1"/>
    <w:rsid w:val="00B327FB"/>
    <w:rsid w:val="00B331B6"/>
    <w:rsid w:val="00B42772"/>
    <w:rsid w:val="00B4387F"/>
    <w:rsid w:val="00B43B12"/>
    <w:rsid w:val="00B4723E"/>
    <w:rsid w:val="00B50DD9"/>
    <w:rsid w:val="00B55F8F"/>
    <w:rsid w:val="00B56D29"/>
    <w:rsid w:val="00B60DEA"/>
    <w:rsid w:val="00B63B34"/>
    <w:rsid w:val="00B6621A"/>
    <w:rsid w:val="00B667B7"/>
    <w:rsid w:val="00B71E21"/>
    <w:rsid w:val="00B73BDF"/>
    <w:rsid w:val="00B74603"/>
    <w:rsid w:val="00B75582"/>
    <w:rsid w:val="00B803EC"/>
    <w:rsid w:val="00B82BE7"/>
    <w:rsid w:val="00B832CC"/>
    <w:rsid w:val="00B86024"/>
    <w:rsid w:val="00B86570"/>
    <w:rsid w:val="00B8697A"/>
    <w:rsid w:val="00B8748E"/>
    <w:rsid w:val="00B91E16"/>
    <w:rsid w:val="00B9376C"/>
    <w:rsid w:val="00B94E7D"/>
    <w:rsid w:val="00B96371"/>
    <w:rsid w:val="00BA04E4"/>
    <w:rsid w:val="00BA441B"/>
    <w:rsid w:val="00BA5AEA"/>
    <w:rsid w:val="00BA61C8"/>
    <w:rsid w:val="00BA7774"/>
    <w:rsid w:val="00BB14AA"/>
    <w:rsid w:val="00BB16A4"/>
    <w:rsid w:val="00BB4054"/>
    <w:rsid w:val="00BB405C"/>
    <w:rsid w:val="00BB46B5"/>
    <w:rsid w:val="00BB7CDA"/>
    <w:rsid w:val="00BB7DD0"/>
    <w:rsid w:val="00BC24E5"/>
    <w:rsid w:val="00BC3250"/>
    <w:rsid w:val="00BC489C"/>
    <w:rsid w:val="00BC5035"/>
    <w:rsid w:val="00BC611C"/>
    <w:rsid w:val="00BC7955"/>
    <w:rsid w:val="00BD385F"/>
    <w:rsid w:val="00BE09E0"/>
    <w:rsid w:val="00BE6519"/>
    <w:rsid w:val="00BE70C8"/>
    <w:rsid w:val="00BF0491"/>
    <w:rsid w:val="00BF1657"/>
    <w:rsid w:val="00BF3168"/>
    <w:rsid w:val="00BF36D1"/>
    <w:rsid w:val="00BF762C"/>
    <w:rsid w:val="00BF7963"/>
    <w:rsid w:val="00C0298C"/>
    <w:rsid w:val="00C044C0"/>
    <w:rsid w:val="00C06A67"/>
    <w:rsid w:val="00C07A57"/>
    <w:rsid w:val="00C10A88"/>
    <w:rsid w:val="00C138CA"/>
    <w:rsid w:val="00C15543"/>
    <w:rsid w:val="00C15785"/>
    <w:rsid w:val="00C16C57"/>
    <w:rsid w:val="00C1754E"/>
    <w:rsid w:val="00C179F4"/>
    <w:rsid w:val="00C20F31"/>
    <w:rsid w:val="00C23C1F"/>
    <w:rsid w:val="00C2530E"/>
    <w:rsid w:val="00C25A91"/>
    <w:rsid w:val="00C25DF1"/>
    <w:rsid w:val="00C25E70"/>
    <w:rsid w:val="00C30144"/>
    <w:rsid w:val="00C30867"/>
    <w:rsid w:val="00C33A40"/>
    <w:rsid w:val="00C33B6B"/>
    <w:rsid w:val="00C35CAE"/>
    <w:rsid w:val="00C368A3"/>
    <w:rsid w:val="00C3723C"/>
    <w:rsid w:val="00C4080F"/>
    <w:rsid w:val="00C44568"/>
    <w:rsid w:val="00C4761F"/>
    <w:rsid w:val="00C50B1F"/>
    <w:rsid w:val="00C50BFC"/>
    <w:rsid w:val="00C51F92"/>
    <w:rsid w:val="00C52358"/>
    <w:rsid w:val="00C534CB"/>
    <w:rsid w:val="00C53947"/>
    <w:rsid w:val="00C557AF"/>
    <w:rsid w:val="00C56461"/>
    <w:rsid w:val="00C57C5E"/>
    <w:rsid w:val="00C628C1"/>
    <w:rsid w:val="00C629A7"/>
    <w:rsid w:val="00C62A58"/>
    <w:rsid w:val="00C633BA"/>
    <w:rsid w:val="00C6362A"/>
    <w:rsid w:val="00C6526C"/>
    <w:rsid w:val="00C658D1"/>
    <w:rsid w:val="00C6599F"/>
    <w:rsid w:val="00C6640E"/>
    <w:rsid w:val="00C67346"/>
    <w:rsid w:val="00C7578A"/>
    <w:rsid w:val="00C76600"/>
    <w:rsid w:val="00C812A6"/>
    <w:rsid w:val="00C835FF"/>
    <w:rsid w:val="00C83728"/>
    <w:rsid w:val="00C85852"/>
    <w:rsid w:val="00C85AC4"/>
    <w:rsid w:val="00C86CA7"/>
    <w:rsid w:val="00C873A5"/>
    <w:rsid w:val="00C87AC4"/>
    <w:rsid w:val="00C9313D"/>
    <w:rsid w:val="00CA13F9"/>
    <w:rsid w:val="00CA3CC2"/>
    <w:rsid w:val="00CA69DA"/>
    <w:rsid w:val="00CB10E1"/>
    <w:rsid w:val="00CB2246"/>
    <w:rsid w:val="00CB28F9"/>
    <w:rsid w:val="00CB4FF8"/>
    <w:rsid w:val="00CB549B"/>
    <w:rsid w:val="00CC0153"/>
    <w:rsid w:val="00CC0833"/>
    <w:rsid w:val="00CC1C97"/>
    <w:rsid w:val="00CC251A"/>
    <w:rsid w:val="00CC2F37"/>
    <w:rsid w:val="00CC6F08"/>
    <w:rsid w:val="00CC7327"/>
    <w:rsid w:val="00CD0722"/>
    <w:rsid w:val="00CD2799"/>
    <w:rsid w:val="00CD3A30"/>
    <w:rsid w:val="00CD431D"/>
    <w:rsid w:val="00CD43B4"/>
    <w:rsid w:val="00CD5805"/>
    <w:rsid w:val="00CD613A"/>
    <w:rsid w:val="00CD6A22"/>
    <w:rsid w:val="00CD7023"/>
    <w:rsid w:val="00CD70DD"/>
    <w:rsid w:val="00CE4D89"/>
    <w:rsid w:val="00CE750A"/>
    <w:rsid w:val="00CF1405"/>
    <w:rsid w:val="00CF650A"/>
    <w:rsid w:val="00D03F9C"/>
    <w:rsid w:val="00D04054"/>
    <w:rsid w:val="00D050F6"/>
    <w:rsid w:val="00D05CEA"/>
    <w:rsid w:val="00D06754"/>
    <w:rsid w:val="00D07170"/>
    <w:rsid w:val="00D078ED"/>
    <w:rsid w:val="00D07C41"/>
    <w:rsid w:val="00D11350"/>
    <w:rsid w:val="00D13D61"/>
    <w:rsid w:val="00D143FE"/>
    <w:rsid w:val="00D15676"/>
    <w:rsid w:val="00D23343"/>
    <w:rsid w:val="00D24495"/>
    <w:rsid w:val="00D24B29"/>
    <w:rsid w:val="00D25ABA"/>
    <w:rsid w:val="00D262EA"/>
    <w:rsid w:val="00D26901"/>
    <w:rsid w:val="00D27EE3"/>
    <w:rsid w:val="00D35DBE"/>
    <w:rsid w:val="00D40D9B"/>
    <w:rsid w:val="00D41F1B"/>
    <w:rsid w:val="00D4329E"/>
    <w:rsid w:val="00D43929"/>
    <w:rsid w:val="00D45A7D"/>
    <w:rsid w:val="00D45C92"/>
    <w:rsid w:val="00D46D54"/>
    <w:rsid w:val="00D51A0D"/>
    <w:rsid w:val="00D52443"/>
    <w:rsid w:val="00D527F5"/>
    <w:rsid w:val="00D53C31"/>
    <w:rsid w:val="00D54C51"/>
    <w:rsid w:val="00D55C2A"/>
    <w:rsid w:val="00D55EE1"/>
    <w:rsid w:val="00D57607"/>
    <w:rsid w:val="00D611D0"/>
    <w:rsid w:val="00D6236E"/>
    <w:rsid w:val="00D63DBE"/>
    <w:rsid w:val="00D64C14"/>
    <w:rsid w:val="00D6617F"/>
    <w:rsid w:val="00D672C7"/>
    <w:rsid w:val="00D708B6"/>
    <w:rsid w:val="00D75594"/>
    <w:rsid w:val="00D764FC"/>
    <w:rsid w:val="00D7689F"/>
    <w:rsid w:val="00D77F36"/>
    <w:rsid w:val="00D8054E"/>
    <w:rsid w:val="00D80714"/>
    <w:rsid w:val="00D80B1F"/>
    <w:rsid w:val="00D86EB3"/>
    <w:rsid w:val="00D90211"/>
    <w:rsid w:val="00D90C2E"/>
    <w:rsid w:val="00D921D3"/>
    <w:rsid w:val="00D93E99"/>
    <w:rsid w:val="00D95626"/>
    <w:rsid w:val="00D9612B"/>
    <w:rsid w:val="00D96D8E"/>
    <w:rsid w:val="00D97CEA"/>
    <w:rsid w:val="00DA035A"/>
    <w:rsid w:val="00DA5BF9"/>
    <w:rsid w:val="00DA5CF4"/>
    <w:rsid w:val="00DA7936"/>
    <w:rsid w:val="00DB003A"/>
    <w:rsid w:val="00DB29CF"/>
    <w:rsid w:val="00DB2B46"/>
    <w:rsid w:val="00DB61B3"/>
    <w:rsid w:val="00DB65B5"/>
    <w:rsid w:val="00DC0F1D"/>
    <w:rsid w:val="00DC5D97"/>
    <w:rsid w:val="00DC6ACC"/>
    <w:rsid w:val="00DC7825"/>
    <w:rsid w:val="00DD0E98"/>
    <w:rsid w:val="00DD180C"/>
    <w:rsid w:val="00DD1BF1"/>
    <w:rsid w:val="00DD1D69"/>
    <w:rsid w:val="00DD5184"/>
    <w:rsid w:val="00DD7D65"/>
    <w:rsid w:val="00DE1257"/>
    <w:rsid w:val="00DE226B"/>
    <w:rsid w:val="00DE5202"/>
    <w:rsid w:val="00DE624E"/>
    <w:rsid w:val="00DE6917"/>
    <w:rsid w:val="00DF5879"/>
    <w:rsid w:val="00DF7115"/>
    <w:rsid w:val="00DF73ED"/>
    <w:rsid w:val="00E00A3C"/>
    <w:rsid w:val="00E01456"/>
    <w:rsid w:val="00E0277D"/>
    <w:rsid w:val="00E039CA"/>
    <w:rsid w:val="00E06AF3"/>
    <w:rsid w:val="00E10726"/>
    <w:rsid w:val="00E1168F"/>
    <w:rsid w:val="00E12820"/>
    <w:rsid w:val="00E13E96"/>
    <w:rsid w:val="00E16195"/>
    <w:rsid w:val="00E17605"/>
    <w:rsid w:val="00E202E8"/>
    <w:rsid w:val="00E25C3A"/>
    <w:rsid w:val="00E279B4"/>
    <w:rsid w:val="00E301C7"/>
    <w:rsid w:val="00E33E1F"/>
    <w:rsid w:val="00E346AD"/>
    <w:rsid w:val="00E3497A"/>
    <w:rsid w:val="00E34BE5"/>
    <w:rsid w:val="00E36393"/>
    <w:rsid w:val="00E44369"/>
    <w:rsid w:val="00E44EF9"/>
    <w:rsid w:val="00E45B0D"/>
    <w:rsid w:val="00E51901"/>
    <w:rsid w:val="00E52560"/>
    <w:rsid w:val="00E54AD1"/>
    <w:rsid w:val="00E550A3"/>
    <w:rsid w:val="00E55F03"/>
    <w:rsid w:val="00E56645"/>
    <w:rsid w:val="00E60426"/>
    <w:rsid w:val="00E618F6"/>
    <w:rsid w:val="00E61A3B"/>
    <w:rsid w:val="00E64518"/>
    <w:rsid w:val="00E656CD"/>
    <w:rsid w:val="00E65BD5"/>
    <w:rsid w:val="00E65F92"/>
    <w:rsid w:val="00E70206"/>
    <w:rsid w:val="00E73BBB"/>
    <w:rsid w:val="00E73F61"/>
    <w:rsid w:val="00E74B72"/>
    <w:rsid w:val="00E80B65"/>
    <w:rsid w:val="00E83C9F"/>
    <w:rsid w:val="00E858E2"/>
    <w:rsid w:val="00E92E8E"/>
    <w:rsid w:val="00E94C79"/>
    <w:rsid w:val="00E9697B"/>
    <w:rsid w:val="00EA0479"/>
    <w:rsid w:val="00EA2C26"/>
    <w:rsid w:val="00EB274C"/>
    <w:rsid w:val="00EB5E98"/>
    <w:rsid w:val="00EC0EEF"/>
    <w:rsid w:val="00EC3156"/>
    <w:rsid w:val="00EC3F9B"/>
    <w:rsid w:val="00EC47F0"/>
    <w:rsid w:val="00EC6D2A"/>
    <w:rsid w:val="00ED03BC"/>
    <w:rsid w:val="00ED0D53"/>
    <w:rsid w:val="00ED2A39"/>
    <w:rsid w:val="00ED3329"/>
    <w:rsid w:val="00ED4598"/>
    <w:rsid w:val="00ED46CD"/>
    <w:rsid w:val="00ED5F29"/>
    <w:rsid w:val="00ED6409"/>
    <w:rsid w:val="00ED6829"/>
    <w:rsid w:val="00ED691A"/>
    <w:rsid w:val="00ED7B71"/>
    <w:rsid w:val="00EE0913"/>
    <w:rsid w:val="00EE0E5A"/>
    <w:rsid w:val="00EE22F0"/>
    <w:rsid w:val="00EE355B"/>
    <w:rsid w:val="00EE5E27"/>
    <w:rsid w:val="00EE658B"/>
    <w:rsid w:val="00EF1834"/>
    <w:rsid w:val="00EF1D97"/>
    <w:rsid w:val="00EF3703"/>
    <w:rsid w:val="00EF7B88"/>
    <w:rsid w:val="00F04713"/>
    <w:rsid w:val="00F076FA"/>
    <w:rsid w:val="00F07925"/>
    <w:rsid w:val="00F104BE"/>
    <w:rsid w:val="00F114EC"/>
    <w:rsid w:val="00F1337C"/>
    <w:rsid w:val="00F159B0"/>
    <w:rsid w:val="00F16FBF"/>
    <w:rsid w:val="00F20460"/>
    <w:rsid w:val="00F204C3"/>
    <w:rsid w:val="00F22017"/>
    <w:rsid w:val="00F31E7D"/>
    <w:rsid w:val="00F33309"/>
    <w:rsid w:val="00F33FA4"/>
    <w:rsid w:val="00F34ABE"/>
    <w:rsid w:val="00F3559C"/>
    <w:rsid w:val="00F36317"/>
    <w:rsid w:val="00F4065F"/>
    <w:rsid w:val="00F42626"/>
    <w:rsid w:val="00F45DB0"/>
    <w:rsid w:val="00F461C1"/>
    <w:rsid w:val="00F46233"/>
    <w:rsid w:val="00F51D90"/>
    <w:rsid w:val="00F53120"/>
    <w:rsid w:val="00F54065"/>
    <w:rsid w:val="00F55394"/>
    <w:rsid w:val="00F56E1B"/>
    <w:rsid w:val="00F5773B"/>
    <w:rsid w:val="00F600E9"/>
    <w:rsid w:val="00F60319"/>
    <w:rsid w:val="00F60CAD"/>
    <w:rsid w:val="00F60D7D"/>
    <w:rsid w:val="00F62199"/>
    <w:rsid w:val="00F674BC"/>
    <w:rsid w:val="00F700F8"/>
    <w:rsid w:val="00F719AF"/>
    <w:rsid w:val="00F76EAF"/>
    <w:rsid w:val="00F81D6F"/>
    <w:rsid w:val="00F81DFB"/>
    <w:rsid w:val="00F825AA"/>
    <w:rsid w:val="00F82EFE"/>
    <w:rsid w:val="00F8320B"/>
    <w:rsid w:val="00F856CE"/>
    <w:rsid w:val="00F95655"/>
    <w:rsid w:val="00F966CF"/>
    <w:rsid w:val="00FA5AF9"/>
    <w:rsid w:val="00FA60AD"/>
    <w:rsid w:val="00FB05A8"/>
    <w:rsid w:val="00FB18CB"/>
    <w:rsid w:val="00FB2577"/>
    <w:rsid w:val="00FB2B5D"/>
    <w:rsid w:val="00FB2B6F"/>
    <w:rsid w:val="00FB3FA4"/>
    <w:rsid w:val="00FB734A"/>
    <w:rsid w:val="00FB7783"/>
    <w:rsid w:val="00FC5915"/>
    <w:rsid w:val="00FC661C"/>
    <w:rsid w:val="00FC6C2D"/>
    <w:rsid w:val="00FC77E8"/>
    <w:rsid w:val="00FC7B11"/>
    <w:rsid w:val="00FD1F36"/>
    <w:rsid w:val="00FD3702"/>
    <w:rsid w:val="00FD3CF3"/>
    <w:rsid w:val="00FD663E"/>
    <w:rsid w:val="00FD702B"/>
    <w:rsid w:val="00FD7095"/>
    <w:rsid w:val="00FD7694"/>
    <w:rsid w:val="00FE0FB5"/>
    <w:rsid w:val="00FE1E07"/>
    <w:rsid w:val="00FE2306"/>
    <w:rsid w:val="00FF09C8"/>
    <w:rsid w:val="00FF310E"/>
    <w:rsid w:val="00FF46B5"/>
    <w:rsid w:val="00FF732B"/>
    <w:rsid w:val="00FF7C1B"/>
    <w:rsid w:val="01205980"/>
    <w:rsid w:val="01416A89"/>
    <w:rsid w:val="01B43529"/>
    <w:rsid w:val="01BE152A"/>
    <w:rsid w:val="01CA353F"/>
    <w:rsid w:val="01CF7DC5"/>
    <w:rsid w:val="021E78FA"/>
    <w:rsid w:val="02AF1522"/>
    <w:rsid w:val="02F254D6"/>
    <w:rsid w:val="03007DC9"/>
    <w:rsid w:val="03254451"/>
    <w:rsid w:val="03337776"/>
    <w:rsid w:val="03571303"/>
    <w:rsid w:val="03A87695"/>
    <w:rsid w:val="03B05003"/>
    <w:rsid w:val="03C718BF"/>
    <w:rsid w:val="03D9471E"/>
    <w:rsid w:val="041E13F0"/>
    <w:rsid w:val="0449403E"/>
    <w:rsid w:val="04FB7D1D"/>
    <w:rsid w:val="05015D85"/>
    <w:rsid w:val="053D1CC8"/>
    <w:rsid w:val="05A86320"/>
    <w:rsid w:val="05B94E3C"/>
    <w:rsid w:val="05C8346D"/>
    <w:rsid w:val="05CB716E"/>
    <w:rsid w:val="060649EE"/>
    <w:rsid w:val="060A3A39"/>
    <w:rsid w:val="06513779"/>
    <w:rsid w:val="065564A8"/>
    <w:rsid w:val="06B67247"/>
    <w:rsid w:val="06E710CA"/>
    <w:rsid w:val="073710D6"/>
    <w:rsid w:val="073A58EA"/>
    <w:rsid w:val="075C16DE"/>
    <w:rsid w:val="07721484"/>
    <w:rsid w:val="078A663C"/>
    <w:rsid w:val="079564BC"/>
    <w:rsid w:val="07CC35E8"/>
    <w:rsid w:val="082D5E51"/>
    <w:rsid w:val="0868070D"/>
    <w:rsid w:val="08F5187C"/>
    <w:rsid w:val="095837D1"/>
    <w:rsid w:val="09722ECD"/>
    <w:rsid w:val="098552F6"/>
    <w:rsid w:val="09AD4C61"/>
    <w:rsid w:val="09D231E5"/>
    <w:rsid w:val="0A0E41E5"/>
    <w:rsid w:val="0A3B2F9D"/>
    <w:rsid w:val="0AE02514"/>
    <w:rsid w:val="0B2F301B"/>
    <w:rsid w:val="0B5F1694"/>
    <w:rsid w:val="0B9A670B"/>
    <w:rsid w:val="0BB6109A"/>
    <w:rsid w:val="0BB94190"/>
    <w:rsid w:val="0C06083B"/>
    <w:rsid w:val="0C3B1F34"/>
    <w:rsid w:val="0C8D5E48"/>
    <w:rsid w:val="0CCB1D49"/>
    <w:rsid w:val="0D2A0C7B"/>
    <w:rsid w:val="0D3D7167"/>
    <w:rsid w:val="0D4126B1"/>
    <w:rsid w:val="0D6E38C4"/>
    <w:rsid w:val="0D914A8E"/>
    <w:rsid w:val="0D97399F"/>
    <w:rsid w:val="0DA2000A"/>
    <w:rsid w:val="0DE33609"/>
    <w:rsid w:val="0E4E4508"/>
    <w:rsid w:val="0F062959"/>
    <w:rsid w:val="0F105CE4"/>
    <w:rsid w:val="0F2B4D5E"/>
    <w:rsid w:val="0F5B2655"/>
    <w:rsid w:val="0F826827"/>
    <w:rsid w:val="0FD83CA6"/>
    <w:rsid w:val="0FF32D93"/>
    <w:rsid w:val="1021260D"/>
    <w:rsid w:val="10606219"/>
    <w:rsid w:val="106139C9"/>
    <w:rsid w:val="10A454D7"/>
    <w:rsid w:val="10C30095"/>
    <w:rsid w:val="10CA7D47"/>
    <w:rsid w:val="10E459FB"/>
    <w:rsid w:val="1113664E"/>
    <w:rsid w:val="111B0325"/>
    <w:rsid w:val="12C34A88"/>
    <w:rsid w:val="12DB3D6E"/>
    <w:rsid w:val="12F35D49"/>
    <w:rsid w:val="132378EF"/>
    <w:rsid w:val="135F2A62"/>
    <w:rsid w:val="145755CB"/>
    <w:rsid w:val="14AE4B1F"/>
    <w:rsid w:val="156E6CE8"/>
    <w:rsid w:val="157B75AD"/>
    <w:rsid w:val="15AF369A"/>
    <w:rsid w:val="15C11E76"/>
    <w:rsid w:val="17515952"/>
    <w:rsid w:val="175F2F06"/>
    <w:rsid w:val="17755461"/>
    <w:rsid w:val="18383533"/>
    <w:rsid w:val="185F4AB1"/>
    <w:rsid w:val="18AB2F72"/>
    <w:rsid w:val="18B8052A"/>
    <w:rsid w:val="190D676E"/>
    <w:rsid w:val="19236BFA"/>
    <w:rsid w:val="192F2B88"/>
    <w:rsid w:val="194128BC"/>
    <w:rsid w:val="19676718"/>
    <w:rsid w:val="19A538C6"/>
    <w:rsid w:val="19B47F9B"/>
    <w:rsid w:val="19EE11A8"/>
    <w:rsid w:val="1A2C5BCD"/>
    <w:rsid w:val="1AF34B1C"/>
    <w:rsid w:val="1AF925DC"/>
    <w:rsid w:val="1B28329F"/>
    <w:rsid w:val="1B591EA9"/>
    <w:rsid w:val="1B5C4BFD"/>
    <w:rsid w:val="1B6E5DE3"/>
    <w:rsid w:val="1B8E2C9D"/>
    <w:rsid w:val="1BC05B5E"/>
    <w:rsid w:val="1BEF9663"/>
    <w:rsid w:val="1BFE6473"/>
    <w:rsid w:val="1C1442B7"/>
    <w:rsid w:val="1C2E6B04"/>
    <w:rsid w:val="1C5D70E9"/>
    <w:rsid w:val="1C6A2129"/>
    <w:rsid w:val="1CA92C52"/>
    <w:rsid w:val="1CE745BA"/>
    <w:rsid w:val="1D735B49"/>
    <w:rsid w:val="1D7C737F"/>
    <w:rsid w:val="1D8120FB"/>
    <w:rsid w:val="1D9C602E"/>
    <w:rsid w:val="1E00424A"/>
    <w:rsid w:val="1E3A77DE"/>
    <w:rsid w:val="1E3D0FA4"/>
    <w:rsid w:val="1E5272D6"/>
    <w:rsid w:val="1E805AA9"/>
    <w:rsid w:val="1E946CF4"/>
    <w:rsid w:val="1E9F23AF"/>
    <w:rsid w:val="1EA92AF3"/>
    <w:rsid w:val="1F3D38F6"/>
    <w:rsid w:val="1F552389"/>
    <w:rsid w:val="1F693DFC"/>
    <w:rsid w:val="1F7C3AA9"/>
    <w:rsid w:val="207F74A8"/>
    <w:rsid w:val="209E2A46"/>
    <w:rsid w:val="20A3612D"/>
    <w:rsid w:val="21153713"/>
    <w:rsid w:val="22185ECF"/>
    <w:rsid w:val="22286C0E"/>
    <w:rsid w:val="222E4DD2"/>
    <w:rsid w:val="22F96DEE"/>
    <w:rsid w:val="23945B8F"/>
    <w:rsid w:val="23B8178F"/>
    <w:rsid w:val="23DB1822"/>
    <w:rsid w:val="23E5206A"/>
    <w:rsid w:val="24FE365E"/>
    <w:rsid w:val="25076DCD"/>
    <w:rsid w:val="25085159"/>
    <w:rsid w:val="25125E0C"/>
    <w:rsid w:val="26031CCF"/>
    <w:rsid w:val="26050030"/>
    <w:rsid w:val="264C4E51"/>
    <w:rsid w:val="26ED40AB"/>
    <w:rsid w:val="271436BE"/>
    <w:rsid w:val="27C03D6A"/>
    <w:rsid w:val="27C960A8"/>
    <w:rsid w:val="28183C98"/>
    <w:rsid w:val="286A73F6"/>
    <w:rsid w:val="28A62365"/>
    <w:rsid w:val="28B65E35"/>
    <w:rsid w:val="28DD4FD7"/>
    <w:rsid w:val="29114B38"/>
    <w:rsid w:val="291A2453"/>
    <w:rsid w:val="29AF0813"/>
    <w:rsid w:val="2A406566"/>
    <w:rsid w:val="2A622D30"/>
    <w:rsid w:val="2AAD1B0F"/>
    <w:rsid w:val="2ABD5EE7"/>
    <w:rsid w:val="2AF507E5"/>
    <w:rsid w:val="2AF75169"/>
    <w:rsid w:val="2B386292"/>
    <w:rsid w:val="2B6D3002"/>
    <w:rsid w:val="2C783060"/>
    <w:rsid w:val="2C7F03F5"/>
    <w:rsid w:val="2C9B25E3"/>
    <w:rsid w:val="2CA86FA2"/>
    <w:rsid w:val="2CCF0424"/>
    <w:rsid w:val="2CD71546"/>
    <w:rsid w:val="2CD87D48"/>
    <w:rsid w:val="2CE01732"/>
    <w:rsid w:val="2D0B0DBF"/>
    <w:rsid w:val="2D4E3251"/>
    <w:rsid w:val="2D6128FB"/>
    <w:rsid w:val="2D660092"/>
    <w:rsid w:val="2D6800A6"/>
    <w:rsid w:val="2DAD1E76"/>
    <w:rsid w:val="2DAD6700"/>
    <w:rsid w:val="2DF42E65"/>
    <w:rsid w:val="2E0E37DF"/>
    <w:rsid w:val="2E227539"/>
    <w:rsid w:val="2FBB22D7"/>
    <w:rsid w:val="2FF50698"/>
    <w:rsid w:val="2FF84291"/>
    <w:rsid w:val="30080A01"/>
    <w:rsid w:val="303845F7"/>
    <w:rsid w:val="303A341A"/>
    <w:rsid w:val="306F6F50"/>
    <w:rsid w:val="30946DC7"/>
    <w:rsid w:val="30C23716"/>
    <w:rsid w:val="30CB63CD"/>
    <w:rsid w:val="315D723F"/>
    <w:rsid w:val="319E2E7C"/>
    <w:rsid w:val="31CB5550"/>
    <w:rsid w:val="322158DB"/>
    <w:rsid w:val="322F72FD"/>
    <w:rsid w:val="326C67DD"/>
    <w:rsid w:val="32786BD0"/>
    <w:rsid w:val="32AB3839"/>
    <w:rsid w:val="32B66A7F"/>
    <w:rsid w:val="32D0288E"/>
    <w:rsid w:val="330122F8"/>
    <w:rsid w:val="33393327"/>
    <w:rsid w:val="334E0780"/>
    <w:rsid w:val="33525A2D"/>
    <w:rsid w:val="33915A30"/>
    <w:rsid w:val="3405416F"/>
    <w:rsid w:val="34316DD9"/>
    <w:rsid w:val="34476AC9"/>
    <w:rsid w:val="34A65A78"/>
    <w:rsid w:val="34D42053"/>
    <w:rsid w:val="351D53E5"/>
    <w:rsid w:val="35597A34"/>
    <w:rsid w:val="35635827"/>
    <w:rsid w:val="358D5C62"/>
    <w:rsid w:val="35AC33C3"/>
    <w:rsid w:val="35B3F57F"/>
    <w:rsid w:val="36064819"/>
    <w:rsid w:val="36971640"/>
    <w:rsid w:val="36D304B7"/>
    <w:rsid w:val="36E1167E"/>
    <w:rsid w:val="370F21EE"/>
    <w:rsid w:val="374A08A8"/>
    <w:rsid w:val="375B2943"/>
    <w:rsid w:val="37A67475"/>
    <w:rsid w:val="37D71198"/>
    <w:rsid w:val="383721ED"/>
    <w:rsid w:val="3863754A"/>
    <w:rsid w:val="38731872"/>
    <w:rsid w:val="38953E1E"/>
    <w:rsid w:val="38996B76"/>
    <w:rsid w:val="38F13920"/>
    <w:rsid w:val="394D36BD"/>
    <w:rsid w:val="39BD313E"/>
    <w:rsid w:val="39D52E1F"/>
    <w:rsid w:val="39DA3FF3"/>
    <w:rsid w:val="3A0944E7"/>
    <w:rsid w:val="3A127C30"/>
    <w:rsid w:val="3A5F4B34"/>
    <w:rsid w:val="3A68306B"/>
    <w:rsid w:val="3A8E4B85"/>
    <w:rsid w:val="3AE96209"/>
    <w:rsid w:val="3AFC20F4"/>
    <w:rsid w:val="3B4C57E7"/>
    <w:rsid w:val="3B767A17"/>
    <w:rsid w:val="3B84690C"/>
    <w:rsid w:val="3C011F5A"/>
    <w:rsid w:val="3C1202CC"/>
    <w:rsid w:val="3C593BD5"/>
    <w:rsid w:val="3C6F3118"/>
    <w:rsid w:val="3C7007E2"/>
    <w:rsid w:val="3CD379DC"/>
    <w:rsid w:val="3CF57A03"/>
    <w:rsid w:val="3CF724F3"/>
    <w:rsid w:val="3D346BA3"/>
    <w:rsid w:val="3D436353"/>
    <w:rsid w:val="3D691D46"/>
    <w:rsid w:val="3DE043F9"/>
    <w:rsid w:val="3E1C7E05"/>
    <w:rsid w:val="3E714BEE"/>
    <w:rsid w:val="3E7B7F91"/>
    <w:rsid w:val="3E813130"/>
    <w:rsid w:val="3EADED03"/>
    <w:rsid w:val="3EC2309F"/>
    <w:rsid w:val="3EE52BC1"/>
    <w:rsid w:val="3F474B51"/>
    <w:rsid w:val="3F740A45"/>
    <w:rsid w:val="3F7451F1"/>
    <w:rsid w:val="3FB543D0"/>
    <w:rsid w:val="40036490"/>
    <w:rsid w:val="402143A1"/>
    <w:rsid w:val="402D1DBB"/>
    <w:rsid w:val="40D3494B"/>
    <w:rsid w:val="41404ED1"/>
    <w:rsid w:val="41743195"/>
    <w:rsid w:val="417C1382"/>
    <w:rsid w:val="41C91752"/>
    <w:rsid w:val="41D50C39"/>
    <w:rsid w:val="424610AD"/>
    <w:rsid w:val="43010842"/>
    <w:rsid w:val="4326474D"/>
    <w:rsid w:val="432E715D"/>
    <w:rsid w:val="43FF77FF"/>
    <w:rsid w:val="44330765"/>
    <w:rsid w:val="446077EA"/>
    <w:rsid w:val="44A95583"/>
    <w:rsid w:val="44C61D43"/>
    <w:rsid w:val="45356B63"/>
    <w:rsid w:val="453F0FEE"/>
    <w:rsid w:val="454D6252"/>
    <w:rsid w:val="45995A03"/>
    <w:rsid w:val="45C56907"/>
    <w:rsid w:val="45DD4BCF"/>
    <w:rsid w:val="46B9564B"/>
    <w:rsid w:val="46F01133"/>
    <w:rsid w:val="470030EB"/>
    <w:rsid w:val="471643E8"/>
    <w:rsid w:val="4743767B"/>
    <w:rsid w:val="476B1023"/>
    <w:rsid w:val="47DA3887"/>
    <w:rsid w:val="48095A2A"/>
    <w:rsid w:val="482C4853"/>
    <w:rsid w:val="48FB5D34"/>
    <w:rsid w:val="495546C7"/>
    <w:rsid w:val="49A64F9E"/>
    <w:rsid w:val="49AE5E23"/>
    <w:rsid w:val="49E14211"/>
    <w:rsid w:val="4A245BEF"/>
    <w:rsid w:val="4A514110"/>
    <w:rsid w:val="4A7844B5"/>
    <w:rsid w:val="4AD17F8D"/>
    <w:rsid w:val="4B0338F6"/>
    <w:rsid w:val="4B737BB0"/>
    <w:rsid w:val="4BC97E76"/>
    <w:rsid w:val="4C3C0F3C"/>
    <w:rsid w:val="4C5E2892"/>
    <w:rsid w:val="4C9328F6"/>
    <w:rsid w:val="4CCA6AC5"/>
    <w:rsid w:val="4CD41F47"/>
    <w:rsid w:val="4CF46FC1"/>
    <w:rsid w:val="4D1711DE"/>
    <w:rsid w:val="4D3F01E3"/>
    <w:rsid w:val="4DCF58B5"/>
    <w:rsid w:val="4E350CC6"/>
    <w:rsid w:val="4E370D61"/>
    <w:rsid w:val="4E652615"/>
    <w:rsid w:val="4EA00AF6"/>
    <w:rsid w:val="4FA57B27"/>
    <w:rsid w:val="4FAC5863"/>
    <w:rsid w:val="4FF96FDB"/>
    <w:rsid w:val="502532EF"/>
    <w:rsid w:val="505B4A64"/>
    <w:rsid w:val="5074136C"/>
    <w:rsid w:val="50E174FF"/>
    <w:rsid w:val="51201974"/>
    <w:rsid w:val="515F20B8"/>
    <w:rsid w:val="51B24008"/>
    <w:rsid w:val="523425A3"/>
    <w:rsid w:val="5263037D"/>
    <w:rsid w:val="53251900"/>
    <w:rsid w:val="535D766F"/>
    <w:rsid w:val="539E6ED0"/>
    <w:rsid w:val="53AE2320"/>
    <w:rsid w:val="541231B6"/>
    <w:rsid w:val="5461491C"/>
    <w:rsid w:val="5463295C"/>
    <w:rsid w:val="548E0B95"/>
    <w:rsid w:val="54CA712B"/>
    <w:rsid w:val="54CC4308"/>
    <w:rsid w:val="54D3051C"/>
    <w:rsid w:val="54FD2527"/>
    <w:rsid w:val="55701EE7"/>
    <w:rsid w:val="55AE776F"/>
    <w:rsid w:val="55F136BA"/>
    <w:rsid w:val="57810ADD"/>
    <w:rsid w:val="57826FAF"/>
    <w:rsid w:val="57C843EC"/>
    <w:rsid w:val="57D57CC4"/>
    <w:rsid w:val="57D60097"/>
    <w:rsid w:val="580E762D"/>
    <w:rsid w:val="58226FD1"/>
    <w:rsid w:val="582F63BA"/>
    <w:rsid w:val="588F3D3D"/>
    <w:rsid w:val="58CD1E56"/>
    <w:rsid w:val="58DC695F"/>
    <w:rsid w:val="59E25D87"/>
    <w:rsid w:val="59E57951"/>
    <w:rsid w:val="5A1924BD"/>
    <w:rsid w:val="5A407DB3"/>
    <w:rsid w:val="5A647270"/>
    <w:rsid w:val="5A830B68"/>
    <w:rsid w:val="5AAE7485"/>
    <w:rsid w:val="5ACB37EF"/>
    <w:rsid w:val="5B4F7D18"/>
    <w:rsid w:val="5B825055"/>
    <w:rsid w:val="5B864F1F"/>
    <w:rsid w:val="5B9D6B62"/>
    <w:rsid w:val="5BB12D04"/>
    <w:rsid w:val="5BCE7050"/>
    <w:rsid w:val="5BD13050"/>
    <w:rsid w:val="5C3235F1"/>
    <w:rsid w:val="5C4C26D6"/>
    <w:rsid w:val="5C837434"/>
    <w:rsid w:val="5CAC4D2B"/>
    <w:rsid w:val="5D032CF0"/>
    <w:rsid w:val="5D0977C1"/>
    <w:rsid w:val="5D1F1B0B"/>
    <w:rsid w:val="5D320547"/>
    <w:rsid w:val="5D431E9C"/>
    <w:rsid w:val="5D9D535C"/>
    <w:rsid w:val="5E30786B"/>
    <w:rsid w:val="5E3A52FB"/>
    <w:rsid w:val="5EB639EF"/>
    <w:rsid w:val="5EC7073A"/>
    <w:rsid w:val="5F456062"/>
    <w:rsid w:val="5FF249EF"/>
    <w:rsid w:val="5FF62DBD"/>
    <w:rsid w:val="600B656E"/>
    <w:rsid w:val="60597A1B"/>
    <w:rsid w:val="606B2625"/>
    <w:rsid w:val="60B46A9C"/>
    <w:rsid w:val="61483C25"/>
    <w:rsid w:val="61C26203"/>
    <w:rsid w:val="61FB17B3"/>
    <w:rsid w:val="62190D6E"/>
    <w:rsid w:val="626D05A3"/>
    <w:rsid w:val="62885157"/>
    <w:rsid w:val="62CE3148"/>
    <w:rsid w:val="62D306D9"/>
    <w:rsid w:val="62D53F3A"/>
    <w:rsid w:val="62EC1FFF"/>
    <w:rsid w:val="639B3344"/>
    <w:rsid w:val="63CA1543"/>
    <w:rsid w:val="641D6FA7"/>
    <w:rsid w:val="642A1DDA"/>
    <w:rsid w:val="648278F9"/>
    <w:rsid w:val="64DA4ED6"/>
    <w:rsid w:val="64EC49C1"/>
    <w:rsid w:val="64EC711E"/>
    <w:rsid w:val="6565713D"/>
    <w:rsid w:val="664479B4"/>
    <w:rsid w:val="66866E91"/>
    <w:rsid w:val="66A23A86"/>
    <w:rsid w:val="67392CA1"/>
    <w:rsid w:val="67CD5013"/>
    <w:rsid w:val="67DA4F59"/>
    <w:rsid w:val="681D48E0"/>
    <w:rsid w:val="685A7E68"/>
    <w:rsid w:val="685E4764"/>
    <w:rsid w:val="69042F73"/>
    <w:rsid w:val="691C52DA"/>
    <w:rsid w:val="69341D96"/>
    <w:rsid w:val="696134D8"/>
    <w:rsid w:val="696815BE"/>
    <w:rsid w:val="69920367"/>
    <w:rsid w:val="69ED72FB"/>
    <w:rsid w:val="6A0E0E84"/>
    <w:rsid w:val="6A19076E"/>
    <w:rsid w:val="6A8A6A9D"/>
    <w:rsid w:val="6ACF606C"/>
    <w:rsid w:val="6B3A7F02"/>
    <w:rsid w:val="6B883DC0"/>
    <w:rsid w:val="6B8D2D42"/>
    <w:rsid w:val="6BCA0B67"/>
    <w:rsid w:val="6BDE0BE5"/>
    <w:rsid w:val="6C286AE2"/>
    <w:rsid w:val="6C44161C"/>
    <w:rsid w:val="6C6E761A"/>
    <w:rsid w:val="6D1F4B77"/>
    <w:rsid w:val="6D2E6B97"/>
    <w:rsid w:val="6D8223FC"/>
    <w:rsid w:val="6D940134"/>
    <w:rsid w:val="6E0D2249"/>
    <w:rsid w:val="6E301E58"/>
    <w:rsid w:val="6E6614EF"/>
    <w:rsid w:val="6EA83EA0"/>
    <w:rsid w:val="6EC9618D"/>
    <w:rsid w:val="6F3B520E"/>
    <w:rsid w:val="6F871717"/>
    <w:rsid w:val="6F87409D"/>
    <w:rsid w:val="701575AC"/>
    <w:rsid w:val="70493993"/>
    <w:rsid w:val="706D12CD"/>
    <w:rsid w:val="709578E2"/>
    <w:rsid w:val="70D25C6C"/>
    <w:rsid w:val="70DA0B0C"/>
    <w:rsid w:val="710650F2"/>
    <w:rsid w:val="712F2CA6"/>
    <w:rsid w:val="71357785"/>
    <w:rsid w:val="713B23AB"/>
    <w:rsid w:val="71AB5C99"/>
    <w:rsid w:val="71C261BE"/>
    <w:rsid w:val="721B0316"/>
    <w:rsid w:val="724759C2"/>
    <w:rsid w:val="72C423ED"/>
    <w:rsid w:val="72E750A9"/>
    <w:rsid w:val="73292AF0"/>
    <w:rsid w:val="73321ED2"/>
    <w:rsid w:val="733F7BB9"/>
    <w:rsid w:val="73697E40"/>
    <w:rsid w:val="73B0553E"/>
    <w:rsid w:val="73B3262D"/>
    <w:rsid w:val="73F60B09"/>
    <w:rsid w:val="748A00E6"/>
    <w:rsid w:val="74B51C26"/>
    <w:rsid w:val="74D053FB"/>
    <w:rsid w:val="74E34EF9"/>
    <w:rsid w:val="7527021C"/>
    <w:rsid w:val="75AF4DA0"/>
    <w:rsid w:val="76117AFB"/>
    <w:rsid w:val="763B6C1E"/>
    <w:rsid w:val="7660657F"/>
    <w:rsid w:val="76D31F09"/>
    <w:rsid w:val="77481D6B"/>
    <w:rsid w:val="7777A34F"/>
    <w:rsid w:val="778A052A"/>
    <w:rsid w:val="77A05B6A"/>
    <w:rsid w:val="77CA5E4C"/>
    <w:rsid w:val="78A911F5"/>
    <w:rsid w:val="78C32A04"/>
    <w:rsid w:val="792F78A1"/>
    <w:rsid w:val="79F24DF4"/>
    <w:rsid w:val="79F25580"/>
    <w:rsid w:val="7A063731"/>
    <w:rsid w:val="7A0B3779"/>
    <w:rsid w:val="7A567F6D"/>
    <w:rsid w:val="7A8B380A"/>
    <w:rsid w:val="7A9674E6"/>
    <w:rsid w:val="7AA65250"/>
    <w:rsid w:val="7AB2447B"/>
    <w:rsid w:val="7AB943EA"/>
    <w:rsid w:val="7AF4285A"/>
    <w:rsid w:val="7B21165B"/>
    <w:rsid w:val="7B482B62"/>
    <w:rsid w:val="7B4E0BD3"/>
    <w:rsid w:val="7BB18CF9"/>
    <w:rsid w:val="7BBFEF89"/>
    <w:rsid w:val="7C49573D"/>
    <w:rsid w:val="7CC7D3FC"/>
    <w:rsid w:val="7CD9190C"/>
    <w:rsid w:val="7D0719F6"/>
    <w:rsid w:val="7D6C49B3"/>
    <w:rsid w:val="7D81366D"/>
    <w:rsid w:val="7D8D0D86"/>
    <w:rsid w:val="7DDBFBAD"/>
    <w:rsid w:val="7E6751C5"/>
    <w:rsid w:val="7E703649"/>
    <w:rsid w:val="7EE4F847"/>
    <w:rsid w:val="7EFEEDF4"/>
    <w:rsid w:val="7F56086C"/>
    <w:rsid w:val="7F6C68B8"/>
    <w:rsid w:val="7F9FA47D"/>
    <w:rsid w:val="7FA039E2"/>
    <w:rsid w:val="7FAB129A"/>
    <w:rsid w:val="7FFE9981"/>
    <w:rsid w:val="9AAFF4FE"/>
    <w:rsid w:val="BDD75881"/>
    <w:rsid w:val="BE57EF97"/>
    <w:rsid w:val="C7FFC58D"/>
    <w:rsid w:val="CFBB3297"/>
    <w:rsid w:val="FEEFAE1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qFormat="1" w:unhideWhenUsed="0" w:uiPriority="99" w:name="index 7"/>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qFormat="1" w:unhideWhenUsed="0" w:uiPriority="0" w:semiHidden="0"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0" w:semiHidden="0" w:name="Salutation" w:locked="1"/>
    <w:lsdException w:qFormat="1" w:unhideWhenUsed="0" w:uiPriority="99" w:semiHidden="0" w:name="Date"/>
    <w:lsdException w:qFormat="1" w:uiPriority="99" w:semiHidden="0"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iPriority="99" w:name="FollowedHyperlink" w:locked="1"/>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iPriority="99" w:name="HTML Cite" w:locked="1"/>
    <w:lsdException w:qFormat="1" w:uiPriority="99" w:name="HTML Code" w:locked="1"/>
    <w:lsdException w:qFormat="1"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qFormat="1"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70"/>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61"/>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84"/>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63"/>
    <w:qFormat/>
    <w:uiPriority w:val="99"/>
    <w:pPr>
      <w:keepNext/>
      <w:keepLines/>
      <w:spacing w:before="260" w:after="260" w:line="416" w:lineRule="auto"/>
      <w:outlineLvl w:val="2"/>
    </w:pPr>
    <w:rPr>
      <w:b/>
      <w:bCs/>
      <w:sz w:val="32"/>
      <w:szCs w:val="32"/>
    </w:rPr>
  </w:style>
  <w:style w:type="paragraph" w:styleId="5">
    <w:name w:val="heading 4"/>
    <w:basedOn w:val="1"/>
    <w:next w:val="1"/>
    <w:link w:val="64"/>
    <w:qFormat/>
    <w:uiPriority w:val="99"/>
    <w:pPr>
      <w:keepNext/>
      <w:keepLines/>
      <w:spacing w:before="280" w:after="290" w:line="372" w:lineRule="auto"/>
      <w:outlineLvl w:val="3"/>
    </w:pPr>
    <w:rPr>
      <w:rFonts w:ascii="Arial" w:hAnsi="Arial" w:eastAsia="黑体" w:cs="Arial"/>
      <w:b/>
      <w:bCs/>
      <w:sz w:val="28"/>
      <w:szCs w:val="28"/>
    </w:rPr>
  </w:style>
  <w:style w:type="paragraph" w:styleId="6">
    <w:name w:val="heading 5"/>
    <w:basedOn w:val="1"/>
    <w:next w:val="1"/>
    <w:link w:val="65"/>
    <w:qFormat/>
    <w:uiPriority w:val="99"/>
    <w:pPr>
      <w:keepNext/>
      <w:keepLines/>
      <w:spacing w:before="280" w:after="290" w:line="372" w:lineRule="auto"/>
      <w:outlineLvl w:val="4"/>
    </w:pPr>
    <w:rPr>
      <w:b/>
      <w:bCs/>
      <w:sz w:val="28"/>
      <w:szCs w:val="28"/>
    </w:rPr>
  </w:style>
  <w:style w:type="paragraph" w:styleId="7">
    <w:name w:val="heading 6"/>
    <w:basedOn w:val="1"/>
    <w:next w:val="1"/>
    <w:link w:val="66"/>
    <w:qFormat/>
    <w:uiPriority w:val="99"/>
    <w:pPr>
      <w:keepNext/>
      <w:keepLines/>
      <w:spacing w:before="240" w:after="64" w:line="317" w:lineRule="auto"/>
      <w:outlineLvl w:val="5"/>
    </w:pPr>
    <w:rPr>
      <w:rFonts w:ascii="Cambria" w:hAnsi="Cambria" w:cs="Cambria"/>
      <w:b/>
      <w:bCs/>
      <w:sz w:val="24"/>
      <w:szCs w:val="24"/>
    </w:rPr>
  </w:style>
  <w:style w:type="paragraph" w:styleId="8">
    <w:name w:val="heading 7"/>
    <w:basedOn w:val="1"/>
    <w:next w:val="1"/>
    <w:link w:val="67"/>
    <w:qFormat/>
    <w:uiPriority w:val="99"/>
    <w:pPr>
      <w:keepNext/>
      <w:keepLines/>
      <w:spacing w:before="240" w:after="64" w:line="317" w:lineRule="auto"/>
      <w:outlineLvl w:val="6"/>
    </w:pPr>
    <w:rPr>
      <w:rFonts w:ascii="Calibri" w:hAnsi="Calibri" w:cs="Calibri"/>
      <w:b/>
      <w:bCs/>
      <w:sz w:val="24"/>
      <w:szCs w:val="24"/>
    </w:rPr>
  </w:style>
  <w:style w:type="paragraph" w:styleId="9">
    <w:name w:val="heading 8"/>
    <w:basedOn w:val="1"/>
    <w:next w:val="1"/>
    <w:link w:val="68"/>
    <w:qFormat/>
    <w:uiPriority w:val="99"/>
    <w:pPr>
      <w:keepNext/>
      <w:keepLines/>
      <w:spacing w:before="240" w:after="64" w:line="317" w:lineRule="auto"/>
      <w:outlineLvl w:val="7"/>
    </w:pPr>
    <w:rPr>
      <w:rFonts w:ascii="Cambria" w:hAnsi="Cambria" w:cs="Cambria"/>
      <w:sz w:val="24"/>
      <w:szCs w:val="24"/>
    </w:rPr>
  </w:style>
  <w:style w:type="paragraph" w:styleId="10">
    <w:name w:val="heading 9"/>
    <w:basedOn w:val="1"/>
    <w:next w:val="1"/>
    <w:link w:val="69"/>
    <w:qFormat/>
    <w:uiPriority w:val="99"/>
    <w:pPr>
      <w:keepNext/>
      <w:keepLines/>
      <w:spacing w:before="240" w:after="64" w:line="317" w:lineRule="auto"/>
      <w:outlineLvl w:val="8"/>
    </w:pPr>
    <w:rPr>
      <w:rFonts w:ascii="Cambria" w:hAnsi="Cambria" w:cs="Cambria"/>
    </w:rPr>
  </w:style>
  <w:style w:type="character" w:default="1" w:styleId="46">
    <w:name w:val="Default Paragraph Font"/>
    <w:semiHidden/>
    <w:qFormat/>
    <w:uiPriority w:val="99"/>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99"/>
    <w:pPr>
      <w:ind w:left="2520" w:leftChars="1200"/>
    </w:pPr>
    <w:rPr>
      <w:rFonts w:ascii="Calibri" w:hAnsi="Calibri" w:cs="Calibri"/>
    </w:rPr>
  </w:style>
  <w:style w:type="paragraph" w:styleId="12">
    <w:name w:val="Normal Indent"/>
    <w:basedOn w:val="1"/>
    <w:link w:val="91"/>
    <w:qFormat/>
    <w:uiPriority w:val="99"/>
    <w:pPr>
      <w:ind w:firstLine="420" w:firstLineChars="200"/>
    </w:pPr>
    <w:rPr>
      <w:kern w:val="0"/>
      <w:sz w:val="24"/>
      <w:szCs w:val="24"/>
    </w:rPr>
  </w:style>
  <w:style w:type="paragraph" w:styleId="13">
    <w:name w:val="caption"/>
    <w:basedOn w:val="1"/>
    <w:next w:val="1"/>
    <w:qFormat/>
    <w:uiPriority w:val="99"/>
    <w:pPr>
      <w:ind w:firstLine="6290" w:firstLineChars="2282"/>
    </w:pPr>
    <w:rPr>
      <w:b/>
      <w:bCs/>
      <w:color w:val="000080"/>
      <w:sz w:val="28"/>
      <w:szCs w:val="28"/>
    </w:rPr>
  </w:style>
  <w:style w:type="paragraph" w:styleId="14">
    <w:name w:val="Document Map"/>
    <w:basedOn w:val="1"/>
    <w:link w:val="70"/>
    <w:semiHidden/>
    <w:qFormat/>
    <w:uiPriority w:val="99"/>
    <w:rPr>
      <w:rFonts w:ascii="宋体" w:cs="宋体"/>
      <w:sz w:val="18"/>
      <w:szCs w:val="18"/>
    </w:rPr>
  </w:style>
  <w:style w:type="paragraph" w:styleId="15">
    <w:name w:val="annotation text"/>
    <w:basedOn w:val="1"/>
    <w:link w:val="71"/>
    <w:semiHidden/>
    <w:qFormat/>
    <w:uiPriority w:val="99"/>
    <w:pPr>
      <w:jc w:val="left"/>
    </w:pPr>
    <w:rPr>
      <w:rFonts w:ascii="Calibri" w:hAnsi="Calibri" w:cs="Calibri"/>
      <w:sz w:val="18"/>
      <w:szCs w:val="18"/>
    </w:rPr>
  </w:style>
  <w:style w:type="paragraph" w:styleId="16">
    <w:name w:val="Salutation"/>
    <w:basedOn w:val="1"/>
    <w:next w:val="1"/>
    <w:qFormat/>
    <w:locked/>
    <w:uiPriority w:val="0"/>
    <w:rPr>
      <w:rFonts w:ascii="Times New Roman" w:hAnsi="Times New Roman"/>
    </w:rPr>
  </w:style>
  <w:style w:type="paragraph" w:styleId="17">
    <w:name w:val="Body Text"/>
    <w:basedOn w:val="1"/>
    <w:next w:val="1"/>
    <w:link w:val="72"/>
    <w:qFormat/>
    <w:uiPriority w:val="99"/>
    <w:pPr>
      <w:spacing w:after="120"/>
    </w:pPr>
  </w:style>
  <w:style w:type="paragraph" w:styleId="18">
    <w:name w:val="Body Text Indent"/>
    <w:basedOn w:val="1"/>
    <w:link w:val="73"/>
    <w:qFormat/>
    <w:uiPriority w:val="99"/>
    <w:pPr>
      <w:ind w:firstLine="630"/>
    </w:pPr>
    <w:rPr>
      <w:sz w:val="32"/>
      <w:szCs w:val="32"/>
    </w:rPr>
  </w:style>
  <w:style w:type="paragraph" w:styleId="19">
    <w:name w:val="List 2"/>
    <w:basedOn w:val="1"/>
    <w:qFormat/>
    <w:locked/>
    <w:uiPriority w:val="0"/>
    <w:pPr>
      <w:ind w:left="100" w:leftChars="200" w:hanging="200" w:hangingChars="200"/>
    </w:pPr>
  </w:style>
  <w:style w:type="paragraph" w:styleId="20">
    <w:name w:val="index 4"/>
    <w:basedOn w:val="1"/>
    <w:next w:val="1"/>
    <w:semiHidden/>
    <w:qFormat/>
    <w:uiPriority w:val="99"/>
    <w:pPr>
      <w:ind w:left="600" w:leftChars="600"/>
    </w:pPr>
  </w:style>
  <w:style w:type="paragraph" w:styleId="21">
    <w:name w:val="toc 5"/>
    <w:basedOn w:val="1"/>
    <w:next w:val="1"/>
    <w:semiHidden/>
    <w:qFormat/>
    <w:uiPriority w:val="99"/>
    <w:pPr>
      <w:tabs>
        <w:tab w:val="right" w:leader="dot" w:pos="8296"/>
      </w:tabs>
      <w:ind w:left="1050" w:leftChars="500"/>
    </w:pPr>
    <w:rPr>
      <w:rFonts w:ascii="Calibri" w:hAnsi="Calibri" w:cs="Calibri"/>
    </w:rPr>
  </w:style>
  <w:style w:type="paragraph" w:styleId="22">
    <w:name w:val="toc 3"/>
    <w:basedOn w:val="1"/>
    <w:next w:val="1"/>
    <w:semiHidden/>
    <w:qFormat/>
    <w:uiPriority w:val="99"/>
    <w:pPr>
      <w:ind w:left="840" w:leftChars="400"/>
    </w:pPr>
  </w:style>
  <w:style w:type="paragraph" w:styleId="23">
    <w:name w:val="Plain Text"/>
    <w:basedOn w:val="1"/>
    <w:link w:val="74"/>
    <w:qFormat/>
    <w:uiPriority w:val="99"/>
    <w:pPr>
      <w:autoSpaceDE w:val="0"/>
      <w:autoSpaceDN w:val="0"/>
      <w:adjustRightInd w:val="0"/>
    </w:pPr>
    <w:rPr>
      <w:rFonts w:ascii="宋体" w:hAnsi="Tms Rmn" w:cs="宋体"/>
    </w:rPr>
  </w:style>
  <w:style w:type="paragraph" w:styleId="24">
    <w:name w:val="toc 8"/>
    <w:basedOn w:val="1"/>
    <w:next w:val="1"/>
    <w:semiHidden/>
    <w:qFormat/>
    <w:uiPriority w:val="99"/>
    <w:pPr>
      <w:ind w:left="2940" w:leftChars="1400"/>
    </w:pPr>
    <w:rPr>
      <w:rFonts w:ascii="Calibri" w:hAnsi="Calibri" w:cs="Calibri"/>
    </w:rPr>
  </w:style>
  <w:style w:type="paragraph" w:styleId="25">
    <w:name w:val="Date"/>
    <w:basedOn w:val="1"/>
    <w:next w:val="1"/>
    <w:link w:val="75"/>
    <w:qFormat/>
    <w:uiPriority w:val="99"/>
  </w:style>
  <w:style w:type="paragraph" w:styleId="26">
    <w:name w:val="Body Text Indent 2"/>
    <w:basedOn w:val="1"/>
    <w:link w:val="76"/>
    <w:qFormat/>
    <w:uiPriority w:val="99"/>
    <w:pPr>
      <w:spacing w:after="120" w:line="480" w:lineRule="auto"/>
      <w:ind w:left="420" w:leftChars="200"/>
    </w:pPr>
  </w:style>
  <w:style w:type="paragraph" w:styleId="27">
    <w:name w:val="Balloon Text"/>
    <w:basedOn w:val="1"/>
    <w:link w:val="77"/>
    <w:semiHidden/>
    <w:qFormat/>
    <w:uiPriority w:val="99"/>
    <w:rPr>
      <w:sz w:val="18"/>
      <w:szCs w:val="18"/>
    </w:rPr>
  </w:style>
  <w:style w:type="paragraph" w:styleId="28">
    <w:name w:val="footer"/>
    <w:basedOn w:val="1"/>
    <w:link w:val="78"/>
    <w:qFormat/>
    <w:uiPriority w:val="99"/>
    <w:pPr>
      <w:tabs>
        <w:tab w:val="center" w:pos="4153"/>
        <w:tab w:val="right" w:pos="8306"/>
      </w:tabs>
      <w:snapToGrid w:val="0"/>
      <w:jc w:val="left"/>
    </w:pPr>
    <w:rPr>
      <w:sz w:val="18"/>
      <w:szCs w:val="18"/>
    </w:rPr>
  </w:style>
  <w:style w:type="paragraph" w:styleId="29">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99"/>
    <w:pPr>
      <w:spacing w:line="480" w:lineRule="auto"/>
    </w:pPr>
    <w:rPr>
      <w:sz w:val="24"/>
      <w:szCs w:val="24"/>
    </w:rPr>
  </w:style>
  <w:style w:type="paragraph" w:styleId="31">
    <w:name w:val="toc 4"/>
    <w:basedOn w:val="1"/>
    <w:next w:val="1"/>
    <w:semiHidden/>
    <w:qFormat/>
    <w:uiPriority w:val="99"/>
    <w:pPr>
      <w:tabs>
        <w:tab w:val="left" w:pos="1890"/>
        <w:tab w:val="right" w:leader="dot" w:pos="8296"/>
      </w:tabs>
      <w:ind w:left="630" w:leftChars="300"/>
    </w:pPr>
    <w:rPr>
      <w:rFonts w:ascii="Calibri" w:hAnsi="Calibri" w:cs="Calibri"/>
    </w:rPr>
  </w:style>
  <w:style w:type="paragraph" w:styleId="32">
    <w:name w:val="Subtitle"/>
    <w:basedOn w:val="1"/>
    <w:next w:val="1"/>
    <w:link w:val="157"/>
    <w:qFormat/>
    <w:uiPriority w:val="99"/>
    <w:pPr>
      <w:spacing w:before="240" w:after="60" w:line="312" w:lineRule="auto"/>
      <w:jc w:val="center"/>
      <w:outlineLvl w:val="1"/>
    </w:pPr>
    <w:rPr>
      <w:rFonts w:ascii="Cambria" w:hAnsi="Cambria" w:cs="Cambria"/>
      <w:b/>
      <w:bCs/>
      <w:kern w:val="28"/>
      <w:sz w:val="32"/>
      <w:szCs w:val="32"/>
    </w:rPr>
  </w:style>
  <w:style w:type="paragraph" w:styleId="33">
    <w:name w:val="toc 6"/>
    <w:basedOn w:val="1"/>
    <w:next w:val="1"/>
    <w:semiHidden/>
    <w:qFormat/>
    <w:uiPriority w:val="99"/>
    <w:pPr>
      <w:ind w:left="2100" w:leftChars="1000"/>
    </w:pPr>
    <w:rPr>
      <w:rFonts w:ascii="Calibri" w:hAnsi="Calibri" w:cs="Calibri"/>
    </w:rPr>
  </w:style>
  <w:style w:type="paragraph" w:styleId="34">
    <w:name w:val="Body Text Indent 3"/>
    <w:basedOn w:val="1"/>
    <w:link w:val="81"/>
    <w:qFormat/>
    <w:uiPriority w:val="99"/>
    <w:pPr>
      <w:spacing w:after="120"/>
      <w:ind w:left="420" w:leftChars="200"/>
    </w:pPr>
    <w:rPr>
      <w:sz w:val="16"/>
      <w:szCs w:val="16"/>
    </w:rPr>
  </w:style>
  <w:style w:type="paragraph" w:styleId="35">
    <w:name w:val="index 7"/>
    <w:basedOn w:val="1"/>
    <w:next w:val="1"/>
    <w:semiHidden/>
    <w:qFormat/>
    <w:uiPriority w:val="99"/>
    <w:pPr>
      <w:ind w:left="1200" w:leftChars="1200"/>
    </w:pPr>
  </w:style>
  <w:style w:type="paragraph" w:styleId="36">
    <w:name w:val="toc 2"/>
    <w:basedOn w:val="1"/>
    <w:next w:val="1"/>
    <w:semiHidden/>
    <w:qFormat/>
    <w:uiPriority w:val="99"/>
    <w:pPr>
      <w:ind w:left="420" w:leftChars="200"/>
    </w:pPr>
  </w:style>
  <w:style w:type="paragraph" w:styleId="37">
    <w:name w:val="toc 9"/>
    <w:basedOn w:val="1"/>
    <w:next w:val="1"/>
    <w:semiHidden/>
    <w:qFormat/>
    <w:uiPriority w:val="99"/>
    <w:pPr>
      <w:ind w:left="3360" w:leftChars="1600"/>
    </w:pPr>
    <w:rPr>
      <w:rFonts w:ascii="Calibri" w:hAnsi="Calibri" w:cs="Calibri"/>
    </w:rPr>
  </w:style>
  <w:style w:type="paragraph" w:styleId="38">
    <w:name w:val="Normal (Web)"/>
    <w:basedOn w:val="1"/>
    <w:qFormat/>
    <w:uiPriority w:val="99"/>
    <w:pPr>
      <w:widowControl/>
      <w:spacing w:before="100" w:beforeAutospacing="1" w:after="100" w:afterAutospacing="1"/>
      <w:jc w:val="left"/>
    </w:pPr>
    <w:rPr>
      <w:rFonts w:ascii="宋体" w:hAnsi="宋体" w:cs="宋体"/>
      <w:kern w:val="0"/>
      <w:sz w:val="18"/>
      <w:szCs w:val="18"/>
    </w:rPr>
  </w:style>
  <w:style w:type="paragraph" w:styleId="39">
    <w:name w:val="Title"/>
    <w:basedOn w:val="1"/>
    <w:next w:val="1"/>
    <w:link w:val="113"/>
    <w:qFormat/>
    <w:uiPriority w:val="99"/>
    <w:pPr>
      <w:spacing w:before="240" w:after="60"/>
      <w:jc w:val="center"/>
      <w:outlineLvl w:val="0"/>
    </w:pPr>
    <w:rPr>
      <w:rFonts w:ascii="Cambria" w:hAnsi="Cambria" w:cs="Cambria"/>
      <w:b/>
      <w:bCs/>
      <w:sz w:val="32"/>
      <w:szCs w:val="32"/>
    </w:rPr>
  </w:style>
  <w:style w:type="paragraph" w:styleId="40">
    <w:name w:val="annotation subject"/>
    <w:basedOn w:val="15"/>
    <w:next w:val="15"/>
    <w:link w:val="83"/>
    <w:semiHidden/>
    <w:qFormat/>
    <w:uiPriority w:val="99"/>
    <w:rPr>
      <w:b/>
      <w:bCs/>
      <w:sz w:val="21"/>
      <w:szCs w:val="21"/>
    </w:rPr>
  </w:style>
  <w:style w:type="paragraph" w:styleId="41">
    <w:name w:val="Body Text First Indent"/>
    <w:basedOn w:val="17"/>
    <w:next w:val="42"/>
    <w:unhideWhenUsed/>
    <w:qFormat/>
    <w:locked/>
    <w:uiPriority w:val="99"/>
    <w:pPr>
      <w:ind w:firstLine="420" w:firstLineChars="100"/>
    </w:pPr>
  </w:style>
  <w:style w:type="paragraph" w:customStyle="1" w:styleId="42">
    <w:name w:val="段落正文"/>
    <w:basedOn w:val="1"/>
    <w:qFormat/>
    <w:uiPriority w:val="0"/>
    <w:pPr>
      <w:spacing w:before="50" w:beforeLines="50" w:line="360" w:lineRule="auto"/>
      <w:ind w:firstLine="200" w:firstLineChars="200"/>
    </w:pPr>
    <w:rPr>
      <w:rFonts w:ascii="Times New Roman" w:hAnsi="Times New Roman"/>
      <w:spacing w:val="2"/>
      <w:sz w:val="24"/>
      <w:szCs w:val="20"/>
    </w:rPr>
  </w:style>
  <w:style w:type="paragraph" w:styleId="43">
    <w:name w:val="Body Text First Indent 2"/>
    <w:basedOn w:val="18"/>
    <w:qFormat/>
    <w:locked/>
    <w:uiPriority w:val="0"/>
    <w:pPr>
      <w:ind w:firstLine="420"/>
    </w:pPr>
  </w:style>
  <w:style w:type="table" w:styleId="45">
    <w:name w:val="Table Grid"/>
    <w:basedOn w:val="44"/>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basedOn w:val="46"/>
    <w:qFormat/>
    <w:uiPriority w:val="99"/>
    <w:rPr>
      <w:b/>
      <w:bCs/>
    </w:rPr>
  </w:style>
  <w:style w:type="character" w:styleId="48">
    <w:name w:val="page number"/>
    <w:basedOn w:val="46"/>
    <w:qFormat/>
    <w:uiPriority w:val="99"/>
  </w:style>
  <w:style w:type="character" w:styleId="49">
    <w:name w:val="FollowedHyperlink"/>
    <w:basedOn w:val="46"/>
    <w:semiHidden/>
    <w:unhideWhenUsed/>
    <w:qFormat/>
    <w:locked/>
    <w:uiPriority w:val="99"/>
    <w:rPr>
      <w:color w:val="3D3D3D"/>
      <w:u w:val="none"/>
    </w:rPr>
  </w:style>
  <w:style w:type="character" w:styleId="50">
    <w:name w:val="Emphasis"/>
    <w:basedOn w:val="46"/>
    <w:qFormat/>
    <w:uiPriority w:val="99"/>
    <w:rPr>
      <w:i/>
      <w:iCs/>
    </w:rPr>
  </w:style>
  <w:style w:type="character" w:styleId="51">
    <w:name w:val="HTML Definition"/>
    <w:basedOn w:val="46"/>
    <w:semiHidden/>
    <w:unhideWhenUsed/>
    <w:qFormat/>
    <w:locked/>
    <w:uiPriority w:val="99"/>
  </w:style>
  <w:style w:type="character" w:styleId="52">
    <w:name w:val="HTML Variable"/>
    <w:basedOn w:val="46"/>
    <w:semiHidden/>
    <w:unhideWhenUsed/>
    <w:qFormat/>
    <w:locked/>
    <w:uiPriority w:val="99"/>
  </w:style>
  <w:style w:type="character" w:styleId="53">
    <w:name w:val="Hyperlink"/>
    <w:basedOn w:val="46"/>
    <w:qFormat/>
    <w:uiPriority w:val="99"/>
    <w:rPr>
      <w:color w:val="0000FF"/>
      <w:u w:val="single"/>
    </w:rPr>
  </w:style>
  <w:style w:type="character" w:styleId="54">
    <w:name w:val="HTML Code"/>
    <w:basedOn w:val="46"/>
    <w:semiHidden/>
    <w:unhideWhenUsed/>
    <w:qFormat/>
    <w:locked/>
    <w:uiPriority w:val="99"/>
    <w:rPr>
      <w:rFonts w:ascii="Courier New" w:hAnsi="Courier New"/>
      <w:sz w:val="20"/>
    </w:rPr>
  </w:style>
  <w:style w:type="character" w:styleId="55">
    <w:name w:val="annotation reference"/>
    <w:basedOn w:val="46"/>
    <w:semiHidden/>
    <w:qFormat/>
    <w:uiPriority w:val="99"/>
    <w:rPr>
      <w:sz w:val="21"/>
      <w:szCs w:val="21"/>
    </w:rPr>
  </w:style>
  <w:style w:type="character" w:styleId="56">
    <w:name w:val="HTML Cite"/>
    <w:basedOn w:val="46"/>
    <w:semiHidden/>
    <w:unhideWhenUsed/>
    <w:qFormat/>
    <w:locked/>
    <w:uiPriority w:val="99"/>
  </w:style>
  <w:style w:type="paragraph" w:customStyle="1" w:styleId="57">
    <w:name w:val="BodyText1I2"/>
    <w:basedOn w:val="58"/>
    <w:qFormat/>
    <w:uiPriority w:val="0"/>
    <w:pPr>
      <w:ind w:firstLine="200" w:firstLineChars="200"/>
    </w:pPr>
  </w:style>
  <w:style w:type="paragraph" w:customStyle="1" w:styleId="58">
    <w:name w:val="BodyTextIndent"/>
    <w:basedOn w:val="1"/>
    <w:qFormat/>
    <w:uiPriority w:val="0"/>
    <w:pPr>
      <w:spacing w:after="120"/>
      <w:ind w:left="200" w:leftChars="200"/>
    </w:pPr>
  </w:style>
  <w:style w:type="paragraph" w:customStyle="1" w:styleId="59">
    <w:name w:val="Default"/>
    <w:next w:val="1"/>
    <w:qFormat/>
    <w:uiPriority w:val="99"/>
    <w:pPr>
      <w:widowControl w:val="0"/>
      <w:autoSpaceDE w:val="0"/>
      <w:autoSpaceDN w:val="0"/>
      <w:adjustRightInd w:val="0"/>
      <w:spacing w:after="200" w:line="276" w:lineRule="auto"/>
    </w:pPr>
    <w:rPr>
      <w:rFonts w:ascii="黑体" w:hAnsi="Calibri" w:eastAsia="黑体" w:cs="黑体"/>
      <w:color w:val="000000"/>
      <w:sz w:val="24"/>
      <w:szCs w:val="24"/>
      <w:lang w:val="en-US" w:eastAsia="zh-CN" w:bidi="ar-SA"/>
    </w:rPr>
  </w:style>
  <w:style w:type="paragraph" w:customStyle="1" w:styleId="60">
    <w:name w:val="_Style 3"/>
    <w:basedOn w:val="1"/>
    <w:qFormat/>
    <w:uiPriority w:val="0"/>
    <w:rPr>
      <w:szCs w:val="21"/>
    </w:rPr>
  </w:style>
  <w:style w:type="character" w:customStyle="1" w:styleId="61">
    <w:name w:val="Heading 1 Char"/>
    <w:basedOn w:val="46"/>
    <w:link w:val="2"/>
    <w:qFormat/>
    <w:locked/>
    <w:uiPriority w:val="99"/>
    <w:rPr>
      <w:rFonts w:ascii="Times New Roman" w:hAnsi="Times New Roman" w:eastAsia="宋体" w:cs="Times New Roman"/>
      <w:b/>
      <w:bCs/>
      <w:kern w:val="44"/>
      <w:sz w:val="44"/>
      <w:szCs w:val="44"/>
    </w:rPr>
  </w:style>
  <w:style w:type="character" w:customStyle="1" w:styleId="62">
    <w:name w:val="Heading 2 Char"/>
    <w:basedOn w:val="46"/>
    <w:link w:val="3"/>
    <w:semiHidden/>
    <w:qFormat/>
    <w:locked/>
    <w:uiPriority w:val="99"/>
    <w:rPr>
      <w:rFonts w:ascii="Cambria" w:hAnsi="Cambria" w:eastAsia="宋体" w:cs="Cambria"/>
      <w:b/>
      <w:bCs/>
      <w:sz w:val="32"/>
      <w:szCs w:val="32"/>
    </w:rPr>
  </w:style>
  <w:style w:type="character" w:customStyle="1" w:styleId="63">
    <w:name w:val="Heading 3 Char"/>
    <w:basedOn w:val="46"/>
    <w:link w:val="4"/>
    <w:qFormat/>
    <w:locked/>
    <w:uiPriority w:val="99"/>
    <w:rPr>
      <w:rFonts w:ascii="Times New Roman" w:hAnsi="Times New Roman" w:eastAsia="宋体" w:cs="Times New Roman"/>
      <w:b/>
      <w:bCs/>
      <w:sz w:val="32"/>
      <w:szCs w:val="32"/>
    </w:rPr>
  </w:style>
  <w:style w:type="character" w:customStyle="1" w:styleId="64">
    <w:name w:val="Heading 4 Char"/>
    <w:basedOn w:val="46"/>
    <w:link w:val="5"/>
    <w:qFormat/>
    <w:locked/>
    <w:uiPriority w:val="99"/>
    <w:rPr>
      <w:rFonts w:ascii="Arial" w:hAnsi="Arial" w:eastAsia="黑体" w:cs="Arial"/>
      <w:b/>
      <w:bCs/>
      <w:kern w:val="2"/>
      <w:sz w:val="28"/>
      <w:szCs w:val="28"/>
    </w:rPr>
  </w:style>
  <w:style w:type="character" w:customStyle="1" w:styleId="65">
    <w:name w:val="Heading 5 Char"/>
    <w:basedOn w:val="46"/>
    <w:link w:val="6"/>
    <w:qFormat/>
    <w:locked/>
    <w:uiPriority w:val="99"/>
    <w:rPr>
      <w:rFonts w:ascii="Times New Roman" w:hAnsi="Times New Roman" w:eastAsia="宋体" w:cs="Times New Roman"/>
      <w:b/>
      <w:bCs/>
      <w:kern w:val="2"/>
      <w:sz w:val="28"/>
      <w:szCs w:val="28"/>
    </w:rPr>
  </w:style>
  <w:style w:type="character" w:customStyle="1" w:styleId="66">
    <w:name w:val="Heading 6 Char"/>
    <w:basedOn w:val="46"/>
    <w:link w:val="7"/>
    <w:qFormat/>
    <w:locked/>
    <w:uiPriority w:val="99"/>
    <w:rPr>
      <w:rFonts w:ascii="Cambria" w:hAnsi="Cambria" w:eastAsia="宋体" w:cs="Cambria"/>
      <w:b/>
      <w:bCs/>
      <w:kern w:val="2"/>
      <w:sz w:val="24"/>
      <w:szCs w:val="24"/>
    </w:rPr>
  </w:style>
  <w:style w:type="character" w:customStyle="1" w:styleId="67">
    <w:name w:val="Heading 7 Char"/>
    <w:basedOn w:val="46"/>
    <w:link w:val="8"/>
    <w:qFormat/>
    <w:locked/>
    <w:uiPriority w:val="99"/>
    <w:rPr>
      <w:rFonts w:ascii="Calibri" w:hAnsi="Calibri" w:eastAsia="宋体" w:cs="Calibri"/>
      <w:b/>
      <w:bCs/>
      <w:kern w:val="2"/>
      <w:sz w:val="24"/>
      <w:szCs w:val="24"/>
    </w:rPr>
  </w:style>
  <w:style w:type="character" w:customStyle="1" w:styleId="68">
    <w:name w:val="Heading 8 Char"/>
    <w:basedOn w:val="46"/>
    <w:link w:val="9"/>
    <w:qFormat/>
    <w:locked/>
    <w:uiPriority w:val="99"/>
    <w:rPr>
      <w:rFonts w:ascii="Cambria" w:hAnsi="Cambria" w:eastAsia="宋体" w:cs="Cambria"/>
      <w:kern w:val="2"/>
      <w:sz w:val="24"/>
      <w:szCs w:val="24"/>
    </w:rPr>
  </w:style>
  <w:style w:type="character" w:customStyle="1" w:styleId="69">
    <w:name w:val="Heading 9 Char"/>
    <w:basedOn w:val="46"/>
    <w:link w:val="10"/>
    <w:qFormat/>
    <w:locked/>
    <w:uiPriority w:val="99"/>
    <w:rPr>
      <w:rFonts w:ascii="Cambria" w:hAnsi="Cambria" w:eastAsia="宋体" w:cs="Cambria"/>
      <w:kern w:val="2"/>
      <w:sz w:val="21"/>
      <w:szCs w:val="21"/>
    </w:rPr>
  </w:style>
  <w:style w:type="character" w:customStyle="1" w:styleId="70">
    <w:name w:val="Document Map Char"/>
    <w:basedOn w:val="46"/>
    <w:link w:val="14"/>
    <w:qFormat/>
    <w:locked/>
    <w:uiPriority w:val="99"/>
    <w:rPr>
      <w:rFonts w:ascii="宋体" w:hAnsi="Times New Roman" w:eastAsia="宋体" w:cs="宋体"/>
      <w:sz w:val="18"/>
      <w:szCs w:val="18"/>
    </w:rPr>
  </w:style>
  <w:style w:type="character" w:customStyle="1" w:styleId="71">
    <w:name w:val="Comment Text Char"/>
    <w:basedOn w:val="46"/>
    <w:link w:val="15"/>
    <w:qFormat/>
    <w:locked/>
    <w:uiPriority w:val="99"/>
    <w:rPr>
      <w:rFonts w:ascii="Times New Roman" w:hAnsi="Times New Roman" w:eastAsia="宋体" w:cs="Times New Roman"/>
      <w:sz w:val="24"/>
      <w:szCs w:val="24"/>
    </w:rPr>
  </w:style>
  <w:style w:type="character" w:customStyle="1" w:styleId="72">
    <w:name w:val="Body Text Char"/>
    <w:basedOn w:val="46"/>
    <w:link w:val="17"/>
    <w:qFormat/>
    <w:locked/>
    <w:uiPriority w:val="99"/>
    <w:rPr>
      <w:rFonts w:ascii="Times New Roman" w:hAnsi="Times New Roman" w:eastAsia="宋体" w:cs="Times New Roman"/>
      <w:sz w:val="24"/>
      <w:szCs w:val="24"/>
    </w:rPr>
  </w:style>
  <w:style w:type="character" w:customStyle="1" w:styleId="73">
    <w:name w:val="Body Text Indent Char"/>
    <w:basedOn w:val="46"/>
    <w:link w:val="18"/>
    <w:qFormat/>
    <w:locked/>
    <w:uiPriority w:val="99"/>
    <w:rPr>
      <w:rFonts w:ascii="Times New Roman" w:hAnsi="Times New Roman" w:eastAsia="宋体" w:cs="Times New Roman"/>
      <w:sz w:val="20"/>
      <w:szCs w:val="20"/>
    </w:rPr>
  </w:style>
  <w:style w:type="character" w:customStyle="1" w:styleId="74">
    <w:name w:val="Plain Text Char"/>
    <w:basedOn w:val="46"/>
    <w:link w:val="23"/>
    <w:qFormat/>
    <w:locked/>
    <w:uiPriority w:val="99"/>
    <w:rPr>
      <w:rFonts w:ascii="宋体" w:hAnsi="Courier New" w:eastAsia="宋体" w:cs="宋体"/>
      <w:sz w:val="21"/>
      <w:szCs w:val="21"/>
    </w:rPr>
  </w:style>
  <w:style w:type="character" w:customStyle="1" w:styleId="75">
    <w:name w:val="Date Char"/>
    <w:basedOn w:val="46"/>
    <w:link w:val="25"/>
    <w:qFormat/>
    <w:locked/>
    <w:uiPriority w:val="99"/>
    <w:rPr>
      <w:rFonts w:ascii="Times New Roman" w:hAnsi="Times New Roman" w:eastAsia="宋体" w:cs="Times New Roman"/>
      <w:kern w:val="2"/>
      <w:sz w:val="21"/>
      <w:szCs w:val="21"/>
    </w:rPr>
  </w:style>
  <w:style w:type="character" w:customStyle="1" w:styleId="76">
    <w:name w:val="Body Text Indent 2 Char"/>
    <w:basedOn w:val="46"/>
    <w:link w:val="26"/>
    <w:qFormat/>
    <w:locked/>
    <w:uiPriority w:val="99"/>
    <w:rPr>
      <w:rFonts w:ascii="Times New Roman" w:hAnsi="Times New Roman" w:eastAsia="宋体" w:cs="Times New Roman"/>
      <w:sz w:val="24"/>
      <w:szCs w:val="24"/>
    </w:rPr>
  </w:style>
  <w:style w:type="character" w:customStyle="1" w:styleId="77">
    <w:name w:val="Balloon Text Char"/>
    <w:basedOn w:val="46"/>
    <w:link w:val="27"/>
    <w:qFormat/>
    <w:locked/>
    <w:uiPriority w:val="99"/>
    <w:rPr>
      <w:rFonts w:ascii="Times New Roman" w:hAnsi="Times New Roman" w:eastAsia="宋体" w:cs="Times New Roman"/>
      <w:sz w:val="18"/>
      <w:szCs w:val="18"/>
    </w:rPr>
  </w:style>
  <w:style w:type="character" w:customStyle="1" w:styleId="78">
    <w:name w:val="Footer Char"/>
    <w:basedOn w:val="46"/>
    <w:link w:val="28"/>
    <w:qFormat/>
    <w:locked/>
    <w:uiPriority w:val="99"/>
    <w:rPr>
      <w:sz w:val="18"/>
      <w:szCs w:val="18"/>
    </w:rPr>
  </w:style>
  <w:style w:type="character" w:customStyle="1" w:styleId="79">
    <w:name w:val="Header Char"/>
    <w:basedOn w:val="46"/>
    <w:link w:val="29"/>
    <w:qFormat/>
    <w:locked/>
    <w:uiPriority w:val="99"/>
    <w:rPr>
      <w:sz w:val="18"/>
      <w:szCs w:val="18"/>
    </w:rPr>
  </w:style>
  <w:style w:type="character" w:customStyle="1" w:styleId="80">
    <w:name w:val="Subtitle Char"/>
    <w:basedOn w:val="46"/>
    <w:link w:val="32"/>
    <w:qFormat/>
    <w:locked/>
    <w:uiPriority w:val="99"/>
    <w:rPr>
      <w:rFonts w:ascii="Cambria" w:hAnsi="Cambria" w:cs="Cambria"/>
      <w:b/>
      <w:bCs/>
      <w:kern w:val="28"/>
      <w:sz w:val="32"/>
      <w:szCs w:val="32"/>
    </w:rPr>
  </w:style>
  <w:style w:type="character" w:customStyle="1" w:styleId="81">
    <w:name w:val="Body Text Indent 3 Char"/>
    <w:basedOn w:val="46"/>
    <w:link w:val="34"/>
    <w:qFormat/>
    <w:locked/>
    <w:uiPriority w:val="99"/>
    <w:rPr>
      <w:rFonts w:ascii="Times New Roman" w:hAnsi="Times New Roman" w:eastAsia="宋体" w:cs="Times New Roman"/>
      <w:sz w:val="16"/>
      <w:szCs w:val="16"/>
    </w:rPr>
  </w:style>
  <w:style w:type="character" w:customStyle="1" w:styleId="82">
    <w:name w:val="Title Char"/>
    <w:basedOn w:val="46"/>
    <w:link w:val="39"/>
    <w:qFormat/>
    <w:locked/>
    <w:uiPriority w:val="99"/>
    <w:rPr>
      <w:rFonts w:ascii="Cambria" w:hAnsi="Cambria" w:cs="Cambria"/>
      <w:b/>
      <w:bCs/>
      <w:kern w:val="2"/>
      <w:sz w:val="32"/>
      <w:szCs w:val="32"/>
    </w:rPr>
  </w:style>
  <w:style w:type="character" w:customStyle="1" w:styleId="83">
    <w:name w:val="Comment Subject Char"/>
    <w:basedOn w:val="71"/>
    <w:link w:val="40"/>
    <w:qFormat/>
    <w:locked/>
    <w:uiPriority w:val="99"/>
    <w:rPr>
      <w:b/>
      <w:bCs/>
    </w:rPr>
  </w:style>
  <w:style w:type="character" w:customStyle="1" w:styleId="84">
    <w:name w:val="Heading 2 Char1"/>
    <w:basedOn w:val="46"/>
    <w:link w:val="3"/>
    <w:qFormat/>
    <w:locked/>
    <w:uiPriority w:val="99"/>
    <w:rPr>
      <w:rFonts w:ascii="Arial" w:hAnsi="Arial" w:eastAsia="黑体" w:cs="Arial"/>
      <w:b/>
      <w:bCs/>
      <w:sz w:val="32"/>
      <w:szCs w:val="32"/>
    </w:rPr>
  </w:style>
  <w:style w:type="paragraph" w:customStyle="1" w:styleId="85">
    <w:name w:val="正文首行缩进两字符"/>
    <w:basedOn w:val="1"/>
    <w:qFormat/>
    <w:uiPriority w:val="99"/>
    <w:pPr>
      <w:spacing w:line="360" w:lineRule="auto"/>
      <w:ind w:firstLine="200" w:firstLineChars="200"/>
    </w:pPr>
  </w:style>
  <w:style w:type="paragraph" w:customStyle="1" w:styleId="86">
    <w:name w:val="正文1"/>
    <w:qFormat/>
    <w:uiPriority w:val="99"/>
    <w:pPr>
      <w:widowControl w:val="0"/>
      <w:adjustRightInd w:val="0"/>
      <w:spacing w:line="312" w:lineRule="atLeast"/>
      <w:jc w:val="both"/>
      <w:textAlignment w:val="baseline"/>
    </w:pPr>
    <w:rPr>
      <w:rFonts w:ascii="宋体" w:hAnsi="Times New Roman" w:eastAsia="宋体" w:cs="宋体"/>
      <w:kern w:val="0"/>
      <w:sz w:val="34"/>
      <w:szCs w:val="34"/>
      <w:lang w:val="en-US" w:eastAsia="zh-CN" w:bidi="ar-SA"/>
    </w:rPr>
  </w:style>
  <w:style w:type="paragraph" w:customStyle="1" w:styleId="87">
    <w:name w:val="样式"/>
    <w:qFormat/>
    <w:uiPriority w:val="99"/>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88">
    <w:name w:val="表格"/>
    <w:basedOn w:val="1"/>
    <w:qFormat/>
    <w:uiPriority w:val="99"/>
    <w:pPr>
      <w:spacing w:line="400" w:lineRule="exact"/>
    </w:pPr>
    <w:rPr>
      <w:sz w:val="24"/>
      <w:szCs w:val="24"/>
    </w:rPr>
  </w:style>
  <w:style w:type="paragraph" w:customStyle="1" w:styleId="89">
    <w:name w:val="样式 首行缩进:  2 字符"/>
    <w:basedOn w:val="1"/>
    <w:qFormat/>
    <w:uiPriority w:val="99"/>
    <w:pPr>
      <w:spacing w:line="400" w:lineRule="exact"/>
      <w:ind w:firstLine="200" w:firstLineChars="200"/>
    </w:pPr>
    <w:rPr>
      <w:sz w:val="24"/>
      <w:szCs w:val="24"/>
    </w:rPr>
  </w:style>
  <w:style w:type="character" w:customStyle="1" w:styleId="90">
    <w:name w:val="（符号）邀请函中一、"/>
    <w:basedOn w:val="46"/>
    <w:qFormat/>
    <w:uiPriority w:val="99"/>
    <w:rPr>
      <w:rFonts w:ascii="黑体" w:hAnsi="黑体" w:eastAsia="黑体" w:cs="黑体"/>
      <w:b/>
      <w:bCs/>
      <w:sz w:val="24"/>
      <w:szCs w:val="24"/>
    </w:rPr>
  </w:style>
  <w:style w:type="character" w:customStyle="1" w:styleId="91">
    <w:name w:val="Normal Indent Char"/>
    <w:link w:val="12"/>
    <w:qFormat/>
    <w:locked/>
    <w:uiPriority w:val="99"/>
    <w:rPr>
      <w:rFonts w:ascii="Times New Roman" w:hAnsi="Times New Roman" w:eastAsia="宋体" w:cs="Times New Roman"/>
      <w:sz w:val="24"/>
      <w:szCs w:val="24"/>
    </w:rPr>
  </w:style>
  <w:style w:type="character" w:customStyle="1" w:styleId="92">
    <w:name w:val="Char Char9"/>
    <w:qFormat/>
    <w:uiPriority w:val="99"/>
    <w:rPr>
      <w:kern w:val="2"/>
      <w:sz w:val="21"/>
      <w:szCs w:val="21"/>
    </w:rPr>
  </w:style>
  <w:style w:type="character" w:customStyle="1" w:styleId="93">
    <w:name w:val="批注文字 Char"/>
    <w:qFormat/>
    <w:uiPriority w:val="99"/>
    <w:rPr>
      <w:sz w:val="18"/>
      <w:szCs w:val="18"/>
    </w:rPr>
  </w:style>
  <w:style w:type="character" w:customStyle="1" w:styleId="94">
    <w:name w:val="纯文本 Char"/>
    <w:qFormat/>
    <w:uiPriority w:val="99"/>
    <w:rPr>
      <w:rFonts w:ascii="宋体" w:hAnsi="Tms Rmn" w:eastAsia="宋体" w:cs="宋体"/>
    </w:rPr>
  </w:style>
  <w:style w:type="paragraph" w:customStyle="1" w:styleId="95">
    <w:name w:val="GW-正文"/>
    <w:basedOn w:val="1"/>
    <w:link w:val="96"/>
    <w:qFormat/>
    <w:uiPriority w:val="99"/>
    <w:pPr>
      <w:spacing w:line="360" w:lineRule="auto"/>
      <w:ind w:firstLine="200" w:firstLineChars="200"/>
    </w:pPr>
    <w:rPr>
      <w:rFonts w:eastAsia="仿宋_GB2312"/>
      <w:kern w:val="0"/>
      <w:sz w:val="24"/>
      <w:szCs w:val="24"/>
    </w:rPr>
  </w:style>
  <w:style w:type="character" w:customStyle="1" w:styleId="96">
    <w:name w:val="GW-正文 Char"/>
    <w:link w:val="95"/>
    <w:qFormat/>
    <w:locked/>
    <w:uiPriority w:val="99"/>
    <w:rPr>
      <w:rFonts w:ascii="Times New Roman" w:hAnsi="Times New Roman" w:eastAsia="仿宋_GB2312" w:cs="Times New Roman"/>
      <w:sz w:val="24"/>
      <w:szCs w:val="24"/>
    </w:rPr>
  </w:style>
  <w:style w:type="paragraph" w:styleId="97">
    <w:name w:val="List Paragraph"/>
    <w:basedOn w:val="1"/>
    <w:link w:val="98"/>
    <w:qFormat/>
    <w:uiPriority w:val="99"/>
    <w:pPr>
      <w:ind w:firstLine="420" w:firstLineChars="200"/>
    </w:pPr>
    <w:rPr>
      <w:kern w:val="0"/>
      <w:sz w:val="24"/>
      <w:szCs w:val="24"/>
    </w:rPr>
  </w:style>
  <w:style w:type="character" w:customStyle="1" w:styleId="98">
    <w:name w:val="List Paragraph Char"/>
    <w:link w:val="97"/>
    <w:qFormat/>
    <w:locked/>
    <w:uiPriority w:val="99"/>
    <w:rPr>
      <w:rFonts w:ascii="Times New Roman" w:hAnsi="Times New Roman" w:eastAsia="宋体" w:cs="Times New Roman"/>
      <w:sz w:val="24"/>
      <w:szCs w:val="24"/>
    </w:rPr>
  </w:style>
  <w:style w:type="paragraph" w:customStyle="1" w:styleId="99">
    <w:name w:val="Char Char Char Char Char Char Char Char Char Char Char Char Char Char1 Char Char Char Char"/>
    <w:basedOn w:val="1"/>
    <w:qFormat/>
    <w:uiPriority w:val="99"/>
  </w:style>
  <w:style w:type="paragraph" w:customStyle="1" w:styleId="100">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101">
    <w:name w:val="font31"/>
    <w:basedOn w:val="46"/>
    <w:qFormat/>
    <w:uiPriority w:val="99"/>
    <w:rPr>
      <w:rFonts w:ascii="宋体" w:hAnsi="宋体" w:eastAsia="宋体" w:cs="宋体"/>
      <w:color w:val="000000"/>
      <w:sz w:val="21"/>
      <w:szCs w:val="21"/>
      <w:u w:val="none"/>
    </w:rPr>
  </w:style>
  <w:style w:type="character" w:customStyle="1" w:styleId="102">
    <w:name w:val="正文缩进 Char1"/>
    <w:qFormat/>
    <w:locked/>
    <w:uiPriority w:val="99"/>
    <w:rPr>
      <w:rFonts w:eastAsia="宋体"/>
      <w:kern w:val="2"/>
      <w:sz w:val="24"/>
      <w:szCs w:val="24"/>
      <w:lang w:val="en-US" w:eastAsia="zh-CN"/>
    </w:rPr>
  </w:style>
  <w:style w:type="paragraph" w:customStyle="1" w:styleId="103">
    <w:name w:val="Plain Text1"/>
    <w:basedOn w:val="1"/>
    <w:qFormat/>
    <w:uiPriority w:val="99"/>
    <w:pPr>
      <w:adjustRightInd w:val="0"/>
      <w:jc w:val="left"/>
      <w:textAlignment w:val="baseline"/>
    </w:pPr>
    <w:rPr>
      <w:rFonts w:ascii="宋体" w:hAnsi="Courier New" w:cs="宋体"/>
      <w:sz w:val="24"/>
      <w:szCs w:val="24"/>
    </w:rPr>
  </w:style>
  <w:style w:type="character" w:customStyle="1" w:styleId="104">
    <w:name w:val="Char Char3"/>
    <w:qFormat/>
    <w:uiPriority w:val="99"/>
    <w:rPr>
      <w:rFonts w:ascii="Arial" w:hAnsi="Arial" w:eastAsia="黑体" w:cs="Arial"/>
      <w:b/>
      <w:bCs/>
      <w:kern w:val="2"/>
      <w:sz w:val="32"/>
      <w:szCs w:val="32"/>
      <w:lang w:val="en-US" w:eastAsia="zh-CN"/>
    </w:rPr>
  </w:style>
  <w:style w:type="character" w:customStyle="1" w:styleId="105">
    <w:name w:val="Char Char Char"/>
    <w:link w:val="106"/>
    <w:qFormat/>
    <w:locked/>
    <w:uiPriority w:val="99"/>
    <w:rPr>
      <w:rFonts w:ascii="Arial" w:hAnsi="Arial" w:eastAsia="黑体" w:cs="Arial"/>
      <w:b/>
      <w:bCs/>
      <w:kern w:val="2"/>
      <w:sz w:val="32"/>
      <w:szCs w:val="32"/>
    </w:rPr>
  </w:style>
  <w:style w:type="paragraph" w:customStyle="1" w:styleId="106">
    <w:name w:val="Char"/>
    <w:basedOn w:val="1"/>
    <w:link w:val="105"/>
    <w:qFormat/>
    <w:uiPriority w:val="99"/>
    <w:rPr>
      <w:rFonts w:ascii="Arial" w:hAnsi="Arial" w:eastAsia="黑体" w:cs="Arial"/>
      <w:b/>
      <w:bCs/>
      <w:sz w:val="32"/>
      <w:szCs w:val="32"/>
    </w:rPr>
  </w:style>
  <w:style w:type="character" w:customStyle="1" w:styleId="107">
    <w:name w:val="无间距字符"/>
    <w:link w:val="108"/>
    <w:qFormat/>
    <w:locked/>
    <w:uiPriority w:val="99"/>
    <w:rPr>
      <w:rFonts w:ascii="Calibri" w:hAnsi="Calibri" w:cs="Calibri"/>
      <w:sz w:val="22"/>
      <w:szCs w:val="22"/>
      <w:lang w:val="en-US" w:eastAsia="zh-CN"/>
    </w:rPr>
  </w:style>
  <w:style w:type="paragraph" w:customStyle="1" w:styleId="108">
    <w:name w:val="无间距"/>
    <w:link w:val="107"/>
    <w:qFormat/>
    <w:uiPriority w:val="99"/>
    <w:rPr>
      <w:rFonts w:ascii="Calibri" w:hAnsi="Calibri" w:eastAsia="宋体" w:cs="Calibri"/>
      <w:kern w:val="0"/>
      <w:sz w:val="22"/>
      <w:szCs w:val="22"/>
      <w:lang w:val="en-US" w:eastAsia="zh-CN" w:bidi="ar-SA"/>
    </w:rPr>
  </w:style>
  <w:style w:type="character" w:customStyle="1" w:styleId="109">
    <w:name w:val="tdrownotice1"/>
    <w:qFormat/>
    <w:uiPriority w:val="99"/>
    <w:rPr>
      <w:sz w:val="22"/>
      <w:szCs w:val="22"/>
    </w:rPr>
  </w:style>
  <w:style w:type="character" w:customStyle="1" w:styleId="110">
    <w:name w:val="页眉 Char1"/>
    <w:basedOn w:val="46"/>
    <w:semiHidden/>
    <w:qFormat/>
    <w:uiPriority w:val="99"/>
    <w:rPr>
      <w:kern w:val="2"/>
      <w:sz w:val="18"/>
      <w:szCs w:val="18"/>
    </w:rPr>
  </w:style>
  <w:style w:type="character" w:customStyle="1" w:styleId="111">
    <w:name w:val="正文文本缩进 Char1"/>
    <w:basedOn w:val="46"/>
    <w:semiHidden/>
    <w:qFormat/>
    <w:uiPriority w:val="99"/>
    <w:rPr>
      <w:kern w:val="2"/>
      <w:sz w:val="21"/>
      <w:szCs w:val="21"/>
    </w:rPr>
  </w:style>
  <w:style w:type="character" w:customStyle="1" w:styleId="112">
    <w:name w:val="批注主题 Char1"/>
    <w:basedOn w:val="71"/>
    <w:qFormat/>
    <w:uiPriority w:val="99"/>
    <w:rPr>
      <w:b/>
      <w:bCs/>
      <w:kern w:val="2"/>
    </w:rPr>
  </w:style>
  <w:style w:type="character" w:customStyle="1" w:styleId="113">
    <w:name w:val="Title Char1"/>
    <w:basedOn w:val="46"/>
    <w:link w:val="39"/>
    <w:qFormat/>
    <w:locked/>
    <w:uiPriority w:val="99"/>
    <w:rPr>
      <w:rFonts w:ascii="Cambria" w:hAnsi="Cambria" w:cs="Cambria"/>
      <w:b/>
      <w:bCs/>
      <w:sz w:val="32"/>
      <w:szCs w:val="32"/>
    </w:rPr>
  </w:style>
  <w:style w:type="character" w:customStyle="1" w:styleId="114">
    <w:name w:val="标题 Char1"/>
    <w:basedOn w:val="46"/>
    <w:qFormat/>
    <w:uiPriority w:val="99"/>
    <w:rPr>
      <w:rFonts w:ascii="Cambria" w:hAnsi="Cambria" w:eastAsia="宋体" w:cs="Cambria"/>
      <w:b/>
      <w:bCs/>
      <w:kern w:val="2"/>
      <w:sz w:val="32"/>
      <w:szCs w:val="32"/>
    </w:rPr>
  </w:style>
  <w:style w:type="character" w:customStyle="1" w:styleId="115">
    <w:name w:val="页脚 Char1"/>
    <w:basedOn w:val="46"/>
    <w:semiHidden/>
    <w:qFormat/>
    <w:uiPriority w:val="99"/>
    <w:rPr>
      <w:kern w:val="2"/>
      <w:sz w:val="18"/>
      <w:szCs w:val="18"/>
    </w:rPr>
  </w:style>
  <w:style w:type="paragraph" w:customStyle="1" w:styleId="116">
    <w:name w:val="Char1"/>
    <w:basedOn w:val="1"/>
    <w:qFormat/>
    <w:uiPriority w:val="99"/>
  </w:style>
  <w:style w:type="paragraph" w:customStyle="1" w:styleId="117">
    <w:name w:val="样式 标题 2 + Times New Roman 四号 非加粗 段前: 5 磅 段后: 0 磅 行距: 固定值 20..."/>
    <w:basedOn w:val="3"/>
    <w:qFormat/>
    <w:uiPriority w:val="99"/>
    <w:pPr>
      <w:spacing w:before="100" w:after="0" w:line="400" w:lineRule="exact"/>
    </w:pPr>
    <w:rPr>
      <w:rFonts w:ascii="Times New Roman" w:hAnsi="Times New Roman" w:cs="Times New Roman"/>
      <w:b w:val="0"/>
      <w:bCs w:val="0"/>
      <w:sz w:val="28"/>
      <w:szCs w:val="28"/>
    </w:rPr>
  </w:style>
  <w:style w:type="paragraph" w:customStyle="1" w:styleId="118">
    <w:name w:val="样式 首行缩进:  2 字符1"/>
    <w:basedOn w:val="1"/>
    <w:qFormat/>
    <w:uiPriority w:val="99"/>
    <w:pPr>
      <w:spacing w:line="400" w:lineRule="exact"/>
      <w:ind w:firstLine="200" w:firstLineChars="200"/>
    </w:pPr>
    <w:rPr>
      <w:sz w:val="24"/>
      <w:szCs w:val="24"/>
    </w:rPr>
  </w:style>
  <w:style w:type="paragraph" w:customStyle="1" w:styleId="119">
    <w:name w:val="Char2"/>
    <w:basedOn w:val="1"/>
    <w:qFormat/>
    <w:uiPriority w:val="99"/>
  </w:style>
  <w:style w:type="paragraph" w:customStyle="1" w:styleId="120">
    <w:name w:val="Char Char Char Char Char Char Char"/>
    <w:basedOn w:val="1"/>
    <w:qFormat/>
    <w:uiPriority w:val="99"/>
  </w:style>
  <w:style w:type="paragraph" w:customStyle="1" w:styleId="121">
    <w:name w:val="bf.1"/>
    <w:basedOn w:val="12"/>
    <w:qFormat/>
    <w:uiPriority w:val="99"/>
    <w:pPr>
      <w:autoSpaceDE w:val="0"/>
      <w:autoSpaceDN w:val="0"/>
      <w:adjustRightInd w:val="0"/>
      <w:spacing w:before="50" w:after="100" w:line="500" w:lineRule="exact"/>
      <w:ind w:firstLine="0" w:firstLineChars="0"/>
    </w:pPr>
    <w:rPr>
      <w:rFonts w:ascii="仿宋_GB2312" w:hAnsi="宋体" w:eastAsia="仿宋_GB2312" w:cs="仿宋_GB2312"/>
      <w:color w:val="000000"/>
    </w:rPr>
  </w:style>
  <w:style w:type="paragraph" w:customStyle="1" w:styleId="122">
    <w:name w:val="第一章"/>
    <w:basedOn w:val="1"/>
    <w:next w:val="1"/>
    <w:qFormat/>
    <w:uiPriority w:val="99"/>
    <w:pPr>
      <w:tabs>
        <w:tab w:val="left" w:pos="0"/>
      </w:tabs>
      <w:spacing w:line="360" w:lineRule="auto"/>
      <w:ind w:hanging="500" w:hangingChars="500"/>
    </w:pPr>
    <w:rPr>
      <w:rFonts w:eastAsia="黑体"/>
      <w:sz w:val="44"/>
      <w:szCs w:val="44"/>
    </w:rPr>
  </w:style>
  <w:style w:type="paragraph" w:customStyle="1" w:styleId="123">
    <w:name w:val="blockquote"/>
    <w:basedOn w:val="1"/>
    <w:qFormat/>
    <w:uiPriority w:val="99"/>
    <w:pPr>
      <w:widowControl/>
      <w:spacing w:before="100" w:beforeAutospacing="1" w:after="100" w:afterAutospacing="1"/>
    </w:pPr>
    <w:rPr>
      <w:rFonts w:ascii="宋体" w:hAnsi="宋体" w:cs="宋体"/>
      <w:kern w:val="0"/>
      <w:sz w:val="24"/>
      <w:szCs w:val="24"/>
    </w:rPr>
  </w:style>
  <w:style w:type="paragraph" w:customStyle="1" w:styleId="124">
    <w:name w:val="样式1"/>
    <w:basedOn w:val="2"/>
    <w:qFormat/>
    <w:uiPriority w:val="99"/>
    <w:pPr>
      <w:spacing w:line="576" w:lineRule="auto"/>
    </w:pPr>
  </w:style>
  <w:style w:type="paragraph" w:customStyle="1" w:styleId="125">
    <w:name w:val="Char Char1 Char"/>
    <w:basedOn w:val="1"/>
    <w:qFormat/>
    <w:uiPriority w:val="99"/>
  </w:style>
  <w:style w:type="paragraph" w:customStyle="1" w:styleId="126">
    <w:name w:val="Char Char Char Char"/>
    <w:basedOn w:val="1"/>
    <w:qFormat/>
    <w:uiPriority w:val="99"/>
  </w:style>
  <w:style w:type="paragraph" w:customStyle="1" w:styleId="127">
    <w:name w:val="样式3"/>
    <w:basedOn w:val="2"/>
    <w:qFormat/>
    <w:uiPriority w:val="99"/>
    <w:pPr>
      <w:spacing w:line="576" w:lineRule="auto"/>
    </w:pPr>
  </w:style>
  <w:style w:type="paragraph" w:customStyle="1" w:styleId="128">
    <w:name w:val="p0"/>
    <w:basedOn w:val="1"/>
    <w:qFormat/>
    <w:uiPriority w:val="99"/>
    <w:pPr>
      <w:widowControl/>
    </w:pPr>
    <w:rPr>
      <w:kern w:val="0"/>
    </w:rPr>
  </w:style>
  <w:style w:type="paragraph" w:customStyle="1" w:styleId="129">
    <w:name w:val="Char Char Char Char Char Char Char Char Char Char Char Char Char"/>
    <w:basedOn w:val="1"/>
    <w:qFormat/>
    <w:uiPriority w:val="99"/>
    <w:pPr>
      <w:widowControl/>
      <w:spacing w:after="160" w:line="240" w:lineRule="exact"/>
      <w:jc w:val="left"/>
    </w:pPr>
  </w:style>
  <w:style w:type="paragraph" w:customStyle="1" w:styleId="130">
    <w:name w:val="样式2"/>
    <w:basedOn w:val="1"/>
    <w:qFormat/>
    <w:uiPriority w:val="99"/>
    <w:pPr>
      <w:ind w:firstLine="420" w:firstLineChars="150"/>
    </w:pPr>
    <w:rPr>
      <w:sz w:val="24"/>
      <w:szCs w:val="24"/>
      <w:lang w:val="en-GB"/>
    </w:rPr>
  </w:style>
  <w:style w:type="paragraph" w:customStyle="1" w:styleId="131">
    <w:name w:val="Blockquote"/>
    <w:basedOn w:val="1"/>
    <w:qFormat/>
    <w:uiPriority w:val="99"/>
    <w:pPr>
      <w:autoSpaceDE w:val="0"/>
      <w:autoSpaceDN w:val="0"/>
      <w:adjustRightInd w:val="0"/>
      <w:spacing w:before="100" w:after="100"/>
      <w:ind w:left="360"/>
    </w:pPr>
    <w:rPr>
      <w:kern w:val="0"/>
      <w:sz w:val="24"/>
      <w:szCs w:val="24"/>
    </w:rPr>
  </w:style>
  <w:style w:type="paragraph" w:customStyle="1" w:styleId="132">
    <w:name w:val="Char1 Char Char Char"/>
    <w:basedOn w:val="1"/>
    <w:qFormat/>
    <w:uiPriority w:val="99"/>
  </w:style>
  <w:style w:type="character" w:customStyle="1" w:styleId="133">
    <w:name w:val="正文文本 Char1"/>
    <w:qFormat/>
    <w:uiPriority w:val="99"/>
    <w:rPr>
      <w:kern w:val="2"/>
      <w:sz w:val="22"/>
      <w:szCs w:val="22"/>
    </w:rPr>
  </w:style>
  <w:style w:type="character" w:customStyle="1" w:styleId="134">
    <w:name w:val="Intense Quote Char"/>
    <w:qFormat/>
    <w:locked/>
    <w:uiPriority w:val="99"/>
    <w:rPr>
      <w:b/>
      <w:bCs/>
      <w:i/>
      <w:iCs/>
      <w:color w:val="4F81BD"/>
      <w:kern w:val="2"/>
      <w:sz w:val="22"/>
      <w:szCs w:val="22"/>
    </w:rPr>
  </w:style>
  <w:style w:type="character" w:customStyle="1" w:styleId="135">
    <w:name w:val="Subtle Emphasis1"/>
    <w:basedOn w:val="46"/>
    <w:qFormat/>
    <w:uiPriority w:val="99"/>
    <w:rPr>
      <w:i/>
      <w:iCs/>
      <w:color w:val="808080"/>
    </w:rPr>
  </w:style>
  <w:style w:type="character" w:customStyle="1" w:styleId="136">
    <w:name w:val="标题4 Char Char"/>
    <w:link w:val="137"/>
    <w:qFormat/>
    <w:locked/>
    <w:uiPriority w:val="99"/>
    <w:rPr>
      <w:rFonts w:ascii="Arial" w:hAnsi="Arial" w:cs="Arial"/>
      <w:b/>
      <w:bCs/>
      <w:sz w:val="32"/>
      <w:szCs w:val="32"/>
    </w:rPr>
  </w:style>
  <w:style w:type="paragraph" w:customStyle="1" w:styleId="137">
    <w:name w:val="标题4"/>
    <w:basedOn w:val="3"/>
    <w:next w:val="20"/>
    <w:link w:val="136"/>
    <w:qFormat/>
    <w:uiPriority w:val="99"/>
    <w:pPr>
      <w:spacing w:line="413" w:lineRule="auto"/>
    </w:pPr>
    <w:rPr>
      <w:rFonts w:eastAsia="宋体"/>
      <w:kern w:val="0"/>
    </w:rPr>
  </w:style>
  <w:style w:type="character" w:customStyle="1" w:styleId="138">
    <w:name w:val="标题5 Char Char"/>
    <w:link w:val="139"/>
    <w:qFormat/>
    <w:locked/>
    <w:uiPriority w:val="99"/>
    <w:rPr>
      <w:rFonts w:ascii="Arial" w:hAnsi="Arial" w:cs="Arial"/>
      <w:b/>
      <w:bCs/>
      <w:sz w:val="32"/>
      <w:szCs w:val="32"/>
    </w:rPr>
  </w:style>
  <w:style w:type="paragraph" w:customStyle="1" w:styleId="139">
    <w:name w:val="标题5"/>
    <w:basedOn w:val="4"/>
    <w:link w:val="138"/>
    <w:qFormat/>
    <w:uiPriority w:val="99"/>
    <w:pPr>
      <w:spacing w:line="413" w:lineRule="auto"/>
    </w:pPr>
    <w:rPr>
      <w:rFonts w:ascii="Arial" w:hAnsi="Arial" w:cs="Arial"/>
      <w:kern w:val="0"/>
    </w:rPr>
  </w:style>
  <w:style w:type="character" w:customStyle="1" w:styleId="140">
    <w:name w:val="Intense Reference1"/>
    <w:basedOn w:val="46"/>
    <w:qFormat/>
    <w:uiPriority w:val="99"/>
    <w:rPr>
      <w:b/>
      <w:bCs/>
      <w:smallCaps/>
      <w:color w:val="auto"/>
      <w:spacing w:val="5"/>
      <w:u w:val="single"/>
    </w:rPr>
  </w:style>
  <w:style w:type="character" w:customStyle="1" w:styleId="141">
    <w:name w:val="Book Title1"/>
    <w:basedOn w:val="46"/>
    <w:qFormat/>
    <w:uiPriority w:val="99"/>
    <w:rPr>
      <w:b/>
      <w:bCs/>
      <w:smallCaps/>
      <w:spacing w:val="5"/>
    </w:rPr>
  </w:style>
  <w:style w:type="character" w:customStyle="1" w:styleId="142">
    <w:name w:val="批注框文本 Char1"/>
    <w:qFormat/>
    <w:uiPriority w:val="99"/>
    <w:rPr>
      <w:kern w:val="2"/>
      <w:sz w:val="18"/>
      <w:szCs w:val="18"/>
    </w:rPr>
  </w:style>
  <w:style w:type="character" w:customStyle="1" w:styleId="143">
    <w:name w:val="Quote Char"/>
    <w:qFormat/>
    <w:locked/>
    <w:uiPriority w:val="99"/>
    <w:rPr>
      <w:i/>
      <w:iCs/>
      <w:color w:val="000000"/>
      <w:kern w:val="2"/>
      <w:sz w:val="22"/>
      <w:szCs w:val="22"/>
    </w:rPr>
  </w:style>
  <w:style w:type="character" w:customStyle="1" w:styleId="144">
    <w:name w:val="日期 Char1"/>
    <w:qFormat/>
    <w:uiPriority w:val="99"/>
    <w:rPr>
      <w:kern w:val="2"/>
      <w:sz w:val="22"/>
      <w:szCs w:val="22"/>
    </w:rPr>
  </w:style>
  <w:style w:type="character" w:customStyle="1" w:styleId="145">
    <w:name w:val="Intense Emphasis1"/>
    <w:basedOn w:val="46"/>
    <w:qFormat/>
    <w:uiPriority w:val="99"/>
    <w:rPr>
      <w:b/>
      <w:bCs/>
      <w:i/>
      <w:iCs/>
      <w:color w:val="4F81BD"/>
    </w:rPr>
  </w:style>
  <w:style w:type="character" w:customStyle="1" w:styleId="146">
    <w:name w:val="textcontents"/>
    <w:qFormat/>
    <w:uiPriority w:val="99"/>
  </w:style>
  <w:style w:type="character" w:customStyle="1" w:styleId="147">
    <w:name w:val="Subtle Reference1"/>
    <w:basedOn w:val="46"/>
    <w:qFormat/>
    <w:uiPriority w:val="99"/>
    <w:rPr>
      <w:smallCaps/>
      <w:color w:val="auto"/>
      <w:u w:val="single"/>
    </w:rPr>
  </w:style>
  <w:style w:type="character" w:customStyle="1" w:styleId="148">
    <w:name w:val="批注文字 Char Char"/>
    <w:qFormat/>
    <w:uiPriority w:val="99"/>
    <w:rPr>
      <w:rFonts w:ascii="宋体" w:hAnsi="Times New Roman" w:eastAsia="宋体" w:cs="宋体"/>
      <w:sz w:val="20"/>
      <w:szCs w:val="20"/>
    </w:rPr>
  </w:style>
  <w:style w:type="character" w:customStyle="1" w:styleId="149">
    <w:name w:val="文档结构图 Char1"/>
    <w:qFormat/>
    <w:uiPriority w:val="99"/>
    <w:rPr>
      <w:rFonts w:ascii="宋体" w:cs="宋体"/>
      <w:kern w:val="2"/>
      <w:sz w:val="18"/>
      <w:szCs w:val="18"/>
    </w:rPr>
  </w:style>
  <w:style w:type="paragraph" w:customStyle="1" w:styleId="150">
    <w:name w:val="Revision1"/>
    <w:qFormat/>
    <w:uiPriority w:val="99"/>
    <w:rPr>
      <w:rFonts w:ascii="Times New Roman" w:hAnsi="Times New Roman" w:eastAsia="宋体" w:cs="Times New Roman"/>
      <w:kern w:val="2"/>
      <w:sz w:val="21"/>
      <w:szCs w:val="21"/>
      <w:lang w:val="en-US" w:eastAsia="zh-CN" w:bidi="ar-SA"/>
    </w:rPr>
  </w:style>
  <w:style w:type="character" w:customStyle="1" w:styleId="151">
    <w:name w:val="批注框文本 Char2"/>
    <w:semiHidden/>
    <w:qFormat/>
    <w:uiPriority w:val="99"/>
    <w:rPr>
      <w:kern w:val="2"/>
      <w:sz w:val="18"/>
      <w:szCs w:val="18"/>
    </w:rPr>
  </w:style>
  <w:style w:type="character" w:customStyle="1" w:styleId="152">
    <w:name w:val="批注主题 Char2"/>
    <w:semiHidden/>
    <w:qFormat/>
    <w:uiPriority w:val="99"/>
    <w:rPr>
      <w:b/>
      <w:bCs/>
      <w:kern w:val="2"/>
      <w:sz w:val="22"/>
      <w:szCs w:val="22"/>
    </w:rPr>
  </w:style>
  <w:style w:type="character" w:customStyle="1" w:styleId="153">
    <w:name w:val="文档结构图 Char2"/>
    <w:semiHidden/>
    <w:qFormat/>
    <w:uiPriority w:val="99"/>
    <w:rPr>
      <w:rFonts w:ascii="宋体" w:cs="宋体"/>
      <w:kern w:val="2"/>
      <w:sz w:val="18"/>
      <w:szCs w:val="18"/>
    </w:rPr>
  </w:style>
  <w:style w:type="character" w:customStyle="1" w:styleId="154">
    <w:name w:val="日期 Char2"/>
    <w:semiHidden/>
    <w:qFormat/>
    <w:uiPriority w:val="99"/>
    <w:rPr>
      <w:kern w:val="2"/>
      <w:sz w:val="22"/>
      <w:szCs w:val="22"/>
    </w:rPr>
  </w:style>
  <w:style w:type="character" w:customStyle="1" w:styleId="155">
    <w:name w:val="正文文本 Char2"/>
    <w:basedOn w:val="46"/>
    <w:semiHidden/>
    <w:qFormat/>
    <w:uiPriority w:val="99"/>
    <w:rPr>
      <w:kern w:val="2"/>
      <w:sz w:val="21"/>
      <w:szCs w:val="21"/>
    </w:rPr>
  </w:style>
  <w:style w:type="paragraph" w:customStyle="1" w:styleId="156">
    <w:name w:val="TOC Heading1"/>
    <w:basedOn w:val="2"/>
    <w:next w:val="1"/>
    <w:qFormat/>
    <w:uiPriority w:val="99"/>
    <w:pPr>
      <w:spacing w:line="576" w:lineRule="auto"/>
      <w:outlineLvl w:val="9"/>
    </w:pPr>
    <w:rPr>
      <w:rFonts w:ascii="Calibri" w:hAnsi="Calibri" w:cs="Calibri"/>
    </w:rPr>
  </w:style>
  <w:style w:type="character" w:customStyle="1" w:styleId="157">
    <w:name w:val="Subtitle Char1"/>
    <w:basedOn w:val="46"/>
    <w:link w:val="32"/>
    <w:qFormat/>
    <w:locked/>
    <w:uiPriority w:val="99"/>
    <w:rPr>
      <w:rFonts w:ascii="Cambria" w:hAnsi="Cambria" w:cs="Cambria"/>
      <w:b/>
      <w:bCs/>
      <w:kern w:val="28"/>
      <w:sz w:val="32"/>
      <w:szCs w:val="32"/>
    </w:rPr>
  </w:style>
  <w:style w:type="character" w:customStyle="1" w:styleId="158">
    <w:name w:val="副标题 Char1"/>
    <w:basedOn w:val="46"/>
    <w:qFormat/>
    <w:uiPriority w:val="99"/>
    <w:rPr>
      <w:rFonts w:ascii="Cambria" w:hAnsi="Cambria" w:eastAsia="宋体" w:cs="Cambria"/>
      <w:b/>
      <w:bCs/>
      <w:kern w:val="28"/>
      <w:sz w:val="32"/>
      <w:szCs w:val="32"/>
    </w:rPr>
  </w:style>
  <w:style w:type="paragraph" w:styleId="159">
    <w:name w:val="Intense Quote"/>
    <w:basedOn w:val="1"/>
    <w:next w:val="1"/>
    <w:link w:val="160"/>
    <w:qFormat/>
    <w:uiPriority w:val="99"/>
    <w:pPr>
      <w:pBdr>
        <w:bottom w:val="single" w:color="4F81BD" w:sz="4" w:space="4"/>
      </w:pBdr>
      <w:spacing w:before="200" w:after="280"/>
      <w:ind w:left="936" w:right="936"/>
    </w:pPr>
    <w:rPr>
      <w:rFonts w:ascii="Calibri" w:hAnsi="Calibri" w:cs="Calibri"/>
      <w:b/>
      <w:bCs/>
      <w:i/>
      <w:iCs/>
      <w:color w:val="4F81BD"/>
      <w:sz w:val="22"/>
      <w:szCs w:val="22"/>
    </w:rPr>
  </w:style>
  <w:style w:type="character" w:customStyle="1" w:styleId="160">
    <w:name w:val="Intense Quote Char1"/>
    <w:basedOn w:val="46"/>
    <w:link w:val="159"/>
    <w:qFormat/>
    <w:locked/>
    <w:uiPriority w:val="99"/>
    <w:rPr>
      <w:rFonts w:ascii="Times New Roman" w:hAnsi="Times New Roman" w:cs="Times New Roman"/>
      <w:b/>
      <w:bCs/>
      <w:i/>
      <w:iCs/>
      <w:color w:val="4F81BD"/>
      <w:sz w:val="21"/>
      <w:szCs w:val="21"/>
    </w:rPr>
  </w:style>
  <w:style w:type="character" w:customStyle="1" w:styleId="161">
    <w:name w:val="明显引用 Char1"/>
    <w:basedOn w:val="46"/>
    <w:qFormat/>
    <w:uiPriority w:val="99"/>
    <w:rPr>
      <w:rFonts w:ascii="Times New Roman" w:hAnsi="Times New Roman" w:eastAsia="宋体" w:cs="Times New Roman"/>
      <w:b/>
      <w:bCs/>
      <w:i/>
      <w:iCs/>
      <w:color w:val="4F81BD"/>
      <w:kern w:val="2"/>
      <w:sz w:val="24"/>
      <w:szCs w:val="24"/>
    </w:rPr>
  </w:style>
  <w:style w:type="paragraph" w:customStyle="1" w:styleId="162">
    <w:name w:val="样式 标题 3 + (中文) 黑体 小四 非加粗 段前: 7.8 磅 段后: 0 磅 行距: 固定值 20 磅"/>
    <w:basedOn w:val="4"/>
    <w:qFormat/>
    <w:uiPriority w:val="99"/>
    <w:pPr>
      <w:spacing w:before="0" w:after="0" w:line="400" w:lineRule="exact"/>
    </w:pPr>
    <w:rPr>
      <w:rFonts w:eastAsia="黑体"/>
      <w:b w:val="0"/>
      <w:bCs w:val="0"/>
      <w:sz w:val="24"/>
      <w:szCs w:val="24"/>
    </w:rPr>
  </w:style>
  <w:style w:type="paragraph" w:customStyle="1" w:styleId="163">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styleId="164">
    <w:name w:val="No Spacing"/>
    <w:qFormat/>
    <w:uiPriority w:val="99"/>
    <w:pPr>
      <w:widowControl w:val="0"/>
      <w:jc w:val="both"/>
    </w:pPr>
    <w:rPr>
      <w:rFonts w:ascii="Calibri" w:hAnsi="Calibri" w:eastAsia="宋体" w:cs="Calibri"/>
      <w:kern w:val="2"/>
      <w:sz w:val="21"/>
      <w:szCs w:val="21"/>
      <w:lang w:val="en-US" w:eastAsia="zh-CN" w:bidi="ar-SA"/>
    </w:rPr>
  </w:style>
  <w:style w:type="paragraph" w:styleId="165">
    <w:name w:val="Quote"/>
    <w:basedOn w:val="1"/>
    <w:next w:val="1"/>
    <w:link w:val="166"/>
    <w:qFormat/>
    <w:uiPriority w:val="99"/>
    <w:rPr>
      <w:rFonts w:ascii="Calibri" w:hAnsi="Calibri" w:cs="Calibri"/>
      <w:i/>
      <w:iCs/>
      <w:color w:val="000000"/>
      <w:sz w:val="22"/>
      <w:szCs w:val="22"/>
    </w:rPr>
  </w:style>
  <w:style w:type="character" w:customStyle="1" w:styleId="166">
    <w:name w:val="Quote Char1"/>
    <w:basedOn w:val="46"/>
    <w:link w:val="165"/>
    <w:qFormat/>
    <w:locked/>
    <w:uiPriority w:val="99"/>
    <w:rPr>
      <w:rFonts w:ascii="Times New Roman" w:hAnsi="Times New Roman" w:cs="Times New Roman"/>
      <w:i/>
      <w:iCs/>
      <w:color w:val="000000"/>
      <w:sz w:val="21"/>
      <w:szCs w:val="21"/>
    </w:rPr>
  </w:style>
  <w:style w:type="character" w:customStyle="1" w:styleId="167">
    <w:name w:val="引用 Char1"/>
    <w:basedOn w:val="46"/>
    <w:qFormat/>
    <w:uiPriority w:val="99"/>
    <w:rPr>
      <w:rFonts w:ascii="Times New Roman" w:hAnsi="Times New Roman" w:eastAsia="宋体" w:cs="Times New Roman"/>
      <w:i/>
      <w:iCs/>
      <w:color w:val="000000"/>
      <w:kern w:val="2"/>
      <w:sz w:val="24"/>
      <w:szCs w:val="24"/>
    </w:rPr>
  </w:style>
  <w:style w:type="paragraph" w:customStyle="1" w:styleId="168">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69">
    <w:name w:val="CD正文"/>
    <w:basedOn w:val="1"/>
    <w:qFormat/>
    <w:uiPriority w:val="99"/>
    <w:pPr>
      <w:spacing w:line="360" w:lineRule="auto"/>
      <w:ind w:firstLine="493"/>
    </w:pPr>
    <w:rPr>
      <w:sz w:val="30"/>
      <w:szCs w:val="30"/>
    </w:rPr>
  </w:style>
  <w:style w:type="character" w:customStyle="1" w:styleId="170">
    <w:name w:val="NormalCharacter"/>
    <w:link w:val="1"/>
    <w:qFormat/>
    <w:uiPriority w:val="0"/>
    <w:rPr>
      <w:rFonts w:ascii="Times New Roman" w:hAnsi="Times New Roman" w:eastAsia="宋体" w:cs="Times New Roman"/>
      <w:kern w:val="2"/>
      <w:sz w:val="21"/>
      <w:szCs w:val="21"/>
      <w:lang w:val="en-US" w:eastAsia="zh-CN" w:bidi="ar-SA"/>
    </w:rPr>
  </w:style>
  <w:style w:type="paragraph" w:customStyle="1" w:styleId="171">
    <w:name w:val="标题 5（有编号）（绿盟科技）"/>
    <w:basedOn w:val="1"/>
    <w:next w:val="1"/>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172">
    <w:name w:val="UserStyle_30"/>
    <w:qFormat/>
    <w:uiPriority w:val="0"/>
    <w:pPr>
      <w:textAlignment w:val="baseline"/>
    </w:pPr>
    <w:rPr>
      <w:rFonts w:ascii="宋体" w:hAnsi="宋体" w:eastAsia="宋体" w:cstheme="minorBidi"/>
      <w:sz w:val="24"/>
      <w:szCs w:val="24"/>
      <w:lang w:val="en-US" w:eastAsia="zh-CN" w:bidi="ar-SA"/>
    </w:rPr>
  </w:style>
  <w:style w:type="character" w:customStyle="1" w:styleId="173">
    <w:name w:val="img"/>
    <w:basedOn w:val="46"/>
    <w:qFormat/>
    <w:uiPriority w:val="0"/>
  </w:style>
  <w:style w:type="character" w:customStyle="1" w:styleId="174">
    <w:name w:val="img1"/>
    <w:basedOn w:val="46"/>
    <w:qFormat/>
    <w:uiPriority w:val="0"/>
  </w:style>
  <w:style w:type="paragraph" w:customStyle="1" w:styleId="175">
    <w:name w:val="Table Paragraph"/>
    <w:basedOn w:val="1"/>
    <w:qFormat/>
    <w:uiPriority w:val="0"/>
    <w:pPr>
      <w:autoSpaceDE w:val="0"/>
      <w:autoSpaceDN w:val="0"/>
      <w:jc w:val="left"/>
    </w:pPr>
    <w:rPr>
      <w:rFonts w:ascii="宋体" w:hAnsi="宋体" w:eastAsia="宋体" w:cs="宋体"/>
      <w:kern w:val="0"/>
      <w:sz w:val="22"/>
      <w:szCs w:val="22"/>
      <w:lang w:val="zh-CN" w:bidi="zh-CN"/>
    </w:rPr>
  </w:style>
  <w:style w:type="character" w:customStyle="1" w:styleId="176">
    <w:name w:val="font51"/>
    <w:basedOn w:val="46"/>
    <w:qFormat/>
    <w:uiPriority w:val="0"/>
    <w:rPr>
      <w:rFonts w:hint="eastAsia" w:ascii="宋体" w:hAnsi="宋体" w:eastAsia="宋体" w:cs="宋体"/>
      <w:color w:val="000000"/>
      <w:sz w:val="18"/>
      <w:szCs w:val="18"/>
      <w:u w:val="none"/>
    </w:rPr>
  </w:style>
  <w:style w:type="character" w:customStyle="1" w:styleId="177">
    <w:name w:val="font61"/>
    <w:basedOn w:val="46"/>
    <w:qFormat/>
    <w:uiPriority w:val="0"/>
    <w:rPr>
      <w:rFonts w:hint="default" w:ascii="Calibri" w:hAnsi="Calibri" w:cs="Calibri"/>
      <w:color w:val="000000"/>
      <w:sz w:val="18"/>
      <w:szCs w:val="18"/>
      <w:u w:val="none"/>
    </w:rPr>
  </w:style>
  <w:style w:type="paragraph" w:customStyle="1" w:styleId="178">
    <w:name w:val="正文 New"/>
    <w:basedOn w:val="1"/>
    <w:qFormat/>
    <w:uiPriority w:val="0"/>
    <w:pPr>
      <w:spacing w:before="100" w:beforeAutospacing="1" w:after="100" w:afterAutospacing="1" w:line="440" w:lineRule="exact"/>
      <w:ind w:left="357" w:hanging="357"/>
    </w:pPr>
    <w:rPr>
      <w:szCs w:val="21"/>
    </w:rPr>
  </w:style>
  <w:style w:type="paragraph" w:customStyle="1" w:styleId="17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57</Pages>
  <Words>28043</Words>
  <Characters>29352</Characters>
  <Lines>0</Lines>
  <Paragraphs>0</Paragraphs>
  <TotalTime>5</TotalTime>
  <ScaleCrop>false</ScaleCrop>
  <LinksUpToDate>false</LinksUpToDate>
  <CharactersWithSpaces>29920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2020-05-27T20:43:00Z</dcterms:created>
  <dc:creator>刘春阳</dc:creator>
  <cp:lastModifiedBy>user</cp:lastModifiedBy>
  <cp:lastPrinted>2023-07-15T23:36:00Z</cp:lastPrinted>
  <dcterms:modified xsi:type="dcterms:W3CDTF">2025-12-02T09:48:34Z</dcterms:modified>
  <cp:revision>200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2A9C97BC9BF8432FA78D8A590593656C_13</vt:lpwstr>
  </property>
  <property fmtid="{D5CDD505-2E9C-101B-9397-08002B2CF9AE}" pid="4" name="KSOTemplateDocerSaveRecord">
    <vt:lpwstr>eyJoZGlkIjoiOGQ1NjVlNDhmNDU2ZmNlMWNiOWVmZGUxNmIyZmZmZDciLCJ1c2VySWQiOiIzNjE1NzM4NTAifQ==</vt:lpwstr>
  </property>
</Properties>
</file>