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B10D2">
      <w:pPr>
        <w:spacing w:line="360" w:lineRule="auto"/>
        <w:jc w:val="left"/>
        <w:rPr>
          <w:rFonts w:hint="eastAsia" w:ascii="宋体" w:hAnsi="宋体" w:cs="宋体"/>
          <w:b/>
          <w:bCs/>
          <w:sz w:val="40"/>
          <w:szCs w:val="40"/>
          <w:lang w:val="en-US" w:eastAsia="zh-CN"/>
        </w:rPr>
      </w:pPr>
    </w:p>
    <w:p w14:paraId="2BF1EFBF">
      <w:pPr>
        <w:spacing w:line="360" w:lineRule="auto"/>
        <w:jc w:val="left"/>
        <w:rPr>
          <w:rFonts w:hint="default" w:ascii="宋体" w:hAnsi="宋体" w:cs="宋体"/>
          <w:sz w:val="40"/>
          <w:szCs w:val="40"/>
          <w:lang w:val="en-US" w:eastAsia="zh-CN"/>
        </w:rPr>
      </w:pPr>
      <w:r>
        <w:rPr>
          <w:rFonts w:hint="eastAsia" w:ascii="宋体" w:hAnsi="宋体" w:cs="宋体"/>
          <w:b/>
          <w:bCs/>
          <w:sz w:val="40"/>
          <w:szCs w:val="40"/>
          <w:lang w:val="en-US" w:eastAsia="zh-CN"/>
        </w:rPr>
        <w:t>项目编号</w:t>
      </w:r>
      <w:r>
        <w:rPr>
          <w:rFonts w:hint="eastAsia" w:ascii="宋体" w:hAnsi="宋体" w:cs="宋体"/>
          <w:sz w:val="40"/>
          <w:szCs w:val="40"/>
          <w:lang w:val="en-US" w:eastAsia="zh-CN"/>
        </w:rPr>
        <w:t>：</w:t>
      </w:r>
      <w:r>
        <w:rPr>
          <w:rFonts w:hint="eastAsia" w:ascii="宋体" w:hAnsi="宋体" w:cs="宋体"/>
          <w:sz w:val="32"/>
          <w:szCs w:val="32"/>
          <w:lang w:val="en-US" w:eastAsia="zh-CN"/>
        </w:rPr>
        <w:t>天宇华辰-竞谈（2025）11号</w:t>
      </w:r>
    </w:p>
    <w:p w14:paraId="24682B80">
      <w:pPr>
        <w:spacing w:line="360" w:lineRule="auto"/>
        <w:jc w:val="both"/>
        <w:rPr>
          <w:rFonts w:hint="eastAsia" w:ascii="黑体" w:hAnsi="黑体" w:eastAsia="黑体" w:cs="黑体"/>
          <w:b/>
          <w:bCs/>
          <w:color w:val="000000" w:themeColor="text1"/>
          <w:sz w:val="48"/>
          <w:szCs w:val="48"/>
          <w14:textFill>
            <w14:solidFill>
              <w14:schemeClr w14:val="tx1"/>
            </w14:solidFill>
          </w14:textFill>
        </w:rPr>
      </w:pPr>
      <w:r>
        <w:rPr>
          <w:rFonts w:hint="eastAsia" w:ascii="宋体" w:hAnsi="宋体" w:cs="宋体"/>
          <w:b/>
          <w:bCs/>
          <w:sz w:val="40"/>
          <w:szCs w:val="40"/>
          <w:lang w:val="en-US" w:eastAsia="zh-CN"/>
        </w:rPr>
        <w:t>项目名称</w:t>
      </w:r>
      <w:r>
        <w:rPr>
          <w:rFonts w:hint="eastAsia" w:ascii="宋体" w:hAnsi="宋体" w:cs="宋体"/>
          <w:sz w:val="40"/>
          <w:szCs w:val="40"/>
          <w:lang w:val="en-US" w:eastAsia="zh-CN"/>
        </w:rPr>
        <w:t>：</w:t>
      </w:r>
      <w:r>
        <w:rPr>
          <w:rFonts w:hint="eastAsia" w:ascii="宋体" w:hAnsi="宋体" w:cs="宋体"/>
          <w:color w:val="000000" w:themeColor="text1"/>
          <w:sz w:val="32"/>
          <w:szCs w:val="32"/>
          <w:lang w:val="en-US" w:eastAsia="zh-CN"/>
          <w14:textFill>
            <w14:solidFill>
              <w14:schemeClr w14:val="tx1"/>
            </w14:solidFill>
          </w14:textFill>
        </w:rPr>
        <w:t>广元市防汛联合值班值守工作用房维修项目</w:t>
      </w:r>
    </w:p>
    <w:p w14:paraId="3FB08E41">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竞</w:t>
      </w:r>
    </w:p>
    <w:p w14:paraId="52A4EC37">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争</w:t>
      </w:r>
    </w:p>
    <w:p w14:paraId="0B0A6893">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性</w:t>
      </w:r>
    </w:p>
    <w:p w14:paraId="127E29EF">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谈</w:t>
      </w:r>
    </w:p>
    <w:p w14:paraId="4B1677FA">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判</w:t>
      </w:r>
    </w:p>
    <w:p w14:paraId="14AE8DBB">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文</w:t>
      </w:r>
    </w:p>
    <w:p w14:paraId="738ABD20">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件</w:t>
      </w:r>
    </w:p>
    <w:p w14:paraId="2233E390">
      <w:pPr>
        <w:pStyle w:val="59"/>
        <w:rPr>
          <w:rFonts w:hint="eastAsia"/>
        </w:rPr>
      </w:pPr>
    </w:p>
    <w:p w14:paraId="7695A139">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outlineLvl w:val="9"/>
        <w:rPr>
          <w:rFonts w:hint="default" w:ascii="宋体" w:hAnsi="宋体" w:cs="宋体"/>
          <w:b/>
          <w:bCs/>
          <w:sz w:val="32"/>
          <w:szCs w:val="32"/>
          <w:lang w:val="en-US" w:eastAsia="zh-CN"/>
        </w:rPr>
      </w:pPr>
      <w:bookmarkStart w:id="0" w:name="PO_采购人_1"/>
      <w:r>
        <w:rPr>
          <w:rFonts w:hint="eastAsia" w:ascii="宋体" w:hAnsi="宋体" w:eastAsia="宋体" w:cs="宋体"/>
          <w:b/>
          <w:bCs/>
          <w:sz w:val="32"/>
          <w:szCs w:val="32"/>
        </w:rPr>
        <w:t>采购人</w:t>
      </w:r>
      <w:bookmarkEnd w:id="0"/>
      <w:r>
        <w:rPr>
          <w:rFonts w:hint="eastAsia" w:ascii="宋体" w:hAnsi="宋体" w:eastAsia="宋体" w:cs="宋体"/>
          <w:b/>
          <w:bCs/>
          <w:sz w:val="32"/>
          <w:szCs w:val="32"/>
        </w:rPr>
        <w:t>：</w:t>
      </w:r>
      <w:r>
        <w:rPr>
          <w:rFonts w:hint="eastAsia" w:ascii="宋体" w:hAnsi="宋体" w:cs="宋体"/>
          <w:b/>
          <w:bCs/>
          <w:sz w:val="32"/>
          <w:szCs w:val="32"/>
          <w:u w:val="single"/>
          <w:lang w:val="en-US" w:eastAsia="zh-CN"/>
        </w:rPr>
        <w:t xml:space="preserve">          </w:t>
      </w:r>
      <w:r>
        <w:rPr>
          <w:rFonts w:hint="eastAsia" w:ascii="宋体" w:hAnsi="宋体" w:cs="宋体"/>
          <w:kern w:val="2"/>
          <w:sz w:val="32"/>
          <w:szCs w:val="32"/>
          <w:u w:val="single"/>
          <w:lang w:val="en-US" w:eastAsia="zh-CN" w:bidi="ar-SA"/>
        </w:rPr>
        <w:t>广元市水利局</w:t>
      </w:r>
      <w:r>
        <w:rPr>
          <w:rFonts w:hint="eastAsia" w:ascii="宋体" w:hAnsi="宋体" w:eastAsia="宋体" w:cs="宋体"/>
          <w:kern w:val="2"/>
          <w:sz w:val="32"/>
          <w:szCs w:val="32"/>
          <w:u w:val="single"/>
          <w:lang w:val="en-US" w:eastAsia="zh-CN" w:bidi="ar-SA"/>
        </w:rPr>
        <w:t xml:space="preserve"> </w:t>
      </w:r>
      <w:r>
        <w:rPr>
          <w:rFonts w:hint="eastAsia" w:ascii="宋体" w:hAnsi="宋体" w:cs="宋体"/>
          <w:kern w:val="2"/>
          <w:sz w:val="32"/>
          <w:szCs w:val="32"/>
          <w:u w:val="single"/>
          <w:lang w:val="en-US" w:eastAsia="zh-CN" w:bidi="ar-SA"/>
        </w:rPr>
        <w:t xml:space="preserve">             </w:t>
      </w:r>
    </w:p>
    <w:p w14:paraId="2DC6C796">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outlineLvl w:val="9"/>
        <w:rPr>
          <w:rFonts w:hint="default" w:ascii="宋体" w:hAnsi="宋体" w:eastAsia="宋体" w:cs="宋体"/>
          <w:b/>
          <w:bCs/>
          <w:sz w:val="32"/>
          <w:szCs w:val="32"/>
          <w:u w:val="single"/>
          <w:lang w:val="en-US"/>
        </w:rPr>
      </w:pPr>
      <w:r>
        <w:rPr>
          <w:rFonts w:hint="eastAsia" w:ascii="宋体" w:hAnsi="宋体" w:eastAsia="宋体" w:cs="宋体"/>
          <w:b/>
          <w:bCs/>
          <w:sz w:val="32"/>
          <w:szCs w:val="32"/>
        </w:rPr>
        <w:t>采购代理机构：</w:t>
      </w:r>
      <w:r>
        <w:rPr>
          <w:rFonts w:hint="eastAsia" w:ascii="宋体" w:hAnsi="宋体" w:cs="宋体"/>
          <w:b/>
          <w:bCs/>
          <w:sz w:val="32"/>
          <w:szCs w:val="32"/>
          <w:u w:val="single"/>
          <w:lang w:val="en-US" w:eastAsia="zh-CN"/>
        </w:rPr>
        <w:t xml:space="preserve"> </w:t>
      </w:r>
      <w:r>
        <w:rPr>
          <w:rFonts w:hint="eastAsia" w:ascii="宋体" w:hAnsi="宋体" w:cs="宋体"/>
          <w:kern w:val="2"/>
          <w:sz w:val="32"/>
          <w:szCs w:val="32"/>
          <w:u w:val="single"/>
          <w:lang w:val="en-US" w:eastAsia="zh-CN" w:bidi="ar-SA"/>
        </w:rPr>
        <w:t>四川天宇华辰建设工程有限公司</w:t>
      </w:r>
      <w:r>
        <w:rPr>
          <w:rFonts w:hint="eastAsia" w:ascii="宋体" w:hAnsi="宋体" w:eastAsia="宋体" w:cs="宋体"/>
          <w:kern w:val="2"/>
          <w:sz w:val="32"/>
          <w:szCs w:val="32"/>
          <w:u w:val="single"/>
          <w:lang w:val="en-US" w:eastAsia="zh-CN" w:bidi="ar-SA"/>
        </w:rPr>
        <w:t xml:space="preserve"> </w:t>
      </w:r>
      <w:r>
        <w:rPr>
          <w:rFonts w:hint="eastAsia" w:ascii="宋体" w:hAnsi="宋体" w:cs="宋体"/>
          <w:kern w:val="2"/>
          <w:sz w:val="32"/>
          <w:szCs w:val="32"/>
          <w:u w:val="single"/>
          <w:lang w:val="en-US" w:eastAsia="zh-CN" w:bidi="ar-SA"/>
        </w:rPr>
        <w:t xml:space="preserve"> </w:t>
      </w:r>
    </w:p>
    <w:p w14:paraId="6EEFFEFD">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共同编制</w:t>
      </w:r>
    </w:p>
    <w:p w14:paraId="26665D37">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outlineLvl w:val="9"/>
        <w:rPr>
          <w:rFonts w:hint="default" w:ascii="宋体" w:hAnsi="宋体" w:eastAsia="宋体" w:cs="宋体"/>
          <w:sz w:val="24"/>
          <w:szCs w:val="24"/>
          <w:lang w:val="en-US"/>
        </w:rPr>
      </w:pPr>
      <w:r>
        <w:rPr>
          <w:rFonts w:hint="eastAsia" w:ascii="宋体" w:hAnsi="宋体" w:cs="宋体"/>
          <w:b/>
          <w:bCs/>
          <w:sz w:val="36"/>
          <w:szCs w:val="36"/>
          <w:lang w:val="en-US" w:eastAsia="zh-CN"/>
        </w:rPr>
        <w:t>2025年11月</w:t>
      </w:r>
    </w:p>
    <w:p w14:paraId="5D2B03CE">
      <w:pPr>
        <w:rPr>
          <w:rFonts w:hint="eastAsia" w:ascii="宋体" w:hAnsi="宋体" w:eastAsia="宋体" w:cs="宋体"/>
          <w:sz w:val="24"/>
          <w:szCs w:val="24"/>
        </w:rPr>
      </w:pPr>
      <w:r>
        <w:rPr>
          <w:rFonts w:hint="eastAsia" w:ascii="宋体" w:hAnsi="宋体" w:eastAsia="宋体" w:cs="宋体"/>
          <w:sz w:val="24"/>
          <w:szCs w:val="24"/>
        </w:rPr>
        <w:br w:type="page"/>
      </w:r>
    </w:p>
    <w:p w14:paraId="0A9722B9">
      <w:pPr>
        <w:pStyle w:val="5"/>
        <w:keepNext w:val="0"/>
        <w:keepLine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目录</w:t>
      </w:r>
    </w:p>
    <w:p w14:paraId="1E693FCB">
      <w:pPr>
        <w:pStyle w:val="30"/>
        <w:tabs>
          <w:tab w:val="right" w:leader="dot" w:pos="8303"/>
        </w:tabs>
        <w:rPr>
          <w:rFonts w:hint="eastAsia" w:ascii="宋体" w:hAnsi="宋体" w:eastAsia="宋体" w:cs="宋体"/>
          <w:sz w:val="24"/>
          <w:szCs w:val="24"/>
        </w:rPr>
      </w:pPr>
      <w:r>
        <w:rPr>
          <w:rStyle w:val="53"/>
          <w:rFonts w:hint="eastAsia" w:ascii="宋体" w:hAnsi="宋体" w:eastAsia="宋体" w:cs="宋体"/>
          <w:caps/>
          <w:color w:val="auto"/>
          <w:sz w:val="24"/>
          <w:szCs w:val="24"/>
        </w:rPr>
        <w:fldChar w:fldCharType="begin"/>
      </w:r>
      <w:r>
        <w:rPr>
          <w:rStyle w:val="53"/>
          <w:rFonts w:hint="eastAsia" w:ascii="宋体" w:hAnsi="宋体" w:eastAsia="宋体" w:cs="宋体"/>
          <w:caps/>
          <w:color w:val="auto"/>
          <w:sz w:val="24"/>
          <w:szCs w:val="24"/>
        </w:rPr>
        <w:instrText xml:space="preserve">TOC \h \z \t "标题,1"</w:instrText>
      </w:r>
      <w:r>
        <w:rPr>
          <w:rStyle w:val="53"/>
          <w:rFonts w:hint="eastAsia" w:ascii="宋体" w:hAnsi="宋体" w:eastAsia="宋体" w:cs="宋体"/>
          <w:caps/>
          <w:color w:val="auto"/>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"_Toc41037902"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第一章</w:t>
      </w:r>
      <w:r>
        <w:rPr>
          <w:rStyle w:val="53"/>
          <w:rFonts w:hint="eastAsia" w:ascii="宋体" w:hAnsi="宋体" w:eastAsia="宋体" w:cs="宋体"/>
          <w:color w:val="auto"/>
          <w:sz w:val="24"/>
          <w:szCs w:val="24"/>
          <w:lang w:val="en-US" w:eastAsia="zh-CN"/>
        </w:rPr>
        <w:t>谈判</w:t>
      </w:r>
      <w:r>
        <w:rPr>
          <w:rStyle w:val="53"/>
          <w:rFonts w:hint="eastAsia" w:ascii="宋体" w:hAnsi="宋体" w:eastAsia="宋体" w:cs="宋体"/>
          <w:color w:val="auto"/>
          <w:sz w:val="24"/>
          <w:szCs w:val="24"/>
        </w:rPr>
        <w:t>邀请</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p>
    <w:p w14:paraId="7FF329FC">
      <w:pPr>
        <w:pStyle w:val="30"/>
        <w:tabs>
          <w:tab w:val="right" w:leader="dot" w:pos="8303"/>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"_Toc41037903"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第二章</w:t>
      </w:r>
      <w:r>
        <w:rPr>
          <w:rStyle w:val="53"/>
          <w:rFonts w:hint="eastAsia" w:ascii="宋体" w:hAnsi="宋体" w:eastAsia="宋体" w:cs="宋体"/>
          <w:color w:val="auto"/>
          <w:sz w:val="24"/>
          <w:szCs w:val="24"/>
          <w:lang w:val="en-US" w:eastAsia="zh-CN"/>
        </w:rPr>
        <w:t>谈判</w:t>
      </w:r>
      <w:r>
        <w:rPr>
          <w:rStyle w:val="53"/>
          <w:rFonts w:hint="eastAsia" w:ascii="宋体" w:hAnsi="宋体" w:eastAsia="宋体" w:cs="宋体"/>
          <w:color w:val="auto"/>
          <w:sz w:val="24"/>
          <w:szCs w:val="24"/>
        </w:rPr>
        <w:t>须知</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14:paraId="4A4B3CA2">
      <w:pPr>
        <w:pStyle w:val="30"/>
        <w:tabs>
          <w:tab w:val="right" w:leader="dot" w:pos="8303"/>
        </w:tabs>
        <w:rPr>
          <w:rFonts w:hint="eastAsia" w:ascii="宋体" w:hAnsi="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"_Toc41037905"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w:t>
      </w:r>
      <w:r>
        <w:rPr>
          <w:rStyle w:val="53"/>
          <w:rFonts w:hint="eastAsia" w:ascii="宋体" w:hAnsi="宋体" w:eastAsia="宋体" w:cs="宋体"/>
          <w:color w:val="auto"/>
          <w:sz w:val="24"/>
          <w:szCs w:val="24"/>
          <w:lang w:val="en-US" w:eastAsia="zh-CN"/>
        </w:rPr>
        <w:t>三</w:t>
      </w:r>
      <w:r>
        <w:rPr>
          <w:rStyle w:val="53"/>
          <w:rFonts w:hint="eastAsia" w:ascii="宋体" w:hAnsi="宋体" w:eastAsia="宋体" w:cs="宋体"/>
          <w:color w:val="auto"/>
          <w:sz w:val="24"/>
          <w:szCs w:val="24"/>
        </w:rPr>
        <w:t>章供应商应当提供的资格、资质性及其他类似效力要求的相关证明材料</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14:paraId="348BD673">
      <w:pPr>
        <w:pStyle w:val="30"/>
        <w:tabs>
          <w:tab w:val="right" w:leader="dot" w:pos="8303"/>
        </w:tabs>
        <w:rPr>
          <w:rFonts w:hint="eastAsia"/>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四</w:t>
      </w:r>
      <w:r>
        <w:rPr>
          <w:rFonts w:hint="eastAsia" w:ascii="宋体" w:hAnsi="宋体" w:eastAsia="宋体" w:cs="宋体"/>
          <w:sz w:val="24"/>
          <w:szCs w:val="24"/>
        </w:rPr>
        <w:t>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应当提供的资格、资质性及其他类似效力要求的相关证明材料</w:t>
      </w:r>
      <w:r>
        <w:rPr>
          <w:rFonts w:hint="eastAsia" w:ascii="宋体" w:hAnsi="宋体" w:cs="宋体"/>
          <w:sz w:val="24"/>
          <w:szCs w:val="24"/>
          <w:lang w:val="en-US" w:eastAsia="zh-CN"/>
        </w:rPr>
        <w:t>23</w:t>
      </w:r>
    </w:p>
    <w:p w14:paraId="5A5BE890">
      <w:pPr>
        <w:pStyle w:val="30"/>
        <w:tabs>
          <w:tab w:val="right" w:leader="dot" w:pos="8303"/>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"_Toc41037906"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w:t>
      </w:r>
      <w:r>
        <w:rPr>
          <w:rStyle w:val="53"/>
          <w:rFonts w:hint="eastAsia" w:ascii="宋体" w:hAnsi="宋体" w:cs="宋体"/>
          <w:color w:val="auto"/>
          <w:sz w:val="24"/>
          <w:szCs w:val="24"/>
          <w:lang w:val="en-US" w:eastAsia="zh-CN"/>
        </w:rPr>
        <w:t>五</w:t>
      </w:r>
      <w:r>
        <w:rPr>
          <w:rStyle w:val="53"/>
          <w:rFonts w:hint="eastAsia" w:ascii="宋体" w:hAnsi="宋体" w:eastAsia="宋体" w:cs="宋体"/>
          <w:color w:val="auto"/>
          <w:sz w:val="24"/>
          <w:szCs w:val="24"/>
        </w:rPr>
        <w:t>章采购项目技术、服务、政府采购合同内容条款及其他商务要求</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4D557DBB">
      <w:pPr>
        <w:pStyle w:val="30"/>
        <w:tabs>
          <w:tab w:val="right" w:leader="dot" w:pos="8303"/>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"_Toc41037907"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w:t>
      </w:r>
      <w:r>
        <w:rPr>
          <w:rStyle w:val="53"/>
          <w:rFonts w:hint="eastAsia" w:ascii="宋体" w:hAnsi="宋体" w:cs="宋体"/>
          <w:color w:val="auto"/>
          <w:sz w:val="24"/>
          <w:szCs w:val="24"/>
          <w:lang w:val="en-US" w:eastAsia="zh-CN"/>
        </w:rPr>
        <w:t>六</w:t>
      </w:r>
      <w:r>
        <w:rPr>
          <w:rStyle w:val="53"/>
          <w:rFonts w:hint="eastAsia" w:ascii="宋体" w:hAnsi="宋体" w:eastAsia="宋体" w:cs="宋体"/>
          <w:color w:val="auto"/>
          <w:sz w:val="24"/>
          <w:szCs w:val="24"/>
        </w:rPr>
        <w:t>章</w:t>
      </w:r>
      <w:r>
        <w:rPr>
          <w:rStyle w:val="53"/>
          <w:rFonts w:hint="eastAsia" w:ascii="宋体" w:hAnsi="宋体" w:eastAsia="宋体" w:cs="宋体"/>
          <w:color w:val="auto"/>
          <w:sz w:val="24"/>
          <w:szCs w:val="24"/>
          <w:lang w:val="en-US" w:eastAsia="zh-CN"/>
        </w:rPr>
        <w:t>谈判</w:t>
      </w:r>
      <w:r>
        <w:rPr>
          <w:rStyle w:val="53"/>
          <w:rFonts w:hint="eastAsia" w:ascii="宋体" w:hAnsi="宋体" w:eastAsia="宋体" w:cs="宋体"/>
          <w:color w:val="auto"/>
          <w:sz w:val="24"/>
          <w:szCs w:val="24"/>
        </w:rPr>
        <w:t>内容、</w:t>
      </w:r>
      <w:r>
        <w:rPr>
          <w:rStyle w:val="53"/>
          <w:rFonts w:hint="eastAsia" w:ascii="宋体" w:hAnsi="宋体" w:cs="宋体"/>
          <w:color w:val="auto"/>
          <w:sz w:val="24"/>
          <w:szCs w:val="24"/>
          <w:lang w:eastAsia="zh-CN"/>
        </w:rPr>
        <w:t>谈判</w:t>
      </w:r>
      <w:r>
        <w:rPr>
          <w:rStyle w:val="53"/>
          <w:rFonts w:hint="eastAsia" w:ascii="宋体" w:hAnsi="宋体" w:eastAsia="宋体" w:cs="宋体"/>
          <w:color w:val="auto"/>
          <w:sz w:val="24"/>
          <w:szCs w:val="24"/>
        </w:rPr>
        <w:t>过程中可实质性变动的内容</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7D77A0BE">
      <w:pPr>
        <w:pStyle w:val="30"/>
        <w:tabs>
          <w:tab w:val="right" w:leader="dot" w:pos="8303"/>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"_Toc41037908"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w:t>
      </w:r>
      <w:r>
        <w:rPr>
          <w:rStyle w:val="53"/>
          <w:rFonts w:hint="eastAsia" w:ascii="宋体" w:hAnsi="宋体" w:cs="宋体"/>
          <w:color w:val="auto"/>
          <w:sz w:val="24"/>
          <w:szCs w:val="24"/>
          <w:lang w:val="en-US" w:eastAsia="zh-CN"/>
        </w:rPr>
        <w:t>七</w:t>
      </w:r>
      <w:r>
        <w:rPr>
          <w:rStyle w:val="53"/>
          <w:rFonts w:hint="eastAsia" w:ascii="宋体" w:hAnsi="宋体" w:eastAsia="宋体" w:cs="宋体"/>
          <w:color w:val="auto"/>
          <w:sz w:val="24"/>
          <w:szCs w:val="24"/>
        </w:rPr>
        <w:t>章响应文件格式</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47E51B38">
      <w:pPr>
        <w:pStyle w:val="30"/>
        <w:tabs>
          <w:tab w:val="right" w:leader="dot" w:pos="8303"/>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"_Toc41037909"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w:t>
      </w:r>
      <w:r>
        <w:rPr>
          <w:rStyle w:val="53"/>
          <w:rFonts w:hint="eastAsia" w:ascii="宋体" w:hAnsi="宋体" w:cs="宋体"/>
          <w:color w:val="auto"/>
          <w:sz w:val="24"/>
          <w:szCs w:val="24"/>
          <w:lang w:val="en-US" w:eastAsia="zh-CN"/>
        </w:rPr>
        <w:t>八</w:t>
      </w:r>
      <w:r>
        <w:rPr>
          <w:rStyle w:val="53"/>
          <w:rFonts w:hint="eastAsia" w:ascii="宋体" w:hAnsi="宋体" w:eastAsia="宋体" w:cs="宋体"/>
          <w:color w:val="auto"/>
          <w:sz w:val="24"/>
          <w:szCs w:val="24"/>
        </w:rPr>
        <w:t>章评审方法</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76850CE3">
      <w:pPr>
        <w:pStyle w:val="30"/>
        <w:tabs>
          <w:tab w:val="right" w:leader="dot" w:pos="8303"/>
        </w:tabs>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"_Toc41037910"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w:t>
      </w:r>
      <w:r>
        <w:rPr>
          <w:rStyle w:val="53"/>
          <w:rFonts w:hint="eastAsia" w:ascii="宋体" w:hAnsi="宋体" w:cs="宋体"/>
          <w:color w:val="auto"/>
          <w:sz w:val="24"/>
          <w:szCs w:val="24"/>
          <w:lang w:eastAsia="zh-CN"/>
        </w:rPr>
        <w:t>九</w:t>
      </w:r>
      <w:r>
        <w:rPr>
          <w:rStyle w:val="53"/>
          <w:rFonts w:hint="eastAsia" w:ascii="宋体" w:hAnsi="宋体" w:eastAsia="宋体" w:cs="宋体"/>
          <w:color w:val="auto"/>
          <w:sz w:val="24"/>
          <w:szCs w:val="24"/>
        </w:rPr>
        <w:t>章政府采购合同（草案）</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57</w:t>
      </w:r>
    </w:p>
    <w:p w14:paraId="5B07614A">
      <w:pPr>
        <w:pStyle w:val="30"/>
        <w:tabs>
          <w:tab w:val="right" w:leader="dot" w:pos="8303"/>
        </w:tabs>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"_Toc41037911" </w:instrText>
      </w:r>
      <w:r>
        <w:rPr>
          <w:rFonts w:hint="eastAsia" w:ascii="宋体" w:hAnsi="宋体" w:eastAsia="宋体" w:cs="宋体"/>
          <w:sz w:val="24"/>
          <w:szCs w:val="24"/>
        </w:rPr>
        <w:fldChar w:fldCharType="separate"/>
      </w:r>
      <w:r>
        <w:rPr>
          <w:rStyle w:val="53"/>
          <w:rFonts w:hint="eastAsia" w:ascii="宋体" w:hAnsi="宋体" w:eastAsia="宋体" w:cs="宋体"/>
          <w:color w:val="auto"/>
          <w:sz w:val="24"/>
          <w:szCs w:val="24"/>
        </w:rPr>
        <w:t>第</w:t>
      </w:r>
      <w:r>
        <w:rPr>
          <w:rStyle w:val="53"/>
          <w:rFonts w:hint="eastAsia" w:ascii="宋体" w:hAnsi="宋体" w:cs="宋体"/>
          <w:color w:val="auto"/>
          <w:sz w:val="24"/>
          <w:szCs w:val="24"/>
          <w:lang w:eastAsia="zh-CN"/>
        </w:rPr>
        <w:t>十</w:t>
      </w:r>
      <w:r>
        <w:rPr>
          <w:rStyle w:val="53"/>
          <w:rFonts w:hint="eastAsia" w:ascii="宋体" w:hAnsi="宋体" w:eastAsia="宋体" w:cs="宋体"/>
          <w:color w:val="auto"/>
          <w:sz w:val="24"/>
          <w:szCs w:val="24"/>
        </w:rPr>
        <w:t>章工程量清单</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3301A03C">
      <w:pPr>
        <w:widowControl/>
        <w:spacing w:line="360" w:lineRule="auto"/>
        <w:jc w:val="left"/>
        <w:rPr>
          <w:rFonts w:hint="eastAsia" w:ascii="宋体" w:hAnsi="宋体" w:eastAsia="宋体" w:cs="宋体"/>
          <w:sz w:val="24"/>
          <w:szCs w:val="24"/>
        </w:rPr>
      </w:pPr>
      <w:r>
        <w:rPr>
          <w:rStyle w:val="53"/>
          <w:rFonts w:hint="eastAsia" w:ascii="宋体" w:hAnsi="宋体" w:eastAsia="宋体" w:cs="宋体"/>
          <w:caps/>
          <w:color w:val="auto"/>
          <w:sz w:val="24"/>
          <w:szCs w:val="24"/>
        </w:rPr>
        <w:fldChar w:fldCharType="end"/>
      </w:r>
    </w:p>
    <w:p w14:paraId="6DF52AB4">
      <w:pPr>
        <w:widowControl/>
        <w:spacing w:line="360" w:lineRule="auto"/>
        <w:jc w:val="left"/>
        <w:rPr>
          <w:rFonts w:hint="eastAsia" w:ascii="宋体" w:hAnsi="宋体" w:eastAsia="宋体" w:cs="宋体"/>
          <w:sz w:val="24"/>
          <w:szCs w:val="24"/>
        </w:rPr>
      </w:pPr>
    </w:p>
    <w:p w14:paraId="789270FC">
      <w:pPr>
        <w:pStyle w:val="39"/>
        <w:rPr>
          <w:rFonts w:hint="eastAsia" w:ascii="宋体" w:hAnsi="宋体" w:eastAsia="宋体" w:cs="宋体"/>
          <w:sz w:val="24"/>
          <w:szCs w:val="24"/>
        </w:rPr>
      </w:pPr>
      <w:bookmarkStart w:id="1" w:name="_Toc41037902"/>
      <w:bookmarkStart w:id="2" w:name="_Toc509579140"/>
    </w:p>
    <w:p w14:paraId="0B8AD918">
      <w:pPr>
        <w:pStyle w:val="39"/>
        <w:rPr>
          <w:rFonts w:hint="eastAsia" w:ascii="宋体" w:hAnsi="宋体" w:eastAsia="宋体" w:cs="宋体"/>
          <w:sz w:val="24"/>
          <w:szCs w:val="24"/>
        </w:rPr>
      </w:pPr>
    </w:p>
    <w:p w14:paraId="2131A866">
      <w:pPr>
        <w:pStyle w:val="39"/>
        <w:rPr>
          <w:rFonts w:hint="eastAsia" w:ascii="宋体" w:hAnsi="宋体" w:eastAsia="宋体" w:cs="宋体"/>
          <w:sz w:val="24"/>
          <w:szCs w:val="24"/>
        </w:rPr>
      </w:pPr>
    </w:p>
    <w:p w14:paraId="2041B33E">
      <w:pPr>
        <w:pStyle w:val="39"/>
        <w:rPr>
          <w:rFonts w:hint="eastAsia" w:ascii="宋体" w:hAnsi="宋体" w:eastAsia="宋体" w:cs="宋体"/>
          <w:sz w:val="24"/>
          <w:szCs w:val="24"/>
        </w:rPr>
      </w:pPr>
    </w:p>
    <w:p w14:paraId="351612D8">
      <w:pPr>
        <w:pStyle w:val="39"/>
        <w:rPr>
          <w:rFonts w:hint="eastAsia" w:ascii="宋体" w:hAnsi="宋体" w:eastAsia="宋体" w:cs="宋体"/>
          <w:sz w:val="24"/>
          <w:szCs w:val="24"/>
        </w:rPr>
      </w:pPr>
    </w:p>
    <w:p w14:paraId="609CA0FA">
      <w:pPr>
        <w:pStyle w:val="39"/>
        <w:rPr>
          <w:rFonts w:hint="eastAsia" w:ascii="宋体" w:hAnsi="宋体" w:eastAsia="宋体" w:cs="宋体"/>
          <w:sz w:val="24"/>
          <w:szCs w:val="24"/>
        </w:rPr>
      </w:pPr>
    </w:p>
    <w:p w14:paraId="264C2274">
      <w:pPr>
        <w:pStyle w:val="39"/>
        <w:rPr>
          <w:rFonts w:hint="eastAsia" w:ascii="宋体" w:hAnsi="宋体" w:eastAsia="宋体" w:cs="宋体"/>
          <w:sz w:val="24"/>
          <w:szCs w:val="24"/>
        </w:rPr>
      </w:pPr>
    </w:p>
    <w:p w14:paraId="2444EAB3">
      <w:pPr>
        <w:pStyle w:val="39"/>
        <w:rPr>
          <w:rFonts w:hint="eastAsia" w:ascii="宋体" w:hAnsi="宋体" w:eastAsia="宋体" w:cs="宋体"/>
          <w:sz w:val="24"/>
          <w:szCs w:val="24"/>
        </w:rPr>
      </w:pPr>
    </w:p>
    <w:p w14:paraId="218824DF">
      <w:pPr>
        <w:pStyle w:val="39"/>
        <w:rPr>
          <w:rFonts w:hint="eastAsia" w:ascii="宋体" w:hAnsi="宋体" w:eastAsia="宋体" w:cs="宋体"/>
          <w:sz w:val="24"/>
          <w:szCs w:val="24"/>
        </w:rPr>
        <w:sectPr>
          <w:headerReference r:id="rId3" w:type="default"/>
          <w:footerReference r:id="rId4" w:type="default"/>
          <w:pgSz w:w="11907" w:h="16840"/>
          <w:pgMar w:top="1440" w:right="1800" w:bottom="1440" w:left="1800" w:header="851" w:footer="992" w:gutter="0"/>
          <w:pgNumType w:start="1"/>
          <w:cols w:space="425" w:num="1"/>
          <w:docGrid w:linePitch="312" w:charSpace="0"/>
        </w:sectPr>
      </w:pPr>
    </w:p>
    <w:p w14:paraId="5C2D713A">
      <w:pPr>
        <w:pStyle w:val="39"/>
        <w:jc w:val="center"/>
        <w:rPr>
          <w:rFonts w:hint="eastAsia" w:ascii="宋体" w:hAnsi="宋体" w:eastAsia="宋体" w:cs="宋体"/>
          <w:sz w:val="40"/>
          <w:szCs w:val="40"/>
        </w:rPr>
      </w:pPr>
      <w:r>
        <w:rPr>
          <w:rFonts w:hint="eastAsia" w:ascii="宋体" w:hAnsi="宋体" w:eastAsia="宋体" w:cs="宋体"/>
          <w:sz w:val="40"/>
          <w:szCs w:val="40"/>
        </w:rPr>
        <w:t>第一章</w:t>
      </w:r>
      <w:r>
        <w:rPr>
          <w:rFonts w:hint="eastAsia" w:ascii="宋体" w:hAnsi="宋体" w:cs="宋体"/>
          <w:sz w:val="40"/>
          <w:szCs w:val="40"/>
          <w:lang w:val="en-US" w:eastAsia="zh-CN"/>
        </w:rPr>
        <w:t xml:space="preserve">   </w:t>
      </w:r>
      <w:r>
        <w:rPr>
          <w:rFonts w:hint="eastAsia" w:ascii="宋体" w:hAnsi="宋体" w:eastAsia="宋体" w:cs="宋体"/>
          <w:sz w:val="40"/>
          <w:szCs w:val="40"/>
        </w:rPr>
        <w:t>谈判邀请</w:t>
      </w:r>
      <w:bookmarkEnd w:id="1"/>
      <w:bookmarkEnd w:id="2"/>
    </w:p>
    <w:p w14:paraId="37633977">
      <w:pPr>
        <w:spacing w:line="360" w:lineRule="auto"/>
        <w:ind w:firstLine="720" w:firstLineChars="300"/>
        <w:jc w:val="left"/>
        <w:rPr>
          <w:rFonts w:hint="eastAsia" w:ascii="宋体" w:hAnsi="宋体" w:eastAsia="宋体" w:cs="宋体"/>
          <w:sz w:val="24"/>
          <w:szCs w:val="24"/>
        </w:rPr>
      </w:pPr>
    </w:p>
    <w:p w14:paraId="417F0D4C">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00" w:firstLineChars="250"/>
        <w:textAlignment w:val="auto"/>
        <w:outlineLvl w:val="9"/>
        <w:rPr>
          <w:rFonts w:hint="eastAsia" w:ascii="宋体" w:hAnsi="宋体" w:eastAsia="宋体" w:cs="宋体"/>
          <w:color w:val="000000" w:themeColor="text1"/>
          <w:sz w:val="24"/>
          <w:szCs w:val="24"/>
          <w14:textFill>
            <w14:solidFill>
              <w14:schemeClr w14:val="tx1"/>
            </w14:solidFill>
          </w14:textFill>
        </w:rPr>
      </w:pPr>
      <w:r>
        <w:rPr>
          <w:rStyle w:val="170"/>
          <w:rFonts w:hint="eastAsia" w:ascii="宋体" w:hAnsi="宋体" w:cs="宋体"/>
          <w:b w:val="0"/>
          <w:bCs/>
          <w:i w:val="0"/>
          <w:caps w:val="0"/>
          <w:color w:val="000000"/>
          <w:spacing w:val="0"/>
          <w:w w:val="100"/>
          <w:sz w:val="24"/>
          <w:szCs w:val="24"/>
          <w:u w:val="single"/>
          <w:lang w:val="en-US" w:eastAsia="zh-CN"/>
        </w:rPr>
        <w:t xml:space="preserve">四川天宇华辰建设工程有限公司 </w:t>
      </w:r>
      <w:r>
        <w:rPr>
          <w:rFonts w:hint="eastAsia" w:ascii="宋体" w:hAnsi="宋体" w:eastAsia="宋体" w:cs="宋体"/>
          <w:sz w:val="24"/>
          <w:szCs w:val="24"/>
        </w:rPr>
        <w:t>受</w:t>
      </w:r>
      <w:r>
        <w:rPr>
          <w:rFonts w:hint="eastAsia" w:ascii="宋体" w:hAnsi="宋体" w:cs="宋体"/>
          <w:sz w:val="24"/>
          <w:szCs w:val="24"/>
          <w:u w:val="single"/>
          <w:lang w:val="en-US" w:eastAsia="zh-CN"/>
        </w:rPr>
        <w:t xml:space="preserve">  广元市水利局  </w:t>
      </w:r>
      <w:r>
        <w:rPr>
          <w:rFonts w:hint="eastAsia" w:ascii="宋体" w:hAnsi="宋体" w:eastAsia="宋体" w:cs="宋体"/>
          <w:sz w:val="24"/>
          <w:szCs w:val="24"/>
        </w:rPr>
        <w:t>委托，</w:t>
      </w:r>
      <w:r>
        <w:rPr>
          <w:rFonts w:hint="eastAsia" w:ascii="宋体" w:hAnsi="宋体" w:eastAsia="宋体" w:cs="宋体"/>
          <w:color w:val="000000" w:themeColor="text1"/>
          <w:sz w:val="24"/>
          <w:szCs w:val="24"/>
          <w14:textFill>
            <w14:solidFill>
              <w14:schemeClr w14:val="tx1"/>
            </w14:solidFill>
          </w14:textFill>
        </w:rPr>
        <w:t>拟对</w:t>
      </w:r>
      <w:bookmarkStart w:id="3" w:name="PO_默认文件内容_1"/>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广元市防汛联合值班值守工作用房维修项目</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采用竞争性谈判方式进行采购，特邀请符合本次采购要求的供应商参加本项目的竞争性谈判。</w:t>
      </w:r>
      <w:bookmarkEnd w:id="3"/>
    </w:p>
    <w:p w14:paraId="51D9CD0C">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eastAsia" w:ascii="宋体" w:hAnsi="宋体" w:eastAsia="宋体" w:cs="宋体"/>
          <w:b/>
          <w:color w:val="000000" w:themeColor="text1"/>
          <w:sz w:val="22"/>
          <w:szCs w:val="22"/>
          <w:u w:val="single"/>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一、项目基本情况</w:t>
      </w:r>
    </w:p>
    <w:p w14:paraId="01337DED">
      <w:pPr>
        <w:keepNext w:val="0"/>
        <w:keepLines w:val="0"/>
        <w:pageBreakBefore w:val="0"/>
        <w:widowControl w:val="0"/>
        <w:kinsoku/>
        <w:wordWrap/>
        <w:overflowPunct/>
        <w:topLinePunct w:val="0"/>
        <w:autoSpaceDE/>
        <w:autoSpaceDN/>
        <w:bidi w:val="0"/>
        <w:adjustRightInd/>
        <w:snapToGrid w:val="0"/>
        <w:spacing w:line="480" w:lineRule="auto"/>
        <w:ind w:firstLine="442" w:firstLineChars="200"/>
        <w:jc w:val="left"/>
        <w:textAlignment w:val="auto"/>
        <w:rPr>
          <w:rFonts w:hint="default" w:ascii="宋体" w:hAnsi="宋体" w:eastAsia="宋体" w:cs="宋体"/>
          <w:color w:val="000000" w:themeColor="text1"/>
          <w:sz w:val="22"/>
          <w:szCs w:val="22"/>
          <w:u w:val="single"/>
          <w:lang w:val="en-US" w:eastAsia="zh-CN"/>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1.项目名称</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cs="宋体"/>
          <w:color w:val="000000" w:themeColor="text1"/>
          <w:sz w:val="22"/>
          <w:szCs w:val="22"/>
          <w:u w:val="single"/>
          <w:lang w:eastAsia="zh-CN"/>
          <w14:textFill>
            <w14:solidFill>
              <w14:schemeClr w14:val="tx1"/>
            </w14:solidFill>
          </w14:textFill>
        </w:rPr>
        <w:t>广元市防汛联合值班值守工作用房维修项目</w:t>
      </w:r>
      <w:r>
        <w:rPr>
          <w:rFonts w:hint="eastAsia" w:ascii="宋体" w:hAnsi="宋体" w:cs="宋体"/>
          <w:color w:val="000000" w:themeColor="text1"/>
          <w:sz w:val="22"/>
          <w:szCs w:val="22"/>
          <w:u w:val="single"/>
          <w:lang w:val="en-US" w:eastAsia="zh-CN"/>
          <w14:textFill>
            <w14:solidFill>
              <w14:schemeClr w14:val="tx1"/>
            </w14:solidFill>
          </w14:textFill>
        </w:rPr>
        <w:t xml:space="preserve"> </w:t>
      </w:r>
    </w:p>
    <w:p w14:paraId="130963D2">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eastAsia" w:ascii="宋体" w:hAnsi="宋体" w:cs="宋体"/>
          <w:b/>
          <w:color w:val="auto"/>
          <w:sz w:val="22"/>
          <w:szCs w:val="22"/>
          <w:lang w:val="en-US" w:eastAsia="zh-CN"/>
        </w:rPr>
      </w:pPr>
      <w:r>
        <w:rPr>
          <w:rFonts w:hint="eastAsia" w:ascii="宋体" w:hAnsi="宋体" w:cs="宋体"/>
          <w:b/>
          <w:color w:val="auto"/>
          <w:sz w:val="22"/>
          <w:szCs w:val="22"/>
          <w:lang w:val="en-US" w:eastAsia="zh-CN"/>
        </w:rPr>
        <w:t>2.项目编号：</w:t>
      </w:r>
      <w:r>
        <w:rPr>
          <w:rFonts w:hint="eastAsia" w:ascii="宋体" w:hAnsi="宋体" w:cs="宋体"/>
          <w:color w:val="auto"/>
          <w:sz w:val="22"/>
          <w:szCs w:val="22"/>
          <w:u w:val="single"/>
          <w:lang w:val="en-US" w:eastAsia="zh-CN"/>
        </w:rPr>
        <w:t>天宇华辰-竞谈（2025）11号</w:t>
      </w:r>
    </w:p>
    <w:p w14:paraId="3D2C4A13">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eastAsia" w:ascii="宋体" w:hAnsi="宋体" w:eastAsia="宋体" w:cs="宋体"/>
          <w:color w:val="auto"/>
          <w:sz w:val="22"/>
          <w:szCs w:val="22"/>
          <w:u w:val="single"/>
          <w:lang w:eastAsia="zh-CN"/>
        </w:rPr>
      </w:pPr>
      <w:r>
        <w:rPr>
          <w:rFonts w:hint="eastAsia" w:ascii="宋体" w:hAnsi="宋体" w:cs="宋体"/>
          <w:b/>
          <w:color w:val="auto"/>
          <w:sz w:val="22"/>
          <w:szCs w:val="22"/>
          <w:lang w:val="en-US" w:eastAsia="zh-CN"/>
        </w:rPr>
        <w:t>2</w:t>
      </w:r>
      <w:r>
        <w:rPr>
          <w:rFonts w:hint="eastAsia" w:ascii="宋体" w:hAnsi="宋体" w:eastAsia="宋体" w:cs="宋体"/>
          <w:b/>
          <w:color w:val="auto"/>
          <w:sz w:val="22"/>
          <w:szCs w:val="22"/>
        </w:rPr>
        <w:t>.项目业主：</w:t>
      </w:r>
      <w:r>
        <w:rPr>
          <w:rFonts w:hint="eastAsia" w:ascii="宋体" w:hAnsi="宋体" w:cs="宋体"/>
          <w:sz w:val="24"/>
          <w:szCs w:val="24"/>
          <w:u w:val="single"/>
          <w:lang w:val="en-US" w:eastAsia="zh-CN"/>
        </w:rPr>
        <w:t xml:space="preserve"> 广元市水利局 </w:t>
      </w:r>
      <w:r>
        <w:rPr>
          <w:rFonts w:hint="eastAsia" w:ascii="宋体" w:hAnsi="宋体" w:cs="宋体"/>
          <w:color w:val="auto"/>
          <w:sz w:val="22"/>
          <w:szCs w:val="22"/>
          <w:u w:val="single"/>
          <w:lang w:eastAsia="zh-CN"/>
        </w:rPr>
        <w:t xml:space="preserve"> </w:t>
      </w:r>
    </w:p>
    <w:p w14:paraId="1FC60C5C">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default"/>
          <w:lang w:val="en-US" w:eastAsia="zh-CN"/>
        </w:rPr>
      </w:pPr>
      <w:r>
        <w:rPr>
          <w:rFonts w:hint="eastAsia" w:ascii="宋体" w:hAnsi="宋体" w:cs="宋体"/>
          <w:b/>
          <w:color w:val="auto"/>
          <w:sz w:val="22"/>
          <w:szCs w:val="22"/>
          <w:lang w:val="en-US" w:eastAsia="zh-CN"/>
        </w:rPr>
        <w:t>3</w:t>
      </w:r>
      <w:r>
        <w:rPr>
          <w:rFonts w:hint="eastAsia" w:ascii="宋体" w:hAnsi="宋体" w:eastAsia="宋体" w:cs="宋体"/>
          <w:b/>
          <w:color w:val="auto"/>
          <w:sz w:val="22"/>
          <w:szCs w:val="22"/>
        </w:rPr>
        <w:t>.代理机构：</w:t>
      </w:r>
      <w:r>
        <w:rPr>
          <w:rFonts w:hint="eastAsia" w:ascii="宋体" w:hAnsi="宋体" w:cs="宋体"/>
          <w:sz w:val="24"/>
          <w:szCs w:val="24"/>
          <w:u w:val="single"/>
          <w:lang w:val="en-US" w:eastAsia="zh-CN"/>
        </w:rPr>
        <w:t>四川天宇华辰建设工程有限公司</w:t>
      </w:r>
    </w:p>
    <w:p w14:paraId="6BC00703">
      <w:pPr>
        <w:snapToGrid w:val="0"/>
        <w:spacing w:after="120" w:line="360" w:lineRule="auto"/>
        <w:ind w:firstLine="442" w:firstLineChars="200"/>
        <w:rPr>
          <w:rFonts w:hint="eastAsia" w:ascii="宋体" w:hAnsi="宋体" w:eastAsia="宋体" w:cs="宋体"/>
          <w:b/>
          <w:color w:val="auto"/>
          <w:sz w:val="22"/>
          <w:szCs w:val="22"/>
        </w:rPr>
      </w:pPr>
      <w:r>
        <w:rPr>
          <w:rFonts w:hint="eastAsia" w:ascii="宋体" w:hAnsi="宋体" w:cs="宋体"/>
          <w:b/>
          <w:bCs/>
          <w:color w:val="auto"/>
          <w:sz w:val="22"/>
          <w:szCs w:val="22"/>
          <w:lang w:eastAsia="zh-CN"/>
        </w:rPr>
        <w:t>二</w:t>
      </w:r>
      <w:r>
        <w:rPr>
          <w:rFonts w:hint="eastAsia" w:ascii="宋体" w:hAnsi="宋体" w:eastAsia="宋体" w:cs="宋体"/>
          <w:b/>
          <w:bCs/>
          <w:color w:val="auto"/>
          <w:sz w:val="22"/>
          <w:szCs w:val="22"/>
        </w:rPr>
        <w:t>、</w:t>
      </w:r>
      <w:r>
        <w:rPr>
          <w:rFonts w:hint="eastAsia" w:ascii="宋体" w:hAnsi="宋体" w:cs="宋体"/>
          <w:b/>
          <w:bCs/>
          <w:color w:val="auto"/>
          <w:sz w:val="22"/>
          <w:szCs w:val="22"/>
          <w:lang w:eastAsia="zh-CN"/>
        </w:rPr>
        <w:t>采购</w:t>
      </w:r>
      <w:r>
        <w:rPr>
          <w:rFonts w:hint="eastAsia" w:ascii="宋体" w:hAnsi="宋体" w:eastAsia="宋体" w:cs="宋体"/>
          <w:b/>
          <w:color w:val="auto"/>
          <w:sz w:val="22"/>
          <w:szCs w:val="22"/>
        </w:rPr>
        <w:t>项目简介：</w:t>
      </w:r>
    </w:p>
    <w:p w14:paraId="02ABC042">
      <w:pPr>
        <w:keepNext w:val="0"/>
        <w:keepLines w:val="0"/>
        <w:widowControl/>
        <w:suppressLineNumbers w:val="0"/>
        <w:ind w:firstLine="482" w:firstLineChars="200"/>
        <w:jc w:val="left"/>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项目</w:t>
      </w:r>
      <w:r>
        <w:rPr>
          <w:rFonts w:hint="eastAsia" w:ascii="宋体" w:hAnsi="宋体" w:eastAsia="宋体" w:cs="宋体"/>
          <w:b/>
          <w:bCs/>
          <w:kern w:val="2"/>
          <w:sz w:val="24"/>
          <w:szCs w:val="24"/>
          <w:highlight w:val="none"/>
          <w:lang w:val="en-US" w:eastAsia="zh-CN" w:bidi="ar-SA"/>
        </w:rPr>
        <w:t>预算金额：37.76万元，建筑安装工程费35.29万元</w:t>
      </w:r>
      <w:r>
        <w:rPr>
          <w:rFonts w:hint="eastAsia" w:ascii="宋体" w:hAnsi="宋体" w:cs="宋体"/>
          <w:b/>
          <w:bCs/>
          <w:kern w:val="2"/>
          <w:sz w:val="24"/>
          <w:szCs w:val="24"/>
          <w:highlight w:val="none"/>
          <w:lang w:val="en-US" w:eastAsia="zh-CN" w:bidi="ar-SA"/>
        </w:rPr>
        <w:t>。</w:t>
      </w:r>
    </w:p>
    <w:p w14:paraId="2233EA17">
      <w:pPr>
        <w:pStyle w:val="57"/>
        <w:rPr>
          <w:rFonts w:hint="default"/>
          <w:lang w:val="en-US" w:eastAsia="zh-CN"/>
        </w:rPr>
      </w:pPr>
    </w:p>
    <w:p w14:paraId="4BCE5E8C">
      <w:pPr>
        <w:snapToGrid w:val="0"/>
        <w:spacing w:after="120" w:line="360" w:lineRule="auto"/>
        <w:ind w:firstLine="442" w:firstLineChars="200"/>
        <w:rPr>
          <w:rFonts w:hint="eastAsia" w:ascii="宋体" w:hAnsi="宋体" w:eastAsia="宋体" w:cs="宋体"/>
          <w:b/>
          <w:bCs/>
          <w:color w:val="auto"/>
          <w:sz w:val="22"/>
          <w:szCs w:val="22"/>
        </w:rPr>
      </w:pPr>
      <w:r>
        <w:rPr>
          <w:rFonts w:hint="eastAsia" w:ascii="宋体" w:hAnsi="宋体" w:cs="宋体"/>
          <w:b/>
          <w:bCs/>
          <w:color w:val="auto"/>
          <w:sz w:val="22"/>
          <w:szCs w:val="22"/>
          <w:lang w:eastAsia="zh-CN"/>
        </w:rPr>
        <w:t>三</w:t>
      </w:r>
      <w:r>
        <w:rPr>
          <w:rFonts w:hint="eastAsia" w:ascii="宋体" w:hAnsi="宋体" w:eastAsia="宋体" w:cs="宋体"/>
          <w:b/>
          <w:bCs/>
          <w:color w:val="auto"/>
          <w:sz w:val="22"/>
          <w:szCs w:val="22"/>
        </w:rPr>
        <w:t>、供应商邀请方式</w:t>
      </w:r>
    </w:p>
    <w:p w14:paraId="2CD20AC7">
      <w:pPr>
        <w:keepNext w:val="0"/>
        <w:keepLines w:val="0"/>
        <w:pageBreakBefore w:val="0"/>
        <w:widowControl w:val="0"/>
        <w:kinsoku/>
        <w:wordWrap w:val="0"/>
        <w:overflowPunct/>
        <w:topLinePunct/>
        <w:autoSpaceDE/>
        <w:autoSpaceDN/>
        <w:bidi w:val="0"/>
        <w:adjustRightInd/>
        <w:snapToGrid w:val="0"/>
        <w:spacing w:line="48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公告方式：本次谈判邀请在广元市水利局官网（http://water.cngy.gov.cn/index.html)以公告形式发布。</w:t>
      </w:r>
    </w:p>
    <w:p w14:paraId="5CAC51B3">
      <w:pPr>
        <w:spacing w:after="120"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eastAsia="zh-CN"/>
        </w:rPr>
        <w:t>四</w:t>
      </w:r>
      <w:r>
        <w:rPr>
          <w:rFonts w:hint="eastAsia" w:ascii="宋体" w:hAnsi="宋体" w:eastAsia="宋体" w:cs="宋体"/>
          <w:b/>
          <w:bCs/>
          <w:sz w:val="24"/>
          <w:szCs w:val="24"/>
        </w:rPr>
        <w:t>、供应商参加本次政府采购活动应具备下列条件</w:t>
      </w:r>
    </w:p>
    <w:p w14:paraId="5F3E6C14">
      <w:pPr>
        <w:tabs>
          <w:tab w:val="left" w:pos="7665"/>
        </w:tabs>
        <w:spacing w:line="360" w:lineRule="auto"/>
        <w:ind w:firstLine="480" w:firstLineChars="200"/>
        <w:rPr>
          <w:rFonts w:hint="eastAsia" w:ascii="宋体" w:hAnsi="宋体" w:eastAsia="宋体" w:cs="宋体"/>
          <w:sz w:val="24"/>
          <w:szCs w:val="24"/>
          <w:lang w:val="en-US" w:eastAsia="zh-CN"/>
        </w:rPr>
      </w:pPr>
      <w:bookmarkStart w:id="4" w:name="PO_供应商资格条件_1"/>
      <w:r>
        <w:rPr>
          <w:rFonts w:hint="eastAsia" w:ascii="宋体" w:hAnsi="宋体" w:eastAsia="宋体" w:cs="宋体"/>
          <w:sz w:val="24"/>
          <w:szCs w:val="24"/>
          <w:lang w:val="en-US" w:eastAsia="zh-CN"/>
        </w:rPr>
        <w:t>1.具有独立承担民事责任的能力；</w:t>
      </w:r>
    </w:p>
    <w:p w14:paraId="7098BB42">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5C444CD7">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3.具有履行合同所必须的设备和专业技术能力；</w:t>
      </w:r>
    </w:p>
    <w:p w14:paraId="74A901A7">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017AB0CB">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5.参加本次政府采购活动前三年内，在经营活动中没有重大违法记录；</w:t>
      </w:r>
    </w:p>
    <w:p w14:paraId="5FB23203">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1D2E0ED8">
      <w:pPr>
        <w:tabs>
          <w:tab w:val="left" w:pos="7665"/>
        </w:tabs>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7.采购人根据采购项目提出的特殊条件</w:t>
      </w:r>
      <w:r>
        <w:rPr>
          <w:rFonts w:hint="eastAsia" w:ascii="宋体" w:hAnsi="宋体" w:cs="宋体"/>
          <w:sz w:val="24"/>
          <w:szCs w:val="24"/>
          <w:lang w:val="en-US" w:eastAsia="zh-CN"/>
        </w:rPr>
        <w:t>：</w:t>
      </w:r>
    </w:p>
    <w:p w14:paraId="073A8168">
      <w:pPr>
        <w:tabs>
          <w:tab w:val="left" w:pos="7665"/>
        </w:tabs>
        <w:spacing w:line="360" w:lineRule="auto"/>
        <w:ind w:left="479" w:leftChars="228" w:firstLine="0" w:firstLineChars="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（1）具有建筑工程施工总承包三级及以上资质或建筑装修装饰工程专业承包贰级或建筑装修装饰工程专业承包贰级，具有有效的安全生产许可证。</w:t>
      </w:r>
    </w:p>
    <w:p w14:paraId="3C77C7FD">
      <w:pPr>
        <w:tabs>
          <w:tab w:val="left" w:pos="7665"/>
        </w:tabs>
        <w:spacing w:line="360" w:lineRule="auto"/>
        <w:ind w:left="479" w:leftChars="228" w:firstLine="0" w:firstLineChars="0"/>
        <w:rPr>
          <w:rFonts w:hint="eastAsia" w:ascii="宋体" w:hAnsi="宋体" w:cs="宋体"/>
          <w:color w:val="000000" w:themeColor="text1"/>
          <w:sz w:val="24"/>
          <w:szCs w:val="24"/>
          <w:highlight w:val="none"/>
          <w:lang w:val="en-US" w:eastAsia="zh-CN"/>
          <w14:textFill>
            <w14:solidFill>
              <w14:schemeClr w14:val="tx1"/>
            </w14:solidFill>
          </w14:textFill>
        </w:rPr>
      </w:pPr>
    </w:p>
    <w:p w14:paraId="2973224F">
      <w:pPr>
        <w:tabs>
          <w:tab w:val="left" w:pos="7665"/>
        </w:tabs>
        <w:spacing w:line="360" w:lineRule="auto"/>
        <w:ind w:firstLine="480" w:firstLineChars="20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项目经理：具备建筑工程专业二级</w:t>
      </w:r>
      <w:r>
        <w:rPr>
          <w:rFonts w:hint="eastAsia" w:ascii="宋体" w:hAnsi="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以上建造师执业资格且具备建设行政主管部门颁发的安全生产考核合格证 B 证；项目技术负责人具备建筑工程专业类中级及以上职称</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503DD352">
      <w:pPr>
        <w:tabs>
          <w:tab w:val="left" w:pos="7665"/>
        </w:tabs>
        <w:spacing w:line="360" w:lineRule="auto"/>
        <w:ind w:firstLine="480" w:firstLineChars="20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（3）企业注册地不在四川省行政区域内的外地企业，提供在有效期内的《四川省省外建筑企业入川承揽业务验证登记证》或《四川省省外施工、监理入川承揽业务信息录入证》</w:t>
      </w:r>
      <w:r>
        <w:rPr>
          <w:rFonts w:hint="eastAsia" w:ascii="宋体" w:hAnsi="宋体" w:cs="宋体"/>
          <w:color w:val="000000" w:themeColor="text1"/>
          <w:sz w:val="24"/>
          <w:szCs w:val="24"/>
          <w:highlight w:val="none"/>
          <w:lang w:val="en-US" w:eastAsia="zh-CN"/>
          <w14:textFill>
            <w14:solidFill>
              <w14:schemeClr w14:val="tx1"/>
            </w14:solidFill>
          </w14:textFill>
        </w:rPr>
        <w:t>。如未办理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入川承揽业务验证登记证</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入川承揽业务信息录入证</w:t>
      </w:r>
      <w:r>
        <w:rPr>
          <w:rFonts w:hint="eastAsia" w:ascii="宋体" w:hAnsi="宋体" w:cs="宋体"/>
          <w:color w:val="000000" w:themeColor="text1"/>
          <w:sz w:val="24"/>
          <w:szCs w:val="24"/>
          <w:highlight w:val="none"/>
          <w:lang w:val="en-US" w:eastAsia="zh-CN"/>
          <w14:textFill>
            <w14:solidFill>
              <w14:schemeClr w14:val="tx1"/>
            </w14:solidFill>
          </w14:textFill>
        </w:rPr>
        <w:t>的，提供在成交公告发布后10个工作日内办理的承诺函。</w:t>
      </w:r>
    </w:p>
    <w:p w14:paraId="526A9EEC">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8.本项目不允许联合体参加。</w:t>
      </w:r>
      <w:bookmarkEnd w:id="4"/>
    </w:p>
    <w:p w14:paraId="3F43C774">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9.本项目专门面向中小企业采购。</w:t>
      </w:r>
    </w:p>
    <w:p w14:paraId="651C6E81">
      <w:pPr>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eastAsia="zh-CN"/>
        </w:rPr>
        <w:t>五</w:t>
      </w:r>
      <w:r>
        <w:rPr>
          <w:rFonts w:hint="eastAsia" w:ascii="宋体" w:hAnsi="宋体" w:eastAsia="宋体" w:cs="宋体"/>
          <w:b/>
          <w:bCs/>
          <w:sz w:val="24"/>
          <w:szCs w:val="24"/>
        </w:rPr>
        <w:t>、禁止参加本次采购活动的供应商</w:t>
      </w:r>
    </w:p>
    <w:p w14:paraId="6EBBBDFC">
      <w:pPr>
        <w:tabs>
          <w:tab w:val="left" w:pos="7665"/>
        </w:tabs>
        <w:spacing w:line="360" w:lineRule="auto"/>
        <w:ind w:firstLine="480" w:firstLineChars="200"/>
        <w:rPr>
          <w:rFonts w:hint="eastAsia" w:ascii="宋体" w:hAnsi="宋体" w:eastAsia="宋体" w:cs="宋体"/>
          <w:color w:val="0000FF"/>
          <w:sz w:val="24"/>
          <w:szCs w:val="24"/>
          <w:lang w:val="en-US" w:eastAsia="zh-CN"/>
        </w:rPr>
      </w:pPr>
      <w:bookmarkStart w:id="5" w:name="PO_默认文件内容_4"/>
      <w:r>
        <w:rPr>
          <w:rFonts w:hint="eastAsia" w:ascii="宋体" w:hAnsi="宋体" w:eastAsia="宋体" w:cs="宋体"/>
          <w:sz w:val="24"/>
          <w:szCs w:val="24"/>
          <w:lang w:val="en-US" w:eastAsia="zh-CN"/>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p w14:paraId="59CC1325">
      <w:pPr>
        <w:numPr>
          <w:ilvl w:val="0"/>
          <w:numId w:val="0"/>
        </w:numPr>
        <w:spacing w:line="360" w:lineRule="auto"/>
        <w:ind w:leftChars="228"/>
        <w:rPr>
          <w:rFonts w:hint="eastAsia" w:ascii="宋体" w:hAnsi="宋体" w:eastAsia="宋体" w:cs="宋体"/>
          <w:b/>
          <w:bCs/>
          <w:sz w:val="24"/>
          <w:szCs w:val="24"/>
        </w:rPr>
      </w:pPr>
      <w:r>
        <w:rPr>
          <w:rFonts w:hint="eastAsia" w:ascii="宋体" w:hAnsi="宋体" w:cs="宋体"/>
          <w:b/>
          <w:bCs/>
          <w:sz w:val="24"/>
          <w:szCs w:val="24"/>
          <w:lang w:eastAsia="zh-CN"/>
        </w:rPr>
        <w:t>六</w:t>
      </w:r>
      <w:r>
        <w:rPr>
          <w:rFonts w:hint="eastAsia" w:ascii="宋体" w:hAnsi="宋体" w:eastAsia="宋体" w:cs="宋体"/>
          <w:b/>
          <w:bCs/>
          <w:sz w:val="24"/>
          <w:szCs w:val="24"/>
          <w:lang w:eastAsia="zh-CN"/>
        </w:rPr>
        <w:t>、</w:t>
      </w:r>
      <w:r>
        <w:rPr>
          <w:rFonts w:hint="eastAsia" w:ascii="宋体" w:hAnsi="宋体" w:eastAsia="宋体" w:cs="宋体"/>
          <w:b/>
          <w:bCs/>
          <w:sz w:val="24"/>
          <w:szCs w:val="24"/>
        </w:rPr>
        <w:t>采购文件获取方式、时间、地点：</w:t>
      </w:r>
    </w:p>
    <w:p w14:paraId="4B46605C">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1.竞争性谈判文件自2025年1</w:t>
      </w:r>
      <w:r>
        <w:rPr>
          <w:rFonts w:hint="eastAsia" w:ascii="宋体" w:hAnsi="宋体" w:cs="宋体"/>
          <w:sz w:val="24"/>
          <w:szCs w:val="24"/>
          <w:lang w:val="en-US" w:eastAsia="zh-CN"/>
        </w:rPr>
        <w:t>2</w:t>
      </w:r>
      <w:bookmarkStart w:id="660" w:name="_GoBack"/>
      <w:bookmarkEnd w:id="660"/>
      <w:r>
        <w:rPr>
          <w:rFonts w:hint="eastAsia" w:ascii="宋体" w:hAnsi="宋体" w:eastAsia="宋体" w:cs="宋体"/>
          <w:sz w:val="24"/>
          <w:szCs w:val="24"/>
          <w:lang w:val="en-US" w:eastAsia="zh-CN"/>
        </w:rPr>
        <w:t>月</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日至2025年12月</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日上午09:00-12:00，下午14:30-17:00（北京时间，法定节假日除外）在四川天宇华辰建设工程有限公司获取竞争性谈判文件。</w:t>
      </w:r>
    </w:p>
    <w:p w14:paraId="498F0365">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竞争性谈判文件获取方式：收到广元市水利局官网发布的谈判邀请后，按照报名方式报名后，通过邮箱形式获取竞争性谈判文件</w:t>
      </w:r>
      <w:r>
        <w:rPr>
          <w:rFonts w:hint="eastAsia" w:ascii="宋体" w:hAnsi="宋体" w:eastAsia="宋体" w:cs="宋体"/>
          <w:sz w:val="24"/>
          <w:szCs w:val="24"/>
          <w:lang w:val="en-US" w:eastAsia="zh-CN"/>
        </w:rPr>
        <w:t>。</w:t>
      </w:r>
    </w:p>
    <w:p w14:paraId="72F59C0A">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报名方式：①网络报名：将单位介绍信、营业执照复印件、法人身份证复印件、经办人身份证复印件加盖鲜章后扫描成PDF格式文档发送至邮箱297288226@qq.com（邮件标题：公司名称+项目名称+联系电话）</w:t>
      </w:r>
    </w:p>
    <w:p w14:paraId="0C061FAF">
      <w:pPr>
        <w:pStyle w:val="60"/>
        <w:rPr>
          <w:rFonts w:hint="eastAsia"/>
          <w:lang w:val="en-US" w:eastAsia="zh-CN"/>
        </w:rPr>
      </w:pPr>
    </w:p>
    <w:bookmarkEnd w:id="5"/>
    <w:p w14:paraId="7F6B41F9">
      <w:pPr>
        <w:spacing w:after="120" w:line="360" w:lineRule="auto"/>
        <w:ind w:firstLine="482"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sz w:val="24"/>
          <w:szCs w:val="24"/>
          <w:lang w:val="en-US" w:eastAsia="zh-CN"/>
        </w:rPr>
        <w:t>七</w:t>
      </w:r>
      <w:r>
        <w:rPr>
          <w:rFonts w:hint="eastAsia" w:ascii="宋体" w:hAnsi="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auto"/>
          <w:sz w:val="24"/>
          <w:szCs w:val="24"/>
          <w:lang w:val="en-US" w:eastAsia="zh-CN"/>
        </w:rPr>
        <w:t>递交响应文件截止时间</w:t>
      </w:r>
      <w:r>
        <w:rPr>
          <w:rFonts w:hint="eastAsia" w:ascii="宋体" w:hAnsi="宋体" w:eastAsia="宋体" w:cs="宋体"/>
          <w:color w:val="auto"/>
          <w:sz w:val="24"/>
          <w:szCs w:val="24"/>
          <w:lang w:val="en-US" w:eastAsia="zh-CN"/>
        </w:rPr>
        <w:t>：</w:t>
      </w:r>
      <w:r>
        <w:rPr>
          <w:rFonts w:hint="eastAsia" w:ascii="宋体" w:hAnsi="宋体" w:cs="宋体"/>
          <w:color w:val="000000" w:themeColor="text1"/>
          <w:sz w:val="24"/>
          <w:szCs w:val="24"/>
          <w:lang w:val="en-US" w:eastAsia="zh-CN"/>
          <w14:textFill>
            <w14:solidFill>
              <w14:schemeClr w14:val="tx1"/>
            </w14:solidFill>
          </w14:textFill>
        </w:rPr>
        <w:t>2025年 12月5日 9:00</w:t>
      </w:r>
      <w:r>
        <w:rPr>
          <w:rFonts w:hint="eastAsia" w:ascii="宋体" w:hAnsi="宋体" w:eastAsia="宋体" w:cs="宋体"/>
          <w:color w:val="000000" w:themeColor="text1"/>
          <w:sz w:val="24"/>
          <w:szCs w:val="24"/>
          <w:lang w:val="en-US" w:eastAsia="zh-CN"/>
          <w14:textFill>
            <w14:solidFill>
              <w14:schemeClr w14:val="tx1"/>
            </w14:solidFill>
          </w14:textFill>
        </w:rPr>
        <w:t>（北京时间)。</w:t>
      </w:r>
    </w:p>
    <w:p w14:paraId="787D6799">
      <w:pPr>
        <w:spacing w:after="120"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、递交响应文件地点：</w:t>
      </w:r>
      <w:bookmarkStart w:id="6" w:name="PO_默认文件内容_7"/>
      <w:r>
        <w:rPr>
          <w:rFonts w:hint="eastAsia" w:ascii="宋体" w:hAnsi="宋体" w:cs="宋体"/>
          <w:sz w:val="24"/>
          <w:szCs w:val="24"/>
          <w:u w:val="single"/>
          <w:lang w:val="en-US" w:eastAsia="zh-CN"/>
        </w:rPr>
        <w:t>四川省广元市利州区恒业锦城3期11楼3号</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响应文件必须在递交响应文件截止时间前送达谈判地点。逾期送达或没有密封的响应文件恕不接收。本次采购不接收邮寄的响应文件。</w:t>
      </w:r>
      <w:bookmarkEnd w:id="6"/>
    </w:p>
    <w:p w14:paraId="24E43781">
      <w:pPr>
        <w:spacing w:after="120" w:line="360" w:lineRule="auto"/>
        <w:ind w:firstLine="482" w:firstLineChars="200"/>
        <w:rPr>
          <w:rFonts w:hint="eastAsia" w:ascii="宋体" w:hAnsi="宋体" w:eastAsia="宋体" w:cs="宋体"/>
          <w:sz w:val="24"/>
          <w:szCs w:val="24"/>
          <w:lang w:val="en-US" w:eastAsia="zh-CN"/>
        </w:rPr>
      </w:pPr>
      <w:r>
        <w:rPr>
          <w:rFonts w:hint="eastAsia" w:ascii="宋体" w:hAnsi="宋体" w:cs="宋体"/>
          <w:b/>
          <w:bCs/>
          <w:sz w:val="24"/>
          <w:szCs w:val="24"/>
          <w:lang w:eastAsia="zh-CN"/>
        </w:rPr>
        <w:t>九</w:t>
      </w:r>
      <w:r>
        <w:rPr>
          <w:rFonts w:hint="eastAsia" w:ascii="宋体" w:hAnsi="宋体" w:eastAsia="宋体" w:cs="宋体"/>
          <w:b/>
          <w:bCs/>
          <w:sz w:val="24"/>
          <w:szCs w:val="24"/>
        </w:rPr>
        <w:t>、</w:t>
      </w:r>
      <w:r>
        <w:rPr>
          <w:rFonts w:hint="eastAsia" w:ascii="宋体" w:hAnsi="宋体" w:eastAsia="宋体" w:cs="宋体"/>
          <w:b/>
          <w:bCs/>
          <w:color w:val="auto"/>
          <w:sz w:val="24"/>
          <w:szCs w:val="24"/>
        </w:rPr>
        <w:t>响应文件开启时间：</w:t>
      </w:r>
      <w:r>
        <w:rPr>
          <w:rFonts w:hint="eastAsia" w:ascii="宋体" w:hAnsi="宋体" w:eastAsia="宋体" w:cs="宋体"/>
          <w:color w:val="0000FF"/>
          <w:sz w:val="24"/>
          <w:szCs w:val="24"/>
          <w:lang w:val="en-US" w:eastAsia="zh-CN"/>
        </w:rPr>
        <w:t xml:space="preserve"> </w:t>
      </w:r>
      <w:r>
        <w:rPr>
          <w:rFonts w:hint="eastAsia" w:ascii="宋体" w:hAnsi="宋体" w:cs="宋体"/>
          <w:color w:val="000000" w:themeColor="text1"/>
          <w:sz w:val="24"/>
          <w:szCs w:val="24"/>
          <w:lang w:val="en-US" w:eastAsia="zh-CN"/>
          <w14:textFill>
            <w14:solidFill>
              <w14:schemeClr w14:val="tx1"/>
            </w14:solidFill>
          </w14:textFill>
        </w:rPr>
        <w:t>2025年 12月5日 9:00</w:t>
      </w:r>
      <w:r>
        <w:rPr>
          <w:rFonts w:hint="eastAsia" w:ascii="宋体" w:hAnsi="宋体" w:eastAsia="宋体" w:cs="宋体"/>
          <w:color w:val="000000" w:themeColor="text1"/>
          <w:sz w:val="24"/>
          <w:szCs w:val="24"/>
          <w:lang w:val="en-US" w:eastAsia="zh-CN"/>
          <w14:textFill>
            <w14:solidFill>
              <w14:schemeClr w14:val="tx1"/>
            </w14:solidFill>
          </w14:textFill>
        </w:rPr>
        <w:t>（北京时间）</w:t>
      </w:r>
      <w:r>
        <w:rPr>
          <w:rFonts w:hint="eastAsia" w:ascii="宋体" w:hAnsi="宋体" w:eastAsia="宋体" w:cs="宋体"/>
          <w:color w:val="auto"/>
          <w:sz w:val="24"/>
          <w:szCs w:val="24"/>
          <w:lang w:val="en-US" w:eastAsia="zh-CN"/>
        </w:rPr>
        <w:t>在谈判地</w:t>
      </w:r>
      <w:r>
        <w:rPr>
          <w:rFonts w:hint="eastAsia" w:ascii="宋体" w:hAnsi="宋体" w:eastAsia="宋体" w:cs="宋体"/>
          <w:sz w:val="24"/>
          <w:szCs w:val="24"/>
          <w:lang w:val="en-US" w:eastAsia="zh-CN"/>
        </w:rPr>
        <w:t>点开启。</w:t>
      </w:r>
    </w:p>
    <w:p w14:paraId="448A8F2A">
      <w:pPr>
        <w:numPr>
          <w:ilvl w:val="0"/>
          <w:numId w:val="0"/>
        </w:numPr>
        <w:spacing w:before="139" w:line="364" w:lineRule="auto"/>
        <w:ind w:right="228" w:rightChars="0" w:firstLine="482"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rPr>
        <w:t>十、谈判地点：</w:t>
      </w:r>
      <w:r>
        <w:rPr>
          <w:rFonts w:hint="eastAsia" w:ascii="宋体" w:hAnsi="宋体" w:cs="宋体"/>
          <w:sz w:val="24"/>
          <w:szCs w:val="24"/>
          <w:u w:val="single"/>
          <w:lang w:val="en-US" w:eastAsia="zh-CN"/>
        </w:rPr>
        <w:t xml:space="preserve">四川省广元市利州区恒业锦城3期11楼3号 </w:t>
      </w:r>
      <w:r>
        <w:rPr>
          <w:rFonts w:hint="eastAsia" w:ascii="宋体" w:hAnsi="宋体" w:eastAsia="宋体" w:cs="宋体"/>
          <w:sz w:val="24"/>
          <w:szCs w:val="24"/>
          <w:lang w:val="en-US" w:eastAsia="zh-CN"/>
        </w:rPr>
        <w:t>。</w:t>
      </w:r>
    </w:p>
    <w:p w14:paraId="660FD918">
      <w:pPr>
        <w:pStyle w:val="85"/>
        <w:numPr>
          <w:ilvl w:val="0"/>
          <w:numId w:val="0"/>
        </w:numPr>
        <w:ind w:firstLine="482" w:firstLineChars="200"/>
        <w:rPr>
          <w:rFonts w:hint="eastAsia" w:ascii="宋体" w:hAnsi="宋体" w:eastAsia="宋体" w:cs="宋体"/>
          <w:b/>
          <w:bCs/>
          <w:sz w:val="24"/>
          <w:szCs w:val="24"/>
        </w:rPr>
      </w:pPr>
      <w:r>
        <w:rPr>
          <w:rFonts w:hint="eastAsia" w:ascii="宋体" w:hAnsi="宋体" w:cs="宋体"/>
          <w:b/>
          <w:bCs/>
          <w:sz w:val="24"/>
          <w:szCs w:val="24"/>
          <w:lang w:eastAsia="zh-CN"/>
        </w:rPr>
        <w:t>十一、</w:t>
      </w:r>
      <w:r>
        <w:rPr>
          <w:rFonts w:hint="eastAsia" w:ascii="宋体" w:hAnsi="宋体" w:eastAsia="宋体" w:cs="宋体"/>
          <w:b/>
          <w:bCs/>
          <w:sz w:val="24"/>
          <w:szCs w:val="24"/>
        </w:rPr>
        <w:t>联系方式</w:t>
      </w:r>
    </w:p>
    <w:p w14:paraId="4B6E5413">
      <w:pPr>
        <w:pStyle w:val="85"/>
        <w:ind w:firstLine="31680"/>
        <w:rPr>
          <w:rFonts w:hint="eastAsia" w:ascii="宋体" w:hAnsi="宋体" w:cs="宋体"/>
          <w:kern w:val="2"/>
          <w:sz w:val="24"/>
          <w:szCs w:val="24"/>
          <w:lang w:val="zh-CN" w:eastAsia="zh-CN" w:bidi="ar-SA"/>
        </w:rPr>
      </w:pPr>
      <w:bookmarkStart w:id="7" w:name="_Toc213496267"/>
      <w:bookmarkStart w:id="8" w:name="_Toc213396945"/>
      <w:bookmarkStart w:id="9" w:name="_Toc509579141"/>
      <w:bookmarkStart w:id="10" w:name="_Toc217446031"/>
      <w:bookmarkStart w:id="11" w:name="_Toc213397009"/>
      <w:bookmarkStart w:id="12" w:name="_Toc213396759"/>
      <w:r>
        <w:rPr>
          <w:rFonts w:hint="eastAsia" w:ascii="宋体" w:hAnsi="宋体" w:eastAsia="宋体" w:cs="宋体"/>
          <w:b/>
          <w:bCs/>
          <w:sz w:val="24"/>
          <w:szCs w:val="24"/>
        </w:rPr>
        <w:t>采购人：</w:t>
      </w:r>
      <w:r>
        <w:rPr>
          <w:rFonts w:hint="eastAsia" w:ascii="宋体" w:hAnsi="宋体" w:cs="宋体"/>
          <w:kern w:val="2"/>
          <w:sz w:val="24"/>
          <w:szCs w:val="24"/>
          <w:lang w:val="zh-CN" w:eastAsia="zh-CN" w:bidi="ar-SA"/>
        </w:rPr>
        <w:t xml:space="preserve"> 广元市水利局 </w:t>
      </w:r>
    </w:p>
    <w:p w14:paraId="49792359">
      <w:pPr>
        <w:pStyle w:val="85"/>
        <w:ind w:firstLine="316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通讯地址：</w:t>
      </w:r>
      <w:r>
        <w:rPr>
          <w:rFonts w:hint="eastAsia" w:ascii="宋体" w:hAnsi="宋体" w:cs="宋体"/>
          <w:kern w:val="2"/>
          <w:sz w:val="24"/>
          <w:szCs w:val="24"/>
          <w:lang w:val="en-US" w:eastAsia="zh-CN" w:bidi="ar-SA"/>
        </w:rPr>
        <w:t>广元市利州区利州东路一段659号</w:t>
      </w:r>
    </w:p>
    <w:p w14:paraId="3010EBE6">
      <w:pPr>
        <w:pStyle w:val="85"/>
        <w:ind w:firstLine="316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w:t>
      </w:r>
      <w:r>
        <w:rPr>
          <w:rFonts w:hint="eastAsia" w:ascii="宋体" w:hAnsi="宋体" w:cs="宋体"/>
          <w:kern w:val="2"/>
          <w:sz w:val="24"/>
          <w:szCs w:val="24"/>
          <w:lang w:val="en-US" w:eastAsia="zh-CN" w:bidi="ar-SA"/>
        </w:rPr>
        <w:t>刘先生</w:t>
      </w:r>
      <w:r>
        <w:rPr>
          <w:rFonts w:hint="eastAsia" w:ascii="宋体" w:hAnsi="宋体" w:eastAsia="宋体" w:cs="宋体"/>
          <w:kern w:val="2"/>
          <w:sz w:val="24"/>
          <w:szCs w:val="24"/>
          <w:lang w:val="en-US" w:eastAsia="zh-CN" w:bidi="ar-SA"/>
        </w:rPr>
        <w:t xml:space="preserve"> </w:t>
      </w:r>
    </w:p>
    <w:p w14:paraId="1C732A5D">
      <w:pPr>
        <w:pStyle w:val="85"/>
        <w:ind w:firstLine="31680"/>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cs="宋体"/>
          <w:kern w:val="2"/>
          <w:sz w:val="24"/>
          <w:szCs w:val="24"/>
          <w:lang w:val="en-US" w:eastAsia="zh-CN" w:bidi="ar-SA"/>
        </w:rPr>
        <w:t>0839-3262969</w:t>
      </w:r>
    </w:p>
    <w:p w14:paraId="33DF7277">
      <w:pPr>
        <w:pStyle w:val="85"/>
        <w:ind w:firstLine="31680"/>
        <w:rPr>
          <w:rFonts w:hint="eastAsia" w:ascii="宋体" w:hAnsi="宋体" w:eastAsia="宋体" w:cs="宋体"/>
          <w:kern w:val="2"/>
          <w:sz w:val="24"/>
          <w:szCs w:val="24"/>
          <w:lang w:val="zh-CN" w:eastAsia="zh-CN" w:bidi="ar-SA"/>
        </w:rPr>
      </w:pPr>
      <w:r>
        <w:rPr>
          <w:rFonts w:hint="eastAsia" w:ascii="宋体" w:hAnsi="宋体" w:eastAsia="宋体" w:cs="宋体"/>
          <w:b/>
          <w:bCs/>
          <w:sz w:val="24"/>
          <w:szCs w:val="24"/>
        </w:rPr>
        <w:t>采购代理机构：</w:t>
      </w:r>
      <w:r>
        <w:rPr>
          <w:rFonts w:hint="eastAsia" w:ascii="宋体" w:hAnsi="宋体" w:cs="宋体"/>
          <w:kern w:val="2"/>
          <w:sz w:val="24"/>
          <w:szCs w:val="24"/>
          <w:lang w:val="zh-CN" w:eastAsia="zh-CN" w:bidi="ar-SA"/>
        </w:rPr>
        <w:t>四川天宇华辰建设工程有限公司</w:t>
      </w:r>
      <w:r>
        <w:rPr>
          <w:rFonts w:hint="eastAsia" w:ascii="宋体" w:hAnsi="宋体" w:eastAsia="宋体" w:cs="宋体"/>
          <w:kern w:val="2"/>
          <w:sz w:val="24"/>
          <w:szCs w:val="24"/>
          <w:lang w:val="zh-CN" w:eastAsia="zh-CN" w:bidi="ar-SA"/>
        </w:rPr>
        <w:t xml:space="preserve"> </w:t>
      </w:r>
    </w:p>
    <w:p w14:paraId="4FE6F4AC">
      <w:pPr>
        <w:pStyle w:val="85"/>
        <w:ind w:firstLine="316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通讯地址：</w:t>
      </w:r>
      <w:r>
        <w:rPr>
          <w:rFonts w:hint="eastAsia" w:ascii="宋体" w:hAnsi="宋体" w:cs="宋体"/>
          <w:kern w:val="2"/>
          <w:sz w:val="24"/>
          <w:szCs w:val="24"/>
          <w:lang w:val="zh-CN" w:eastAsia="zh-CN" w:bidi="ar-SA"/>
        </w:rPr>
        <w:t>旺苍县东河镇环城西路圆沱巷1栋</w:t>
      </w:r>
    </w:p>
    <w:p w14:paraId="7179965C">
      <w:pPr>
        <w:pStyle w:val="85"/>
        <w:ind w:firstLine="316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联系人：</w:t>
      </w:r>
      <w:r>
        <w:rPr>
          <w:rFonts w:hint="eastAsia" w:ascii="宋体" w:hAnsi="宋体" w:cs="宋体"/>
          <w:kern w:val="2"/>
          <w:sz w:val="24"/>
          <w:szCs w:val="24"/>
          <w:lang w:val="en-US" w:eastAsia="zh-CN" w:bidi="ar-SA"/>
        </w:rPr>
        <w:t>王女士</w:t>
      </w:r>
    </w:p>
    <w:p w14:paraId="625F2970">
      <w:pPr>
        <w:pStyle w:val="85"/>
        <w:ind w:firstLine="316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联系电话：</w:t>
      </w:r>
      <w:r>
        <w:rPr>
          <w:rFonts w:hint="eastAsia" w:ascii="宋体" w:hAnsi="宋体" w:cs="宋体"/>
          <w:kern w:val="2"/>
          <w:sz w:val="24"/>
          <w:szCs w:val="24"/>
          <w:lang w:val="en-US" w:eastAsia="zh-CN" w:bidi="ar-SA"/>
        </w:rPr>
        <w:t>15196100206</w:t>
      </w:r>
    </w:p>
    <w:p w14:paraId="11391A45">
      <w:pPr>
        <w:pStyle w:val="85"/>
        <w:ind w:firstLine="950" w:firstLineChars="396"/>
        <w:rPr>
          <w:rFonts w:hint="eastAsia" w:ascii="宋体" w:hAnsi="宋体" w:eastAsia="宋体" w:cs="宋体"/>
          <w:kern w:val="0"/>
          <w:sz w:val="24"/>
          <w:szCs w:val="24"/>
        </w:rPr>
      </w:pPr>
    </w:p>
    <w:p w14:paraId="7F2D4C50">
      <w:pPr>
        <w:pStyle w:val="85"/>
        <w:ind w:left="0" w:leftChars="0" w:firstLine="0" w:firstLineChars="0"/>
        <w:rPr>
          <w:rFonts w:hint="eastAsia" w:ascii="宋体" w:hAnsi="宋体" w:eastAsia="宋体" w:cs="宋体"/>
          <w:kern w:val="0"/>
          <w:sz w:val="24"/>
          <w:szCs w:val="24"/>
        </w:rPr>
      </w:pPr>
    </w:p>
    <w:p w14:paraId="187020D7">
      <w:pPr>
        <w:rPr>
          <w:rFonts w:hint="eastAsia" w:ascii="宋体" w:hAnsi="宋体" w:eastAsia="宋体" w:cs="宋体"/>
          <w:sz w:val="40"/>
          <w:szCs w:val="40"/>
        </w:rPr>
      </w:pPr>
      <w:bookmarkStart w:id="13" w:name="_Toc41037903"/>
      <w:r>
        <w:rPr>
          <w:rFonts w:hint="eastAsia" w:ascii="宋体" w:hAnsi="宋体" w:eastAsia="宋体" w:cs="宋体"/>
          <w:sz w:val="40"/>
          <w:szCs w:val="40"/>
        </w:rPr>
        <w:br w:type="page"/>
      </w:r>
    </w:p>
    <w:p w14:paraId="225BB954">
      <w:pPr>
        <w:pStyle w:val="39"/>
        <w:rPr>
          <w:rFonts w:hint="eastAsia" w:ascii="宋体" w:hAnsi="宋体" w:eastAsia="宋体" w:cs="宋体"/>
          <w:sz w:val="40"/>
          <w:szCs w:val="40"/>
        </w:rPr>
      </w:pPr>
      <w:r>
        <w:rPr>
          <w:rFonts w:hint="eastAsia" w:ascii="宋体" w:hAnsi="宋体" w:eastAsia="宋体" w:cs="宋体"/>
          <w:sz w:val="40"/>
          <w:szCs w:val="40"/>
        </w:rPr>
        <w:t>第二章</w:t>
      </w:r>
      <w:r>
        <w:rPr>
          <w:rFonts w:hint="eastAsia" w:ascii="宋体" w:hAnsi="宋体" w:cs="宋体"/>
          <w:sz w:val="40"/>
          <w:szCs w:val="40"/>
          <w:lang w:val="en-US" w:eastAsia="zh-CN"/>
        </w:rPr>
        <w:t xml:space="preserve">  </w:t>
      </w:r>
      <w:r>
        <w:rPr>
          <w:rFonts w:hint="eastAsia" w:ascii="宋体" w:hAnsi="宋体" w:eastAsia="宋体" w:cs="宋体"/>
          <w:sz w:val="40"/>
          <w:szCs w:val="40"/>
        </w:rPr>
        <w:t>谈判须知</w:t>
      </w:r>
      <w:bookmarkEnd w:id="7"/>
      <w:bookmarkEnd w:id="8"/>
      <w:bookmarkEnd w:id="9"/>
      <w:bookmarkEnd w:id="10"/>
      <w:bookmarkEnd w:id="11"/>
      <w:bookmarkEnd w:id="12"/>
      <w:bookmarkEnd w:id="13"/>
    </w:p>
    <w:p w14:paraId="4BC10B24">
      <w:pPr>
        <w:pStyle w:val="5"/>
        <w:keepNext w:val="0"/>
        <w:keepLines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一、供应商须知附表</w:t>
      </w:r>
    </w:p>
    <w:tbl>
      <w:tblPr>
        <w:tblStyle w:val="44"/>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287"/>
        <w:gridCol w:w="6206"/>
      </w:tblGrid>
      <w:tr w14:paraId="57C6F7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14:paraId="24EC4C43">
            <w:pPr>
              <w:pStyle w:val="87"/>
              <w:spacing w:line="360" w:lineRule="auto"/>
              <w:ind w:left="9"/>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2287" w:type="dxa"/>
            <w:tcBorders>
              <w:top w:val="single" w:color="auto" w:sz="18" w:space="0"/>
            </w:tcBorders>
            <w:vAlign w:val="center"/>
          </w:tcPr>
          <w:p w14:paraId="0F1B301B">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应知事项</w:t>
            </w:r>
          </w:p>
        </w:tc>
        <w:tc>
          <w:tcPr>
            <w:tcW w:w="6206" w:type="dxa"/>
            <w:tcBorders>
              <w:top w:val="single" w:color="auto" w:sz="18" w:space="0"/>
            </w:tcBorders>
            <w:vAlign w:val="center"/>
          </w:tcPr>
          <w:p w14:paraId="54FBFEFE">
            <w:pPr>
              <w:pStyle w:val="87"/>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14:paraId="2A033D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 w:hRule="atLeast"/>
          <w:jc w:val="center"/>
        </w:trPr>
        <w:tc>
          <w:tcPr>
            <w:tcW w:w="1013" w:type="dxa"/>
            <w:tcBorders>
              <w:bottom w:val="single" w:color="auto" w:sz="4" w:space="0"/>
            </w:tcBorders>
            <w:vAlign w:val="center"/>
          </w:tcPr>
          <w:p w14:paraId="16E54FF0">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2287" w:type="dxa"/>
            <w:tcBorders>
              <w:bottom w:val="single" w:color="auto" w:sz="4" w:space="0"/>
            </w:tcBorders>
            <w:vAlign w:val="center"/>
          </w:tcPr>
          <w:p w14:paraId="6EACFB4A">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定向采购</w:t>
            </w:r>
          </w:p>
        </w:tc>
        <w:tc>
          <w:tcPr>
            <w:tcW w:w="6206" w:type="dxa"/>
            <w:tcBorders>
              <w:bottom w:val="single" w:color="auto" w:sz="4" w:space="0"/>
            </w:tcBorders>
          </w:tcPr>
          <w:p w14:paraId="4CC25D73">
            <w:pPr>
              <w:pStyle w:val="87"/>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本项目专门面向中小企业采购</w:t>
            </w:r>
          </w:p>
        </w:tc>
      </w:tr>
      <w:tr w14:paraId="47039F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9" w:hRule="atLeast"/>
          <w:jc w:val="center"/>
        </w:trPr>
        <w:tc>
          <w:tcPr>
            <w:tcW w:w="1013" w:type="dxa"/>
            <w:tcBorders>
              <w:top w:val="single" w:color="auto" w:sz="4" w:space="0"/>
            </w:tcBorders>
            <w:vAlign w:val="center"/>
          </w:tcPr>
          <w:p w14:paraId="1549D346">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2287" w:type="dxa"/>
            <w:tcBorders>
              <w:top w:val="single" w:color="auto" w:sz="4" w:space="0"/>
            </w:tcBorders>
            <w:vAlign w:val="center"/>
          </w:tcPr>
          <w:p w14:paraId="7DD36F41">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采购预算</w:t>
            </w:r>
          </w:p>
          <w:p w14:paraId="03CFF59E">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（实质性要求）</w:t>
            </w:r>
          </w:p>
        </w:tc>
        <w:tc>
          <w:tcPr>
            <w:tcW w:w="6206" w:type="dxa"/>
            <w:tcBorders>
              <w:top w:val="single" w:color="auto" w:sz="4" w:space="0"/>
            </w:tcBorders>
          </w:tcPr>
          <w:p w14:paraId="24DE129F">
            <w:pPr>
              <w:pStyle w:val="87"/>
              <w:spacing w:line="360" w:lineRule="auto"/>
              <w:ind w:firstLine="240" w:firstLineChars="100"/>
              <w:jc w:val="both"/>
              <w:rPr>
                <w:rFonts w:hint="eastAsia" w:ascii="宋体" w:hAnsi="宋体" w:eastAsia="宋体" w:cs="宋体"/>
                <w:color w:val="auto"/>
                <w:sz w:val="24"/>
                <w:szCs w:val="24"/>
                <w:lang w:val="en-US" w:eastAsia="zh-CN"/>
              </w:rPr>
            </w:pPr>
          </w:p>
          <w:p w14:paraId="48043295">
            <w:pPr>
              <w:pStyle w:val="87"/>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预算：</w:t>
            </w:r>
            <w:r>
              <w:rPr>
                <w:rFonts w:hint="eastAsia" w:cs="宋体"/>
                <w:b w:val="0"/>
                <w:bCs w:val="0"/>
                <w:color w:val="auto"/>
                <w:kern w:val="2"/>
                <w:sz w:val="24"/>
                <w:szCs w:val="24"/>
                <w:u w:val="single"/>
                <w:lang w:val="en-US" w:eastAsia="zh-CN" w:bidi="ar-SA"/>
              </w:rPr>
              <w:t>37.76万元</w:t>
            </w:r>
            <w:r>
              <w:rPr>
                <w:rFonts w:hint="eastAsia" w:ascii="宋体" w:hAnsi="宋体" w:eastAsia="宋体" w:cs="宋体"/>
                <w:color w:val="auto"/>
                <w:sz w:val="24"/>
                <w:szCs w:val="24"/>
                <w:lang w:val="zh-CN" w:eastAsia="zh-CN"/>
              </w:rPr>
              <w:t>。</w:t>
            </w:r>
          </w:p>
        </w:tc>
      </w:tr>
      <w:tr w14:paraId="6EED4E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jc w:val="center"/>
        </w:trPr>
        <w:tc>
          <w:tcPr>
            <w:tcW w:w="1013" w:type="dxa"/>
            <w:vAlign w:val="center"/>
          </w:tcPr>
          <w:p w14:paraId="2832F658">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2287" w:type="dxa"/>
            <w:vAlign w:val="center"/>
          </w:tcPr>
          <w:p w14:paraId="31F41B0E">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最高限价</w:t>
            </w:r>
          </w:p>
          <w:p w14:paraId="372106C3">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（实质性要求）</w:t>
            </w:r>
          </w:p>
        </w:tc>
        <w:tc>
          <w:tcPr>
            <w:tcW w:w="6206" w:type="dxa"/>
            <w:vAlign w:val="center"/>
          </w:tcPr>
          <w:p w14:paraId="2227086F">
            <w:pPr>
              <w:pStyle w:val="87"/>
              <w:spacing w:line="360" w:lineRule="auto"/>
              <w:ind w:firstLine="240" w:firstLineChars="100"/>
              <w:jc w:val="both"/>
              <w:rPr>
                <w:rFonts w:hint="eastAsia" w:ascii="宋体" w:hAnsi="宋体" w:eastAsia="宋体" w:cs="宋体"/>
                <w:color w:val="auto"/>
                <w:sz w:val="24"/>
                <w:szCs w:val="24"/>
                <w:lang w:val="zh-CN"/>
              </w:rPr>
            </w:pPr>
            <w:bookmarkStart w:id="14" w:name="PO_默认文件内容_8"/>
            <w:r>
              <w:rPr>
                <w:rFonts w:hint="eastAsia" w:ascii="宋体" w:hAnsi="宋体" w:eastAsia="宋体" w:cs="宋体"/>
                <w:color w:val="auto"/>
                <w:sz w:val="24"/>
                <w:szCs w:val="24"/>
                <w:lang w:val="zh-CN"/>
              </w:rPr>
              <w:t>最高限价：</w:t>
            </w:r>
            <w:r>
              <w:rPr>
                <w:rFonts w:hint="eastAsia" w:cs="宋体"/>
                <w:b w:val="0"/>
                <w:bCs w:val="0"/>
                <w:color w:val="auto"/>
                <w:kern w:val="2"/>
                <w:sz w:val="24"/>
                <w:szCs w:val="24"/>
                <w:u w:val="single"/>
                <w:lang w:val="en-US" w:eastAsia="zh-CN" w:bidi="ar-SA"/>
              </w:rPr>
              <w:t>35.29万元</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超过</w:t>
            </w:r>
            <w:r>
              <w:rPr>
                <w:rFonts w:hint="eastAsia" w:ascii="宋体" w:hAnsi="宋体" w:eastAsia="宋体" w:cs="宋体"/>
                <w:color w:val="auto"/>
                <w:sz w:val="24"/>
                <w:szCs w:val="24"/>
                <w:lang w:val="en-US" w:eastAsia="zh-CN"/>
              </w:rPr>
              <w:t>此金额</w:t>
            </w:r>
            <w:r>
              <w:rPr>
                <w:rFonts w:hint="eastAsia" w:ascii="宋体" w:hAnsi="宋体" w:eastAsia="宋体" w:cs="宋体"/>
                <w:color w:val="auto"/>
                <w:sz w:val="24"/>
                <w:szCs w:val="24"/>
                <w:lang w:val="zh-CN" w:eastAsia="zh-CN"/>
              </w:rPr>
              <w:t>的报价无效</w:t>
            </w:r>
            <w:r>
              <w:rPr>
                <w:rFonts w:hint="eastAsia" w:ascii="宋体" w:hAnsi="宋体" w:eastAsia="宋体" w:cs="宋体"/>
                <w:color w:val="auto"/>
                <w:sz w:val="24"/>
                <w:szCs w:val="24"/>
                <w:lang w:val="zh-CN"/>
              </w:rPr>
              <w:t>。</w:t>
            </w:r>
            <w:bookmarkEnd w:id="14"/>
          </w:p>
        </w:tc>
      </w:tr>
      <w:tr w14:paraId="1E33DC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1" w:hRule="atLeast"/>
          <w:jc w:val="center"/>
        </w:trPr>
        <w:tc>
          <w:tcPr>
            <w:tcW w:w="1013" w:type="dxa"/>
            <w:vAlign w:val="center"/>
          </w:tcPr>
          <w:p w14:paraId="2E1E4879">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2287" w:type="dxa"/>
            <w:vAlign w:val="center"/>
          </w:tcPr>
          <w:p w14:paraId="27CAB1A4">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（实质性要求）</w:t>
            </w:r>
          </w:p>
        </w:tc>
        <w:tc>
          <w:tcPr>
            <w:tcW w:w="6206" w:type="dxa"/>
            <w:vAlign w:val="center"/>
          </w:tcPr>
          <w:p w14:paraId="4F2B6119">
            <w:pPr>
              <w:pStyle w:val="87"/>
              <w:spacing w:line="360" w:lineRule="auto"/>
              <w:ind w:firstLine="240" w:firstLineChars="100"/>
              <w:jc w:val="both"/>
              <w:rPr>
                <w:rFonts w:hint="eastAsia" w:ascii="宋体" w:hAnsi="宋体" w:eastAsia="宋体" w:cs="宋体"/>
                <w:color w:val="auto"/>
                <w:sz w:val="24"/>
                <w:szCs w:val="24"/>
                <w:lang w:val="zh-CN"/>
              </w:rPr>
            </w:pPr>
            <w:bookmarkStart w:id="15" w:name="PO_默认文件内容_10"/>
            <w:r>
              <w:rPr>
                <w:rFonts w:hint="eastAsia" w:ascii="宋体" w:hAnsi="宋体" w:eastAsia="宋体" w:cs="宋体"/>
                <w:color w:val="auto"/>
                <w:sz w:val="24"/>
                <w:szCs w:val="24"/>
              </w:rPr>
              <w:t>根据《中华人民共和国政府采购法》第十条的规定，本项目采购本国工程。</w:t>
            </w:r>
            <w:bookmarkEnd w:id="15"/>
          </w:p>
        </w:tc>
      </w:tr>
      <w:tr w14:paraId="783D05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jc w:val="center"/>
        </w:trPr>
        <w:tc>
          <w:tcPr>
            <w:tcW w:w="1013" w:type="dxa"/>
            <w:vAlign w:val="center"/>
          </w:tcPr>
          <w:p w14:paraId="78F81BD1">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2287" w:type="dxa"/>
            <w:vAlign w:val="center"/>
          </w:tcPr>
          <w:p w14:paraId="04B87438">
            <w:pPr>
              <w:pStyle w:val="87"/>
              <w:spacing w:line="360" w:lineRule="auto"/>
              <w:ind w:left="38"/>
              <w:jc w:val="center"/>
              <w:rPr>
                <w:rFonts w:hint="eastAsia" w:ascii="宋体" w:hAnsi="宋体" w:eastAsia="宋体" w:cs="宋体"/>
                <w:color w:val="auto"/>
                <w:sz w:val="24"/>
                <w:szCs w:val="24"/>
              </w:rPr>
            </w:pPr>
            <w:r>
              <w:rPr>
                <w:rFonts w:hint="eastAsia" w:ascii="宋体" w:hAnsi="宋体" w:eastAsia="宋体" w:cs="宋体"/>
                <w:color w:val="auto"/>
                <w:sz w:val="24"/>
                <w:szCs w:val="24"/>
              </w:rPr>
              <w:t>低于成本价</w:t>
            </w:r>
          </w:p>
          <w:p w14:paraId="44E56395">
            <w:pPr>
              <w:pStyle w:val="87"/>
              <w:spacing w:line="360" w:lineRule="auto"/>
              <w:ind w:left="38"/>
              <w:jc w:val="center"/>
              <w:rPr>
                <w:rFonts w:hint="eastAsia" w:ascii="宋体" w:hAnsi="宋体" w:eastAsia="宋体" w:cs="宋体"/>
                <w:color w:val="auto"/>
                <w:sz w:val="24"/>
                <w:szCs w:val="24"/>
              </w:rPr>
            </w:pPr>
            <w:r>
              <w:rPr>
                <w:rFonts w:hint="eastAsia" w:ascii="宋体" w:hAnsi="宋体" w:eastAsia="宋体" w:cs="宋体"/>
                <w:color w:val="auto"/>
                <w:sz w:val="24"/>
                <w:szCs w:val="24"/>
              </w:rPr>
              <w:t>不正当竞争预防措施</w:t>
            </w:r>
          </w:p>
          <w:p w14:paraId="52879777">
            <w:pPr>
              <w:pStyle w:val="87"/>
              <w:spacing w:line="360" w:lineRule="auto"/>
              <w:ind w:left="38"/>
              <w:jc w:val="center"/>
              <w:rPr>
                <w:rFonts w:hint="eastAsia" w:ascii="宋体" w:hAnsi="宋体" w:eastAsia="宋体" w:cs="宋体"/>
                <w:color w:val="auto"/>
                <w:sz w:val="24"/>
                <w:szCs w:val="24"/>
              </w:rPr>
            </w:pPr>
            <w:r>
              <w:rPr>
                <w:rFonts w:hint="eastAsia" w:ascii="宋体" w:hAnsi="宋体" w:eastAsia="宋体" w:cs="宋体"/>
                <w:color w:val="auto"/>
                <w:sz w:val="24"/>
                <w:szCs w:val="24"/>
              </w:rPr>
              <w:t>（实质性要求）</w:t>
            </w:r>
          </w:p>
        </w:tc>
        <w:tc>
          <w:tcPr>
            <w:tcW w:w="6206" w:type="dxa"/>
            <w:vAlign w:val="center"/>
          </w:tcPr>
          <w:p w14:paraId="3524FA51">
            <w:pPr>
              <w:spacing w:line="360" w:lineRule="auto"/>
              <w:ind w:left="105" w:leftChars="50" w:right="105" w:rightChars="50" w:firstLine="240" w:firstLineChars="100"/>
              <w:rPr>
                <w:rFonts w:hint="eastAsia" w:ascii="宋体" w:hAnsi="宋体" w:eastAsia="宋体" w:cs="宋体"/>
                <w:color w:val="auto"/>
                <w:kern w:val="0"/>
                <w:sz w:val="24"/>
                <w:szCs w:val="24"/>
              </w:rPr>
            </w:pPr>
            <w:bookmarkStart w:id="16" w:name="PO_默认文件内容_111"/>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评审组认为</w:t>
            </w:r>
            <w:r>
              <w:rPr>
                <w:rFonts w:hint="eastAsia" w:ascii="宋体" w:hAnsi="宋体" w:eastAsia="宋体" w:cs="宋体"/>
                <w:color w:val="auto"/>
                <w:kern w:val="0"/>
                <w:sz w:val="24"/>
                <w:szCs w:val="24"/>
              </w:rPr>
              <w:t>供应商报价有可能影响工程质量或者不能诚信履约的，应当要求其在评审现场合理的时间内提供书面说明，必要时提交相关证明材料；供应商不能证明其报价合理性的，谈判小组应当将其响应文件作为无效处理。供应商的书面说明材料应当按照国家财务会计制度的规定要求，逐项就供应商提供的工程及其有关的货物、服务的主营业务成本、税金及附加、销售费用、管理费用、财务费用等成本构成事项详细陈述。</w:t>
            </w:r>
            <w:bookmarkEnd w:id="16"/>
          </w:p>
          <w:p w14:paraId="6BDC0011">
            <w:pPr>
              <w:spacing w:line="360" w:lineRule="auto"/>
              <w:ind w:left="105" w:leftChars="50" w:right="105" w:rightChars="50" w:firstLine="240" w:firstLine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2、供应商书面说明应当签字确认或者加盖公章，否则无效。书面说明应由其法定代表人/主要负责人或者其授权代表签字确认。</w:t>
            </w:r>
          </w:p>
          <w:p w14:paraId="6FC88572">
            <w:pPr>
              <w:spacing w:line="360" w:lineRule="auto"/>
              <w:ind w:left="105" w:leftChars="50" w:right="105" w:rightChars="50" w:firstLine="240" w:firstLineChars="100"/>
              <w:rPr>
                <w:rFonts w:hint="eastAsia" w:ascii="宋体" w:hAnsi="宋体" w:eastAsia="宋体" w:cs="宋体"/>
                <w:color w:val="auto"/>
                <w:sz w:val="24"/>
                <w:szCs w:val="24"/>
              </w:rPr>
            </w:pPr>
            <w:r>
              <w:rPr>
                <w:rFonts w:hint="eastAsia" w:ascii="宋体" w:hAnsi="宋体" w:eastAsia="宋体" w:cs="宋体"/>
                <w:color w:val="auto"/>
                <w:kern w:val="0"/>
                <w:sz w:val="24"/>
                <w:szCs w:val="24"/>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54F3F3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21" w:hRule="atLeast"/>
          <w:jc w:val="center"/>
        </w:trPr>
        <w:tc>
          <w:tcPr>
            <w:tcW w:w="1013" w:type="dxa"/>
            <w:vAlign w:val="center"/>
          </w:tcPr>
          <w:p w14:paraId="2AA7E1A5">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p w14:paraId="21EC6763">
            <w:pPr>
              <w:pStyle w:val="87"/>
              <w:spacing w:line="360" w:lineRule="auto"/>
              <w:ind w:right="230"/>
              <w:jc w:val="center"/>
              <w:rPr>
                <w:rFonts w:hint="eastAsia" w:ascii="宋体" w:hAnsi="宋体" w:eastAsia="宋体" w:cs="宋体"/>
                <w:color w:val="auto"/>
                <w:sz w:val="24"/>
                <w:szCs w:val="24"/>
                <w:lang w:val="zh-CN"/>
              </w:rPr>
            </w:pPr>
          </w:p>
        </w:tc>
        <w:tc>
          <w:tcPr>
            <w:tcW w:w="2287" w:type="dxa"/>
            <w:vAlign w:val="center"/>
          </w:tcPr>
          <w:p w14:paraId="65346186">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小微企业（监狱企业、残疾人福利性单位视同小微企业</w:t>
            </w:r>
          </w:p>
          <w:p w14:paraId="3A4CD509">
            <w:pPr>
              <w:pStyle w:val="87"/>
              <w:spacing w:line="360" w:lineRule="auto"/>
              <w:ind w:left="38"/>
              <w:jc w:val="center"/>
              <w:rPr>
                <w:rFonts w:hint="eastAsia" w:ascii="宋体" w:hAnsi="宋体" w:eastAsia="宋体" w:cs="宋体"/>
                <w:color w:val="auto"/>
                <w:sz w:val="24"/>
                <w:szCs w:val="24"/>
                <w:lang w:val="zh-CN"/>
              </w:rPr>
            </w:pPr>
          </w:p>
        </w:tc>
        <w:tc>
          <w:tcPr>
            <w:tcW w:w="6206" w:type="dxa"/>
          </w:tcPr>
          <w:p w14:paraId="472F35E5">
            <w:pPr>
              <w:pStyle w:val="87"/>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一、小微企业（监狱企业、残疾人福利性单位视同小微企业）价格扣除</w:t>
            </w:r>
          </w:p>
          <w:p w14:paraId="3B61720B">
            <w:pPr>
              <w:pStyle w:val="87"/>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1.根据《政府采购促进中小企业发展管理办法》（财库[2020]46号）的规定，对小型和微型企业产品的价格给予10%的价格扣除，用扣除后的价格参与评审。</w:t>
            </w:r>
          </w:p>
          <w:p w14:paraId="3E5373F9">
            <w:pPr>
              <w:pStyle w:val="87"/>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2.参加政府采购活动的中小企业应当提供《中小企业声明函》原件。监狱企业应当提供《监狱企业证明》原件。残疾人福利性单位应当提供《残疾人福利性单位声明函》原件。</w:t>
            </w:r>
          </w:p>
          <w:p w14:paraId="1D0238AD">
            <w:pPr>
              <w:pStyle w:val="87"/>
              <w:spacing w:line="360" w:lineRule="auto"/>
              <w:ind w:firstLine="241" w:firstLineChars="100"/>
              <w:jc w:val="both"/>
              <w:rPr>
                <w:rFonts w:hint="default" w:ascii="宋体" w:hAnsi="宋体" w:eastAsia="宋体" w:cs="宋体"/>
                <w:color w:val="auto"/>
                <w:sz w:val="24"/>
                <w:szCs w:val="24"/>
                <w:lang w:val="en-US" w:eastAsia="zh-CN"/>
              </w:rPr>
            </w:pPr>
            <w:r>
              <w:rPr>
                <w:rFonts w:hint="eastAsia" w:cs="宋体"/>
                <w:b/>
                <w:bCs/>
                <w:color w:val="auto"/>
                <w:sz w:val="24"/>
                <w:szCs w:val="24"/>
                <w:lang w:val="en-US" w:eastAsia="zh-CN"/>
              </w:rPr>
              <w:t>注：本项目专门面向中小企业采购，不再进行价格扣除。</w:t>
            </w:r>
          </w:p>
        </w:tc>
      </w:tr>
      <w:tr w14:paraId="62AE1F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3662668">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2287" w:type="dxa"/>
            <w:vAlign w:val="center"/>
          </w:tcPr>
          <w:p w14:paraId="18C1D7F9">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kern w:val="2"/>
                <w:sz w:val="24"/>
                <w:szCs w:val="24"/>
              </w:rPr>
              <w:t>节能、环保及无线局域网产品政府采购政策</w:t>
            </w:r>
          </w:p>
        </w:tc>
        <w:tc>
          <w:tcPr>
            <w:tcW w:w="6206" w:type="dxa"/>
            <w:vAlign w:val="center"/>
          </w:tcPr>
          <w:p w14:paraId="30CCB848">
            <w:pPr>
              <w:spacing w:line="340" w:lineRule="exact"/>
              <w:ind w:right="105" w:rightChars="5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一、节能、环保产品政府采购政策：</w:t>
            </w:r>
          </w:p>
          <w:p w14:paraId="3FB15755">
            <w:pPr>
              <w:pStyle w:val="87"/>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信息，对通过认证的的产品实施政府优先采购或强制采购。</w:t>
            </w:r>
          </w:p>
          <w:p w14:paraId="765312C0">
            <w:pPr>
              <w:keepNext w:val="0"/>
              <w:keepLines w:val="0"/>
              <w:widowControl/>
              <w:suppressLineNumbers w:val="0"/>
              <w:jc w:val="left"/>
              <w:rPr>
                <w:rFonts w:hint="default" w:cs="宋体"/>
                <w:b/>
                <w:bCs/>
                <w:color w:val="auto"/>
                <w:sz w:val="24"/>
                <w:szCs w:val="24"/>
                <w:lang w:val="en-US" w:eastAsia="zh-CN"/>
              </w:rPr>
            </w:pPr>
            <w:r>
              <w:rPr>
                <w:rFonts w:hint="eastAsia" w:ascii="宋体" w:hAnsi="宋体" w:eastAsia="宋体" w:cs="宋体"/>
                <w:color w:val="auto"/>
                <w:sz w:val="24"/>
                <w:szCs w:val="24"/>
                <w:lang w:val="en-US" w:eastAsia="zh-CN"/>
              </w:rPr>
              <w:t>本项目采购的产品属于品目清单强制采购范围的，供应商应当在响应文件中提供国家确定的认证机构的认证结果信息发布平台公布的该产品认证信息截图或者打印资料并加盖供应商公章（鲜章），否则其响应文件按无效处理。</w:t>
            </w:r>
            <w:r>
              <w:rPr>
                <w:rFonts w:hint="eastAsia" w:ascii="宋体" w:hAnsi="宋体" w:eastAsia="宋体" w:cs="宋体"/>
                <w:b/>
                <w:bCs/>
                <w:color w:val="auto"/>
                <w:sz w:val="24"/>
                <w:szCs w:val="24"/>
              </w:rPr>
              <w:t>（实质性要求）</w:t>
            </w:r>
            <w:r>
              <w:rPr>
                <w:rFonts w:hint="eastAsia" w:cs="宋体"/>
                <w:b/>
                <w:bCs/>
                <w:color w:val="auto"/>
                <w:sz w:val="24"/>
                <w:szCs w:val="24"/>
                <w:lang w:val="en-US" w:eastAsia="zh-CN"/>
              </w:rPr>
              <w:t xml:space="preserve">--强制节能产品：电热水器、洗脸盆（长颈水嘴）、蹲便器    </w:t>
            </w:r>
          </w:p>
          <w:p w14:paraId="1D00C380">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本项目采购的产品属于品目清单优先采购范围的，对获得证书的产品实施政府优先采购。</w:t>
            </w:r>
            <w:r>
              <w:rPr>
                <w:rFonts w:hint="eastAsia" w:cs="宋体"/>
                <w:color w:val="auto"/>
                <w:sz w:val="24"/>
                <w:szCs w:val="24"/>
                <w:lang w:val="en-US" w:eastAsia="zh-CN"/>
              </w:rPr>
              <w:t>---</w:t>
            </w:r>
            <w:r>
              <w:rPr>
                <w:rFonts w:hint="eastAsia" w:cs="宋体"/>
                <w:b/>
                <w:bCs/>
                <w:color w:val="auto"/>
                <w:sz w:val="24"/>
                <w:szCs w:val="24"/>
                <w:lang w:val="en-US" w:eastAsia="zh-CN"/>
              </w:rPr>
              <w:t>节能环境产品：混凝土、水泥、模板、石膏板、砂浆、防火门、门</w:t>
            </w:r>
            <w:r>
              <w:rPr>
                <w:rFonts w:hint="default" w:cs="宋体"/>
                <w:b/>
                <w:bCs/>
                <w:color w:val="auto"/>
                <w:sz w:val="24"/>
                <w:szCs w:val="24"/>
                <w:lang w:val="en-US" w:eastAsia="zh-CN"/>
              </w:rPr>
              <w:t>套</w:t>
            </w:r>
            <w:r>
              <w:rPr>
                <w:rFonts w:hint="eastAsia" w:cs="宋体"/>
                <w:b/>
                <w:bCs/>
                <w:color w:val="auto"/>
                <w:sz w:val="24"/>
                <w:szCs w:val="24"/>
                <w:lang w:val="en-US" w:eastAsia="zh-CN"/>
              </w:rPr>
              <w:t>、窗、瓷砖、防水卷材、腻子、白色无机涂料、铝扣板、PVC排水管、灯、塑料管PP-R、UPVC、淋浴器等</w:t>
            </w:r>
          </w:p>
          <w:p w14:paraId="70A5256A">
            <w:pPr>
              <w:pStyle w:val="87"/>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注：对政府采购节能产品、环境标志产品实施品目清单管理。财政部、发展改革委、生态环境部等部门确定实施政府优先采购和强制采购的产品类别，以品目清单的形式发布并适时调整。</w:t>
            </w:r>
          </w:p>
          <w:p w14:paraId="3CA3D6BF">
            <w:pPr>
              <w:spacing w:line="340" w:lineRule="exact"/>
              <w:ind w:right="105" w:rightChars="50"/>
              <w:rPr>
                <w:rFonts w:hint="eastAsia" w:ascii="宋体" w:hAnsi="宋体" w:eastAsia="宋体" w:cs="宋体"/>
                <w:color w:val="auto"/>
                <w:sz w:val="24"/>
                <w:szCs w:val="24"/>
                <w:lang w:val="zh-CN"/>
              </w:rPr>
            </w:pPr>
            <w:r>
              <w:rPr>
                <w:rFonts w:hint="eastAsia" w:ascii="宋体" w:hAnsi="宋体" w:eastAsia="宋体" w:cs="宋体"/>
                <w:b/>
                <w:bCs/>
                <w:color w:val="auto"/>
                <w:sz w:val="24"/>
                <w:szCs w:val="24"/>
              </w:rPr>
              <w:t>二、无线局域网产品政府采购政策：</w:t>
            </w:r>
            <w:r>
              <w:rPr>
                <w:rFonts w:hint="eastAsia" w:ascii="宋体" w:hAnsi="宋体" w:cs="宋体"/>
                <w:b/>
                <w:bCs/>
                <w:color w:val="auto"/>
                <w:sz w:val="24"/>
                <w:szCs w:val="24"/>
                <w:lang w:val="en-US" w:eastAsia="zh-CN"/>
              </w:rPr>
              <w:t>无</w:t>
            </w:r>
            <w:r>
              <w:rPr>
                <w:rFonts w:hint="eastAsia" w:ascii="宋体" w:hAnsi="宋体" w:eastAsia="宋体" w:cs="宋体"/>
                <w:color w:val="auto"/>
                <w:kern w:val="2"/>
                <w:sz w:val="24"/>
                <w:szCs w:val="24"/>
                <w:lang w:val="en-US" w:eastAsia="zh-CN" w:bidi="ar-SA"/>
              </w:rPr>
              <w:t>。</w:t>
            </w:r>
          </w:p>
        </w:tc>
      </w:tr>
      <w:tr w14:paraId="0D8178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580E8F8">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w:t>
            </w:r>
          </w:p>
        </w:tc>
        <w:tc>
          <w:tcPr>
            <w:tcW w:w="2287" w:type="dxa"/>
            <w:vAlign w:val="center"/>
          </w:tcPr>
          <w:p w14:paraId="5E407E50">
            <w:pPr>
              <w:pStyle w:val="87"/>
              <w:spacing w:line="360" w:lineRule="auto"/>
              <w:ind w:left="38"/>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谈判情况公告</w:t>
            </w:r>
          </w:p>
        </w:tc>
        <w:tc>
          <w:tcPr>
            <w:tcW w:w="6206" w:type="dxa"/>
            <w:vAlign w:val="center"/>
          </w:tcPr>
          <w:p w14:paraId="3439EA46">
            <w:pPr>
              <w:keepNext w:val="0"/>
              <w:keepLines w:val="0"/>
              <w:widowControl/>
              <w:suppressLineNumbers w:val="0"/>
              <w:jc w:val="left"/>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供应商谈判资格要求、</w:t>
            </w:r>
            <w:r>
              <w:rPr>
                <w:rFonts w:hint="eastAsia" w:ascii="宋体" w:hAnsi="宋体" w:eastAsia="宋体" w:cs="宋体"/>
                <w:color w:val="auto"/>
                <w:kern w:val="0"/>
                <w:sz w:val="24"/>
                <w:szCs w:val="24"/>
                <w:lang w:val="en-US" w:eastAsia="zh-CN" w:bidi="ar-SA"/>
              </w:rPr>
              <w:t>报名方式</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谈判</w:t>
            </w:r>
            <w:r>
              <w:rPr>
                <w:rFonts w:hint="eastAsia" w:ascii="宋体" w:hAnsi="宋体" w:eastAsia="宋体" w:cs="宋体"/>
                <w:color w:val="auto"/>
                <w:kern w:val="0"/>
                <w:sz w:val="24"/>
                <w:szCs w:val="24"/>
                <w:lang w:val="zh-CN" w:eastAsia="zh-CN" w:bidi="ar-SA"/>
              </w:rPr>
              <w:t>结果</w:t>
            </w:r>
            <w:r>
              <w:rPr>
                <w:rFonts w:hint="eastAsia" w:ascii="宋体" w:hAnsi="宋体" w:eastAsia="宋体" w:cs="宋体"/>
                <w:color w:val="auto"/>
                <w:kern w:val="0"/>
                <w:sz w:val="24"/>
                <w:szCs w:val="24"/>
                <w:lang w:val="en-US" w:eastAsia="zh-CN" w:bidi="ar-SA"/>
              </w:rPr>
              <w:t>等在</w:t>
            </w:r>
            <w:r>
              <w:rPr>
                <w:rFonts w:hint="eastAsia" w:ascii="宋体" w:hAnsi="宋体" w:eastAsia="宋体" w:cs="宋体"/>
                <w:b w:val="0"/>
                <w:bCs w:val="0"/>
                <w:color w:val="auto"/>
                <w:kern w:val="2"/>
                <w:sz w:val="24"/>
                <w:szCs w:val="24"/>
                <w:lang w:val="en-US" w:eastAsia="zh-CN" w:bidi="ar-SA"/>
              </w:rPr>
              <w:t>广元市水利局官网（http://water.cngy.gov.cn/index.html)</w:t>
            </w:r>
            <w:r>
              <w:rPr>
                <w:rFonts w:hint="eastAsia" w:ascii="宋体" w:hAnsi="宋体" w:eastAsia="宋体" w:cs="宋体"/>
                <w:color w:val="auto"/>
                <w:kern w:val="0"/>
                <w:sz w:val="24"/>
                <w:szCs w:val="24"/>
                <w:lang w:val="en-US" w:eastAsia="zh-CN" w:bidi="ar-SA"/>
              </w:rPr>
              <w:t>中予以公告</w:t>
            </w:r>
          </w:p>
        </w:tc>
      </w:tr>
      <w:tr w14:paraId="14359E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1013" w:type="dxa"/>
            <w:vAlign w:val="center"/>
          </w:tcPr>
          <w:p w14:paraId="485858A8">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9 </w:t>
            </w:r>
          </w:p>
        </w:tc>
        <w:tc>
          <w:tcPr>
            <w:tcW w:w="2287" w:type="dxa"/>
            <w:vAlign w:val="center"/>
          </w:tcPr>
          <w:p w14:paraId="57180530">
            <w:pPr>
              <w:pStyle w:val="87"/>
              <w:spacing w:line="360" w:lineRule="auto"/>
              <w:ind w:firstLine="720" w:firstLineChars="3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w:t>
            </w:r>
          </w:p>
        </w:tc>
        <w:tc>
          <w:tcPr>
            <w:tcW w:w="6206" w:type="dxa"/>
            <w:vAlign w:val="center"/>
          </w:tcPr>
          <w:p w14:paraId="38E358B5">
            <w:pPr>
              <w:pStyle w:val="87"/>
              <w:spacing w:line="360" w:lineRule="auto"/>
              <w:ind w:firstLine="240" w:firstLineChars="100"/>
              <w:jc w:val="both"/>
              <w:rPr>
                <w:rFonts w:hint="eastAsia" w:ascii="宋体" w:hAnsi="宋体" w:eastAsia="宋体" w:cs="宋体"/>
                <w:color w:val="auto"/>
                <w:sz w:val="24"/>
                <w:szCs w:val="24"/>
                <w:lang w:val="en-US" w:eastAsia="zh-CN"/>
              </w:rPr>
            </w:pPr>
            <w:r>
              <w:rPr>
                <w:rFonts w:hint="eastAsia" w:cs="宋体"/>
                <w:color w:val="auto"/>
                <w:sz w:val="24"/>
                <w:szCs w:val="24"/>
                <w:lang w:val="en-US" w:eastAsia="zh-CN"/>
              </w:rPr>
              <w:t>无</w:t>
            </w:r>
          </w:p>
        </w:tc>
      </w:tr>
      <w:tr w14:paraId="623F87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1" w:hRule="atLeast"/>
          <w:jc w:val="center"/>
        </w:trPr>
        <w:tc>
          <w:tcPr>
            <w:tcW w:w="1013" w:type="dxa"/>
            <w:vAlign w:val="center"/>
          </w:tcPr>
          <w:p w14:paraId="661E9923">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10</w:t>
            </w:r>
          </w:p>
        </w:tc>
        <w:tc>
          <w:tcPr>
            <w:tcW w:w="2287" w:type="dxa"/>
            <w:vAlign w:val="center"/>
          </w:tcPr>
          <w:p w14:paraId="0F926DFD">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谈判</w:t>
            </w:r>
            <w:r>
              <w:rPr>
                <w:rFonts w:hint="eastAsia" w:ascii="宋体" w:hAnsi="宋体" w:eastAsia="宋体" w:cs="宋体"/>
                <w:color w:val="auto"/>
                <w:sz w:val="24"/>
                <w:szCs w:val="24"/>
                <w:lang w:val="zh-CN"/>
              </w:rPr>
              <w:t>文件咨询</w:t>
            </w:r>
          </w:p>
        </w:tc>
        <w:tc>
          <w:tcPr>
            <w:tcW w:w="6206" w:type="dxa"/>
            <w:vAlign w:val="center"/>
          </w:tcPr>
          <w:p w14:paraId="5F858944">
            <w:pPr>
              <w:pStyle w:val="87"/>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cs="宋体"/>
                <w:color w:val="auto"/>
                <w:sz w:val="24"/>
                <w:szCs w:val="24"/>
                <w:lang w:val="en-US" w:eastAsia="zh-CN"/>
              </w:rPr>
              <w:t>王艳女士</w:t>
            </w:r>
            <w:r>
              <w:rPr>
                <w:rFonts w:hint="eastAsia" w:ascii="宋体" w:hAnsi="宋体" w:eastAsia="宋体" w:cs="宋体"/>
                <w:color w:val="auto"/>
                <w:sz w:val="24"/>
                <w:szCs w:val="24"/>
                <w:lang w:val="zh-CN"/>
              </w:rPr>
              <w:t>。</w:t>
            </w:r>
          </w:p>
          <w:p w14:paraId="6221142F">
            <w:pPr>
              <w:pStyle w:val="87"/>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cs="宋体"/>
                <w:color w:val="auto"/>
                <w:sz w:val="24"/>
                <w:szCs w:val="24"/>
                <w:lang w:val="en-US" w:eastAsia="zh-CN"/>
              </w:rPr>
              <w:t>15196100206</w:t>
            </w:r>
            <w:r>
              <w:rPr>
                <w:rFonts w:hint="eastAsia" w:ascii="宋体" w:hAnsi="宋体" w:eastAsia="宋体" w:cs="宋体"/>
                <w:color w:val="auto"/>
                <w:sz w:val="24"/>
                <w:szCs w:val="24"/>
                <w:lang w:val="zh-CN"/>
              </w:rPr>
              <w:t>。</w:t>
            </w:r>
          </w:p>
        </w:tc>
      </w:tr>
      <w:tr w14:paraId="5A9381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57" w:hRule="atLeast"/>
          <w:jc w:val="center"/>
        </w:trPr>
        <w:tc>
          <w:tcPr>
            <w:tcW w:w="1013" w:type="dxa"/>
            <w:vAlign w:val="center"/>
          </w:tcPr>
          <w:p w14:paraId="50A8F800">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w:t>
            </w:r>
          </w:p>
        </w:tc>
        <w:tc>
          <w:tcPr>
            <w:tcW w:w="2287" w:type="dxa"/>
            <w:vAlign w:val="center"/>
          </w:tcPr>
          <w:p w14:paraId="25D6315E">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谈判过程、结果咨询</w:t>
            </w:r>
          </w:p>
        </w:tc>
        <w:tc>
          <w:tcPr>
            <w:tcW w:w="6206" w:type="dxa"/>
            <w:vAlign w:val="center"/>
          </w:tcPr>
          <w:p w14:paraId="6D770FED">
            <w:pPr>
              <w:pStyle w:val="87"/>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cs="宋体"/>
                <w:color w:val="auto"/>
                <w:sz w:val="24"/>
                <w:szCs w:val="24"/>
                <w:lang w:val="en-US" w:eastAsia="zh-CN"/>
              </w:rPr>
              <w:t>王艳女士</w:t>
            </w:r>
            <w:r>
              <w:rPr>
                <w:rFonts w:hint="eastAsia" w:ascii="宋体" w:hAnsi="宋体" w:eastAsia="宋体" w:cs="宋体"/>
                <w:color w:val="auto"/>
                <w:sz w:val="24"/>
                <w:szCs w:val="24"/>
                <w:lang w:val="zh-CN"/>
              </w:rPr>
              <w:t>。</w:t>
            </w:r>
          </w:p>
          <w:p w14:paraId="5C45D238">
            <w:pPr>
              <w:pStyle w:val="87"/>
              <w:spacing w:line="360" w:lineRule="auto"/>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cs="宋体"/>
                <w:color w:val="auto"/>
                <w:sz w:val="24"/>
                <w:szCs w:val="24"/>
                <w:lang w:val="en-US" w:eastAsia="zh-CN"/>
              </w:rPr>
              <w:t>15196100206</w:t>
            </w:r>
            <w:r>
              <w:rPr>
                <w:rFonts w:hint="eastAsia" w:ascii="宋体" w:hAnsi="宋体" w:eastAsia="宋体" w:cs="宋体"/>
                <w:color w:val="auto"/>
                <w:sz w:val="24"/>
                <w:szCs w:val="24"/>
                <w:lang w:val="zh-CN"/>
              </w:rPr>
              <w:t>。</w:t>
            </w:r>
          </w:p>
        </w:tc>
      </w:tr>
      <w:tr w14:paraId="24CF7D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22" w:hRule="atLeast"/>
          <w:jc w:val="center"/>
        </w:trPr>
        <w:tc>
          <w:tcPr>
            <w:tcW w:w="1013" w:type="dxa"/>
            <w:vAlign w:val="center"/>
          </w:tcPr>
          <w:p w14:paraId="55857E75">
            <w:pPr>
              <w:pStyle w:val="87"/>
              <w:spacing w:line="360" w:lineRule="auto"/>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w:t>
            </w:r>
          </w:p>
        </w:tc>
        <w:tc>
          <w:tcPr>
            <w:tcW w:w="2287" w:type="dxa"/>
            <w:vAlign w:val="center"/>
          </w:tcPr>
          <w:p w14:paraId="03C55D68">
            <w:pPr>
              <w:pStyle w:val="87"/>
              <w:spacing w:line="360" w:lineRule="auto"/>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成交通知书领取</w:t>
            </w:r>
          </w:p>
        </w:tc>
        <w:tc>
          <w:tcPr>
            <w:tcW w:w="6206" w:type="dxa"/>
            <w:vAlign w:val="center"/>
          </w:tcPr>
          <w:p w14:paraId="43B0BEDC">
            <w:pPr>
              <w:pStyle w:val="87"/>
              <w:spacing w:line="360" w:lineRule="auto"/>
              <w:ind w:left="60" w:leftChars="-200" w:hanging="480" w:hanging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w:t>
            </w:r>
            <w:r>
              <w:rPr>
                <w:rFonts w:hint="eastAsia" w:cs="宋体"/>
                <w:color w:val="auto"/>
                <w:sz w:val="24"/>
                <w:szCs w:val="24"/>
                <w:lang w:val="en-US" w:eastAsia="zh-CN"/>
              </w:rPr>
              <w:t xml:space="preserve">  </w:t>
            </w:r>
            <w:r>
              <w:rPr>
                <w:rFonts w:hint="eastAsia" w:ascii="宋体" w:hAnsi="宋体" w:eastAsia="宋体" w:cs="宋体"/>
                <w:color w:val="auto"/>
                <w:sz w:val="24"/>
                <w:szCs w:val="24"/>
                <w:lang w:val="zh-CN" w:eastAsia="zh-CN"/>
              </w:rPr>
              <w:t>成交结果公告在</w:t>
            </w:r>
            <w:r>
              <w:rPr>
                <w:rFonts w:hint="eastAsia" w:ascii="宋体" w:hAnsi="宋体" w:eastAsia="宋体" w:cs="宋体"/>
                <w:b w:val="0"/>
                <w:bCs w:val="0"/>
                <w:color w:val="auto"/>
                <w:kern w:val="2"/>
                <w:sz w:val="24"/>
                <w:szCs w:val="24"/>
                <w:lang w:val="en-US" w:eastAsia="zh-CN" w:bidi="ar-SA"/>
              </w:rPr>
              <w:t>广元市水利局官网（http://water.cngy.gov.cn/index.html)</w:t>
            </w:r>
            <w:r>
              <w:rPr>
                <w:rFonts w:hint="eastAsia" w:ascii="宋体" w:hAnsi="宋体" w:eastAsia="宋体" w:cs="宋体"/>
                <w:color w:val="auto"/>
                <w:sz w:val="24"/>
                <w:szCs w:val="24"/>
                <w:lang w:val="zh-CN" w:eastAsia="zh-CN"/>
              </w:rPr>
              <w:t>发布后，请成交供应商凭有效身份证明证件到</w:t>
            </w:r>
            <w:r>
              <w:rPr>
                <w:rFonts w:hint="eastAsia" w:cs="宋体"/>
                <w:color w:val="auto"/>
                <w:sz w:val="24"/>
                <w:szCs w:val="24"/>
                <w:lang w:val="zh-CN" w:eastAsia="zh-CN"/>
              </w:rPr>
              <w:t>四川天宇华辰建设工程有限公司</w:t>
            </w:r>
            <w:r>
              <w:rPr>
                <w:rFonts w:hint="eastAsia" w:ascii="宋体" w:hAnsi="宋体" w:eastAsia="宋体" w:cs="宋体"/>
                <w:color w:val="auto"/>
                <w:sz w:val="24"/>
                <w:szCs w:val="24"/>
                <w:lang w:val="zh-CN" w:eastAsia="zh-CN"/>
              </w:rPr>
              <w:t>领取成交通知书。</w:t>
            </w:r>
          </w:p>
          <w:p w14:paraId="1C3922B7">
            <w:pPr>
              <w:pStyle w:val="87"/>
              <w:spacing w:line="360" w:lineRule="auto"/>
              <w:ind w:left="60" w:leftChars="-200" w:hanging="480" w:hangingChars="200"/>
              <w:jc w:val="left"/>
              <w:rPr>
                <w:rFonts w:hint="eastAsia" w:ascii="宋体" w:hAnsi="宋体" w:eastAsia="宋体" w:cs="宋体"/>
                <w:color w:val="auto"/>
                <w:sz w:val="24"/>
                <w:szCs w:val="24"/>
                <w:lang w:val="zh-CN"/>
              </w:rPr>
            </w:pPr>
          </w:p>
        </w:tc>
      </w:tr>
      <w:tr w14:paraId="53E14F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57F2FAF">
            <w:pPr>
              <w:pStyle w:val="87"/>
              <w:spacing w:line="360" w:lineRule="auto"/>
              <w:ind w:right="230"/>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3</w:t>
            </w:r>
          </w:p>
        </w:tc>
        <w:tc>
          <w:tcPr>
            <w:tcW w:w="2287" w:type="dxa"/>
            <w:vAlign w:val="center"/>
          </w:tcPr>
          <w:p w14:paraId="1C3DDB5D">
            <w:pPr>
              <w:pStyle w:val="87"/>
              <w:spacing w:line="360" w:lineRule="auto"/>
              <w:ind w:left="96"/>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供应商询问和质疑</w:t>
            </w:r>
          </w:p>
        </w:tc>
        <w:tc>
          <w:tcPr>
            <w:tcW w:w="6206" w:type="dxa"/>
            <w:vAlign w:val="center"/>
          </w:tcPr>
          <w:p w14:paraId="72FE3D35">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对竞争性谈判文件技术指标、参数，资质要求，以及其他采购需求提出的询问和质疑向采购人提出，由</w:t>
            </w:r>
            <w:r>
              <w:rPr>
                <w:rFonts w:hint="eastAsia" w:ascii="宋体" w:hAnsi="宋体" w:eastAsia="宋体" w:cs="宋体"/>
                <w:color w:val="auto"/>
                <w:sz w:val="24"/>
                <w:szCs w:val="24"/>
                <w:lang w:val="zh-CN" w:eastAsia="zh-CN"/>
              </w:rPr>
              <w:t>采购人按照相关规定作出答复。</w:t>
            </w:r>
          </w:p>
          <w:p w14:paraId="7567E3BC">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（1）提出质疑时间：报名成功并获取采购文件之日起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个工作日内。</w:t>
            </w:r>
          </w:p>
          <w:p w14:paraId="67DBF334">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（2）质疑函接收方式：供应商的质疑函应以书面形式现场</w:t>
            </w:r>
            <w:r>
              <w:rPr>
                <w:rFonts w:hint="eastAsia" w:ascii="宋体" w:hAnsi="宋体" w:cs="宋体"/>
                <w:color w:val="auto"/>
                <w:sz w:val="24"/>
                <w:szCs w:val="24"/>
                <w:lang w:val="en-US" w:eastAsia="zh-CN"/>
              </w:rPr>
              <w:t>场</w:t>
            </w:r>
            <w:r>
              <w:rPr>
                <w:rFonts w:hint="eastAsia" w:ascii="宋体" w:hAnsi="宋体" w:eastAsia="宋体" w:cs="宋体"/>
                <w:color w:val="auto"/>
                <w:sz w:val="24"/>
                <w:szCs w:val="24"/>
                <w:lang w:val="en-US" w:eastAsia="zh-CN"/>
              </w:rPr>
              <w:t>或邮寄递交.</w:t>
            </w:r>
          </w:p>
          <w:p w14:paraId="015A8513">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（3）递交地址：</w:t>
            </w:r>
            <w:r>
              <w:rPr>
                <w:rFonts w:hint="eastAsia" w:ascii="宋体" w:hAnsi="宋体" w:cs="宋体"/>
                <w:color w:val="auto"/>
                <w:sz w:val="24"/>
                <w:szCs w:val="24"/>
                <w:lang w:val="en-US" w:eastAsia="zh-CN"/>
              </w:rPr>
              <w:t>广元市利州区利州东路一段659号</w:t>
            </w:r>
          </w:p>
          <w:p w14:paraId="678A2065">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2.对采购过程和采购结果的询问和质疑向采购代理机构提出，由采购代理机构按照相关规定作出答复。</w:t>
            </w:r>
          </w:p>
          <w:p w14:paraId="30091C3B">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（1）对采购过程提出质疑时间：为各采购程序环节结束之日起七个工作日内。</w:t>
            </w:r>
          </w:p>
          <w:p w14:paraId="7CB938C2">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（2）对采购结果提出质疑时间：为成交结果公告发布次日后七个工作日内。</w:t>
            </w:r>
          </w:p>
          <w:p w14:paraId="65F4229E">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质疑函接收方式：供应商的质疑函应以书面形式现场或邮寄递交</w:t>
            </w:r>
          </w:p>
          <w:p w14:paraId="5A093F2C">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递交地址：</w:t>
            </w:r>
            <w:r>
              <w:rPr>
                <w:rFonts w:hint="eastAsia" w:ascii="宋体" w:hAnsi="宋体" w:cs="宋体"/>
                <w:color w:val="auto"/>
                <w:sz w:val="24"/>
                <w:szCs w:val="24"/>
                <w:lang w:val="zh-CN" w:eastAsia="zh-CN"/>
              </w:rPr>
              <w:t>四川天宇华辰建设工程有限公司</w:t>
            </w:r>
          </w:p>
          <w:p w14:paraId="59C06224">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right="-256"/>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注：</w:t>
            </w:r>
            <w:r>
              <w:rPr>
                <w:rFonts w:hint="eastAsia" w:ascii="宋体" w:hAnsi="宋体" w:eastAsia="宋体" w:cs="宋体"/>
                <w:color w:val="auto"/>
                <w:kern w:val="0"/>
                <w:sz w:val="24"/>
                <w:szCs w:val="24"/>
                <w:lang w:val="zh-CN" w:eastAsia="zh-CN" w:bidi="ar-SA"/>
              </w:rPr>
              <w:t>根据《中华人民共和国政府采购法》的规定，供应商质疑不得超出竞争性谈判文件、采购过程、采购结果的范围。供应商针对同一采购程序环节的质疑应在法定质疑期内一次性提出。</w:t>
            </w:r>
          </w:p>
        </w:tc>
      </w:tr>
      <w:tr w14:paraId="76C2DF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2424717">
            <w:pPr>
              <w:pStyle w:val="87"/>
              <w:spacing w:line="360" w:lineRule="auto"/>
              <w:ind w:right="230"/>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1</w:t>
            </w:r>
            <w:r>
              <w:rPr>
                <w:rFonts w:hint="eastAsia" w:cs="宋体"/>
                <w:color w:val="auto"/>
                <w:sz w:val="24"/>
                <w:szCs w:val="24"/>
                <w:lang w:val="en-US" w:eastAsia="zh-CN"/>
              </w:rPr>
              <w:t>4</w:t>
            </w:r>
          </w:p>
        </w:tc>
        <w:tc>
          <w:tcPr>
            <w:tcW w:w="2287" w:type="dxa"/>
            <w:vAlign w:val="center"/>
          </w:tcPr>
          <w:p w14:paraId="43A699F1">
            <w:pPr>
              <w:pStyle w:val="87"/>
              <w:spacing w:line="360" w:lineRule="auto"/>
              <w:ind w:left="96"/>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代理服务费</w:t>
            </w:r>
          </w:p>
        </w:tc>
        <w:tc>
          <w:tcPr>
            <w:tcW w:w="6206" w:type="dxa"/>
            <w:vAlign w:val="center"/>
          </w:tcPr>
          <w:p w14:paraId="27A560F7">
            <w:pPr>
              <w:pStyle w:val="87"/>
              <w:spacing w:line="360" w:lineRule="auto"/>
              <w:ind w:left="155" w:leftChars="74" w:firstLine="64" w:firstLineChars="27"/>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招标代理服务费参考 &lt;国家计委关于印发《招标代理服务收费管理暂行办法》的通知&gt;计价格(2002〕1980号计算相应费用,并按下浮</w:t>
            </w:r>
            <w:r>
              <w:rPr>
                <w:rFonts w:hint="eastAsia" w:cs="宋体"/>
                <w:color w:val="auto"/>
                <w:sz w:val="24"/>
                <w:szCs w:val="24"/>
                <w:lang w:val="en-US" w:eastAsia="zh-CN"/>
              </w:rPr>
              <w:t>20%</w:t>
            </w:r>
            <w:r>
              <w:rPr>
                <w:rFonts w:hint="eastAsia" w:ascii="宋体" w:hAnsi="宋体" w:eastAsia="宋体" w:cs="宋体"/>
                <w:color w:val="auto"/>
                <w:sz w:val="24"/>
                <w:szCs w:val="24"/>
                <w:lang w:val="zh-CN" w:eastAsia="zh-CN"/>
              </w:rPr>
              <w:t>后的报价结算</w:t>
            </w:r>
            <w:r>
              <w:rPr>
                <w:rFonts w:hint="eastAsia" w:cs="宋体"/>
                <w:color w:val="auto"/>
                <w:sz w:val="24"/>
                <w:szCs w:val="24"/>
                <w:lang w:val="zh-CN" w:eastAsia="zh-CN"/>
              </w:rPr>
              <w:t>，代理服务费由项目业主支付</w:t>
            </w:r>
            <w:r>
              <w:rPr>
                <w:rFonts w:hint="eastAsia" w:ascii="宋体" w:hAnsi="宋体" w:eastAsia="宋体" w:cs="宋体"/>
                <w:color w:val="auto"/>
                <w:sz w:val="24"/>
                <w:szCs w:val="24"/>
                <w:lang w:val="zh-CN" w:eastAsia="zh-CN"/>
              </w:rPr>
              <w:t>。</w:t>
            </w:r>
          </w:p>
        </w:tc>
      </w:tr>
      <w:tr w14:paraId="35F705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jc w:val="center"/>
        </w:trPr>
        <w:tc>
          <w:tcPr>
            <w:tcW w:w="1013" w:type="dxa"/>
            <w:vAlign w:val="center"/>
          </w:tcPr>
          <w:p w14:paraId="2AF94E83">
            <w:pPr>
              <w:pStyle w:val="87"/>
              <w:spacing w:line="360" w:lineRule="auto"/>
              <w:ind w:right="230"/>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1</w:t>
            </w:r>
            <w:r>
              <w:rPr>
                <w:rFonts w:hint="eastAsia" w:cs="宋体"/>
                <w:color w:val="auto"/>
                <w:sz w:val="24"/>
                <w:szCs w:val="24"/>
                <w:lang w:val="en-US" w:eastAsia="zh-CN"/>
              </w:rPr>
              <w:t>5</w:t>
            </w:r>
          </w:p>
        </w:tc>
        <w:tc>
          <w:tcPr>
            <w:tcW w:w="2287" w:type="dxa"/>
            <w:vAlign w:val="center"/>
          </w:tcPr>
          <w:p w14:paraId="16E1B351">
            <w:pPr>
              <w:pStyle w:val="87"/>
              <w:spacing w:line="360" w:lineRule="auto"/>
              <w:ind w:left="96"/>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合同分包</w:t>
            </w:r>
          </w:p>
        </w:tc>
        <w:tc>
          <w:tcPr>
            <w:tcW w:w="6206" w:type="dxa"/>
            <w:vAlign w:val="center"/>
          </w:tcPr>
          <w:p w14:paraId="18CB45DD">
            <w:pPr>
              <w:pStyle w:val="87"/>
              <w:spacing w:line="360" w:lineRule="auto"/>
              <w:ind w:left="155" w:leftChars="74" w:firstLine="64" w:firstLineChars="27"/>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本项目不接受合同分包。</w:t>
            </w:r>
          </w:p>
        </w:tc>
      </w:tr>
      <w:tr w14:paraId="41BD98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940E988">
            <w:pPr>
              <w:pStyle w:val="87"/>
              <w:spacing w:line="360" w:lineRule="auto"/>
              <w:ind w:right="230" w:rightChars="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16</w:t>
            </w:r>
          </w:p>
        </w:tc>
        <w:tc>
          <w:tcPr>
            <w:tcW w:w="2287" w:type="dxa"/>
            <w:vAlign w:val="center"/>
          </w:tcPr>
          <w:p w14:paraId="4CE8CCE9">
            <w:pPr>
              <w:spacing w:line="36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开标手持件要求</w:t>
            </w:r>
          </w:p>
          <w:p w14:paraId="40074AAD">
            <w:pPr>
              <w:spacing w:line="360" w:lineRule="exact"/>
              <w:ind w:firstLine="420" w:firstLineChars="200"/>
              <w:rPr>
                <w:rFonts w:hint="eastAsia" w:ascii="宋体" w:hAnsi="宋体" w:eastAsia="宋体" w:cs="宋体"/>
                <w:color w:val="auto"/>
                <w:kern w:val="0"/>
                <w:sz w:val="21"/>
                <w:szCs w:val="21"/>
                <w:lang w:val="en-US" w:eastAsia="zh-CN" w:bidi="ar-SA"/>
              </w:rPr>
            </w:pPr>
          </w:p>
        </w:tc>
        <w:tc>
          <w:tcPr>
            <w:tcW w:w="6206" w:type="dxa"/>
            <w:vAlign w:val="center"/>
          </w:tcPr>
          <w:p w14:paraId="4716FAC8">
            <w:pPr>
              <w:spacing w:line="360" w:lineRule="exact"/>
              <w:ind w:firstLine="48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4"/>
                <w:szCs w:val="24"/>
                <w:lang w:val="en-US" w:eastAsia="zh-CN" w:bidi="ar-SA"/>
              </w:rPr>
              <w:t>递交响应文件必须在递交响应文件截止时间送达开标地点，递交响应文件时需另单独准备手持件（①法定代表人/单位负责人身份证复印件②法定代表人/单位负责人委托书原件，若是法人递交响应文件的，只需准备法定代表人/单位负责人身份证明书原件即可）与响应文件同时递交给项目工作人员，逾期送达或不递交手持件的不予接收！</w:t>
            </w:r>
          </w:p>
        </w:tc>
      </w:tr>
      <w:tr w14:paraId="1EB465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2" w:hRule="atLeast"/>
          <w:jc w:val="center"/>
        </w:trPr>
        <w:tc>
          <w:tcPr>
            <w:tcW w:w="1013" w:type="dxa"/>
            <w:vAlign w:val="center"/>
          </w:tcPr>
          <w:p w14:paraId="250E11F0">
            <w:pPr>
              <w:pStyle w:val="87"/>
              <w:spacing w:line="360" w:lineRule="auto"/>
              <w:ind w:right="230" w:rightChars="0"/>
              <w:jc w:val="center"/>
              <w:rPr>
                <w:rFonts w:hint="default" w:cs="宋体"/>
                <w:color w:val="auto"/>
                <w:sz w:val="24"/>
                <w:szCs w:val="24"/>
                <w:lang w:val="en-US" w:eastAsia="zh-CN"/>
              </w:rPr>
            </w:pPr>
            <w:r>
              <w:rPr>
                <w:rFonts w:hint="eastAsia" w:cs="宋体"/>
                <w:color w:val="auto"/>
                <w:sz w:val="24"/>
                <w:szCs w:val="24"/>
                <w:lang w:val="en-US" w:eastAsia="zh-CN"/>
              </w:rPr>
              <w:t>17</w:t>
            </w:r>
          </w:p>
        </w:tc>
        <w:tc>
          <w:tcPr>
            <w:tcW w:w="2287" w:type="dxa"/>
            <w:vAlign w:val="center"/>
          </w:tcPr>
          <w:p w14:paraId="54C20BC2">
            <w:pPr>
              <w:spacing w:line="360" w:lineRule="exact"/>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本项目所属行业</w:t>
            </w:r>
          </w:p>
        </w:tc>
        <w:tc>
          <w:tcPr>
            <w:tcW w:w="6206" w:type="dxa"/>
            <w:vAlign w:val="center"/>
          </w:tcPr>
          <w:p w14:paraId="3010F472">
            <w:pPr>
              <w:spacing w:line="3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本项目所属行业：</w:t>
            </w:r>
            <w:r>
              <w:rPr>
                <w:rFonts w:hint="eastAsia" w:ascii="宋体" w:hAnsi="宋体" w:eastAsia="宋体" w:cs="宋体"/>
                <w:b/>
                <w:bCs/>
                <w:color w:val="auto"/>
                <w:kern w:val="0"/>
                <w:sz w:val="24"/>
                <w:szCs w:val="24"/>
                <w:lang w:val="en-US" w:eastAsia="zh-CN" w:bidi="ar-SA"/>
              </w:rPr>
              <w:t xml:space="preserve"> 建筑业 </w:t>
            </w:r>
          </w:p>
          <w:p w14:paraId="20A482E3">
            <w:pPr>
              <w:spacing w:line="3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行业包括：农、林、牧、渔业，工业（包括采矿业，制造业，电力、热力、燃气 及水生产和供应业），建筑业，批发业，零售业，交通运输业（不含铁路运输业）， 仓储业，邮政业，住宿业，餐饮业，信息传输业（包括电信、互联网和相关服务）， 软件和信息技术服务业，房地产开发经营，物业管理，租赁和商务服务业，其他未列明行业（包括科学研究和技术服务业，水利、环境和公共设施管理业，居民 服务、修理和其他服务业，社会工作，文化、体育和娱乐业等）。</w:t>
            </w:r>
          </w:p>
          <w:p w14:paraId="0D387E52">
            <w:pPr>
              <w:keepNext w:val="0"/>
              <w:keepLines w:val="0"/>
              <w:pageBreakBefore w:val="0"/>
              <w:widowControl w:val="0"/>
              <w:kinsoku/>
              <w:wordWrap/>
              <w:overflowPunct/>
              <w:topLinePunct w:val="0"/>
              <w:autoSpaceDE/>
              <w:autoSpaceDN/>
              <w:bidi w:val="0"/>
              <w:adjustRightInd/>
              <w:snapToGrid w:val="0"/>
              <w:spacing w:line="480" w:lineRule="auto"/>
              <w:ind w:firstLine="420" w:firstLineChars="200"/>
              <w:jc w:val="left"/>
              <w:textAlignment w:val="auto"/>
              <w:rPr>
                <w:rFonts w:hint="default"/>
                <w:color w:val="auto"/>
                <w:lang w:val="en-US" w:eastAsia="zh-CN"/>
              </w:rPr>
            </w:pPr>
            <w:r>
              <w:rPr>
                <w:rFonts w:hint="eastAsia"/>
                <w:color w:val="auto"/>
                <w:lang w:val="en-US" w:eastAsia="zh-CN"/>
              </w:rPr>
              <w:t>标的名称：广元市防汛联合值班值守工作用房维修项目</w:t>
            </w:r>
          </w:p>
        </w:tc>
      </w:tr>
      <w:tr w14:paraId="672696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2EF086A">
            <w:pPr>
              <w:pStyle w:val="87"/>
              <w:spacing w:line="360" w:lineRule="auto"/>
              <w:ind w:right="230" w:rightChars="0"/>
              <w:jc w:val="center"/>
              <w:rPr>
                <w:rFonts w:hint="default" w:cs="宋体"/>
                <w:color w:val="auto"/>
                <w:sz w:val="24"/>
                <w:szCs w:val="24"/>
                <w:lang w:val="en-US" w:eastAsia="zh-CN"/>
              </w:rPr>
            </w:pPr>
            <w:r>
              <w:rPr>
                <w:rFonts w:hint="eastAsia" w:cs="宋体"/>
                <w:color w:val="auto"/>
                <w:sz w:val="24"/>
                <w:szCs w:val="24"/>
                <w:lang w:val="en-US" w:eastAsia="zh-CN"/>
              </w:rPr>
              <w:t>18</w:t>
            </w:r>
          </w:p>
        </w:tc>
        <w:tc>
          <w:tcPr>
            <w:tcW w:w="2287" w:type="dxa"/>
            <w:vAlign w:val="center"/>
          </w:tcPr>
          <w:p w14:paraId="4DEA1884">
            <w:pPr>
              <w:spacing w:line="360" w:lineRule="exact"/>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报价说明</w:t>
            </w:r>
          </w:p>
          <w:p w14:paraId="52BC8F7E">
            <w:pPr>
              <w:spacing w:line="360" w:lineRule="exact"/>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（实质性要求）</w:t>
            </w:r>
          </w:p>
        </w:tc>
        <w:tc>
          <w:tcPr>
            <w:tcW w:w="6206" w:type="dxa"/>
            <w:vAlign w:val="center"/>
          </w:tcPr>
          <w:p w14:paraId="14090BB0">
            <w:pPr>
              <w:spacing w:line="3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1.本项目提供招标控制价</w:t>
            </w:r>
            <w:r>
              <w:rPr>
                <w:rFonts w:hint="eastAsia" w:ascii="宋体" w:hAnsi="宋体" w:cs="宋体"/>
                <w:color w:val="auto"/>
                <w:kern w:val="0"/>
                <w:sz w:val="24"/>
                <w:szCs w:val="24"/>
                <w:lang w:val="en-US" w:eastAsia="zh-CN" w:bidi="ar-SA"/>
              </w:rPr>
              <w:t>（概算总价）</w:t>
            </w:r>
            <w:r>
              <w:rPr>
                <w:rFonts w:hint="eastAsia" w:ascii="宋体" w:hAnsi="宋体" w:eastAsia="宋体" w:cs="宋体"/>
                <w:color w:val="auto"/>
                <w:kern w:val="0"/>
                <w:sz w:val="24"/>
                <w:szCs w:val="24"/>
                <w:lang w:val="en-US" w:eastAsia="zh-CN" w:bidi="ar-SA"/>
              </w:rPr>
              <w:t>，投标供应商可不提供组价的投标清单，只须要完全响应招标控制价，并在招标控制价的基础上报下浮后的总价:供应商最后成交总价对应招标控制价下浮的比例进行单价结算，结算价=供应商最后成交总价对应招标控制价下浮的比例进行单价下浮*实际工程量:如供应商提供投标清单只作为参考报价，最终结算按照控制价下浮结算。</w:t>
            </w:r>
            <w:r>
              <w:rPr>
                <w:rFonts w:hint="eastAsia" w:ascii="宋体" w:hAnsi="宋体" w:cs="宋体"/>
                <w:color w:val="auto"/>
                <w:kern w:val="0"/>
                <w:sz w:val="24"/>
                <w:szCs w:val="24"/>
                <w:lang w:val="en-US" w:eastAsia="zh-CN" w:bidi="ar-SA"/>
              </w:rPr>
              <w:t>（提供承诺函，格式自拟）</w:t>
            </w:r>
          </w:p>
          <w:p w14:paraId="10A12E01">
            <w:pPr>
              <w:spacing w:line="3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报价应该是最终用户验收合格后的总价，包括但不限于项目实施、货物运输、技术指导、保险、材料损耗和设备折旧日成本、安装、调试和维护成本、投入项目人员的工资、福利、社保等成本，企业税赋和财务成本</w:t>
            </w:r>
            <w:r>
              <w:rPr>
                <w:rFonts w:hint="eastAsia" w:ascii="宋体" w:hAnsi="宋体" w:cs="宋体"/>
                <w:color w:val="auto"/>
                <w:kern w:val="0"/>
                <w:sz w:val="24"/>
                <w:szCs w:val="24"/>
                <w:lang w:val="en-US" w:eastAsia="zh-CN" w:bidi="ar-SA"/>
              </w:rPr>
              <w:t>等</w:t>
            </w:r>
            <w:r>
              <w:rPr>
                <w:rFonts w:hint="eastAsia" w:ascii="宋体" w:hAnsi="宋体" w:eastAsia="宋体" w:cs="宋体"/>
                <w:color w:val="auto"/>
                <w:kern w:val="0"/>
                <w:sz w:val="24"/>
                <w:szCs w:val="24"/>
                <w:lang w:val="en-US" w:eastAsia="zh-CN" w:bidi="ar-SA"/>
              </w:rPr>
              <w:t>。</w:t>
            </w:r>
          </w:p>
        </w:tc>
      </w:tr>
      <w:tr w14:paraId="00B6F2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jc w:val="center"/>
        </w:trPr>
        <w:tc>
          <w:tcPr>
            <w:tcW w:w="1013" w:type="dxa"/>
            <w:vAlign w:val="center"/>
          </w:tcPr>
          <w:p w14:paraId="01D2CFB4">
            <w:pPr>
              <w:pStyle w:val="87"/>
              <w:spacing w:line="360" w:lineRule="auto"/>
              <w:ind w:right="230" w:rightChars="0"/>
              <w:jc w:val="center"/>
              <w:rPr>
                <w:rFonts w:hint="default" w:cs="宋体"/>
                <w:color w:val="auto"/>
                <w:sz w:val="24"/>
                <w:szCs w:val="24"/>
                <w:lang w:val="en-US" w:eastAsia="zh-CN"/>
              </w:rPr>
            </w:pPr>
            <w:r>
              <w:rPr>
                <w:rFonts w:hint="eastAsia" w:cs="宋体"/>
                <w:color w:val="auto"/>
                <w:sz w:val="24"/>
                <w:szCs w:val="24"/>
                <w:lang w:val="en-US" w:eastAsia="zh-CN"/>
              </w:rPr>
              <w:t>19</w:t>
            </w:r>
          </w:p>
        </w:tc>
        <w:tc>
          <w:tcPr>
            <w:tcW w:w="2287" w:type="dxa"/>
            <w:vAlign w:val="center"/>
          </w:tcPr>
          <w:p w14:paraId="5165E51B">
            <w:pPr>
              <w:spacing w:line="360" w:lineRule="exact"/>
              <w:jc w:val="center"/>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特别说明</w:t>
            </w:r>
          </w:p>
        </w:tc>
        <w:tc>
          <w:tcPr>
            <w:tcW w:w="6206" w:type="dxa"/>
            <w:vAlign w:val="center"/>
          </w:tcPr>
          <w:p w14:paraId="55F709C3">
            <w:pPr>
              <w:spacing w:line="360" w:lineRule="exact"/>
              <w:ind w:firstLine="480" w:firstLineChars="200"/>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本项目参照四川省政府采购相关规定执行。</w:t>
            </w:r>
          </w:p>
        </w:tc>
      </w:tr>
    </w:tbl>
    <w:p w14:paraId="14742499">
      <w:pPr>
        <w:pStyle w:val="60"/>
        <w:rPr>
          <w:rFonts w:hint="eastAsia" w:ascii="宋体" w:hAnsi="宋体" w:eastAsia="宋体" w:cs="宋体"/>
          <w:b/>
          <w:bCs/>
          <w:color w:val="000000" w:themeColor="text1"/>
          <w:sz w:val="24"/>
          <w:szCs w:val="24"/>
          <w14:textFill>
            <w14:solidFill>
              <w14:schemeClr w14:val="tx1"/>
            </w14:solidFill>
          </w14:textFill>
        </w:rPr>
      </w:pPr>
    </w:p>
    <w:p w14:paraId="587406C6">
      <w:pPr>
        <w:pStyle w:val="60"/>
        <w:rPr>
          <w:rFonts w:hint="eastAsia" w:ascii="宋体" w:hAnsi="宋体" w:eastAsia="宋体" w:cs="宋体"/>
          <w:b/>
          <w:bCs/>
          <w:sz w:val="24"/>
          <w:szCs w:val="24"/>
        </w:rPr>
      </w:pPr>
    </w:p>
    <w:p w14:paraId="29DF9581">
      <w:pPr>
        <w:pStyle w:val="60"/>
        <w:rPr>
          <w:rFonts w:hint="eastAsia" w:ascii="宋体" w:hAnsi="宋体" w:eastAsia="宋体" w:cs="宋体"/>
          <w:b/>
          <w:bCs/>
          <w:sz w:val="24"/>
          <w:szCs w:val="24"/>
        </w:rPr>
      </w:pPr>
    </w:p>
    <w:p w14:paraId="227407EA">
      <w:pPr>
        <w:pStyle w:val="5"/>
        <w:keepNext w:val="0"/>
        <w:keepLines w:val="0"/>
        <w:spacing w:before="0" w:after="0" w:line="360" w:lineRule="auto"/>
        <w:jc w:val="center"/>
        <w:rPr>
          <w:rFonts w:hint="eastAsia" w:ascii="宋体" w:hAnsi="宋体" w:eastAsia="宋体" w:cs="宋体"/>
          <w:b/>
          <w:bCs/>
          <w:sz w:val="40"/>
          <w:szCs w:val="40"/>
        </w:rPr>
      </w:pPr>
      <w:r>
        <w:rPr>
          <w:rFonts w:hint="eastAsia" w:ascii="宋体" w:hAnsi="宋体" w:eastAsia="宋体" w:cs="宋体"/>
          <w:b/>
          <w:bCs/>
          <w:sz w:val="40"/>
          <w:szCs w:val="40"/>
        </w:rPr>
        <w:t>二、总则</w:t>
      </w:r>
    </w:p>
    <w:p w14:paraId="4797341B">
      <w:pPr>
        <w:pStyle w:val="6"/>
        <w:keepNext w:val="0"/>
        <w:keepLines w:val="0"/>
        <w:spacing w:before="0" w:after="0" w:line="360" w:lineRule="auto"/>
        <w:ind w:firstLine="482" w:firstLineChars="200"/>
        <w:rPr>
          <w:rFonts w:hint="eastAsia" w:ascii="宋体" w:hAnsi="宋体" w:eastAsia="宋体" w:cs="宋体"/>
          <w:sz w:val="24"/>
          <w:szCs w:val="24"/>
        </w:rPr>
      </w:pPr>
      <w:bookmarkStart w:id="17" w:name="_Toc183682342"/>
      <w:bookmarkStart w:id="18" w:name="_Toc183582205"/>
      <w:bookmarkStart w:id="19" w:name="_Toc217446034"/>
      <w:bookmarkStart w:id="20" w:name="PO_默认文件内容_23"/>
      <w:r>
        <w:rPr>
          <w:rFonts w:hint="eastAsia" w:ascii="宋体" w:hAnsi="宋体" w:eastAsia="宋体" w:cs="宋体"/>
          <w:sz w:val="24"/>
          <w:szCs w:val="24"/>
        </w:rPr>
        <w:t>1.</w:t>
      </w:r>
      <w:bookmarkEnd w:id="17"/>
      <w:bookmarkEnd w:id="18"/>
      <w:r>
        <w:rPr>
          <w:rFonts w:hint="eastAsia" w:ascii="宋体" w:hAnsi="宋体" w:eastAsia="宋体" w:cs="宋体"/>
          <w:sz w:val="24"/>
          <w:szCs w:val="24"/>
        </w:rPr>
        <w:t>适用范围</w:t>
      </w:r>
      <w:bookmarkEnd w:id="19"/>
    </w:p>
    <w:p w14:paraId="3C5224C3">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本谈判文件仅适用于本次谈判采购项目。</w:t>
      </w:r>
    </w:p>
    <w:p w14:paraId="2AC3D32D">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本谈判文件的解释权归采购人和采购代理机构所有。</w:t>
      </w:r>
      <w:bookmarkEnd w:id="20"/>
    </w:p>
    <w:p w14:paraId="5C70EE23">
      <w:pPr>
        <w:pStyle w:val="6"/>
        <w:keepNext w:val="0"/>
        <w:keepLines w:val="0"/>
        <w:spacing w:before="0" w:after="0" w:line="360" w:lineRule="auto"/>
        <w:ind w:firstLine="482" w:firstLineChars="200"/>
        <w:rPr>
          <w:rFonts w:hint="eastAsia" w:ascii="宋体" w:hAnsi="宋体" w:eastAsia="宋体" w:cs="宋体"/>
          <w:sz w:val="24"/>
          <w:szCs w:val="24"/>
        </w:rPr>
      </w:pPr>
      <w:bookmarkStart w:id="21" w:name="_Toc183582206"/>
      <w:bookmarkStart w:id="22" w:name="_Toc183682343"/>
      <w:bookmarkStart w:id="23" w:name="_Toc217446035"/>
      <w:r>
        <w:rPr>
          <w:rFonts w:hint="eastAsia" w:ascii="宋体" w:hAnsi="宋体" w:eastAsia="宋体" w:cs="宋体"/>
          <w:sz w:val="24"/>
          <w:szCs w:val="24"/>
        </w:rPr>
        <w:t>2.</w:t>
      </w:r>
      <w:bookmarkEnd w:id="21"/>
      <w:bookmarkEnd w:id="22"/>
      <w:bookmarkEnd w:id="23"/>
      <w:r>
        <w:rPr>
          <w:rFonts w:hint="eastAsia" w:ascii="宋体" w:hAnsi="宋体" w:eastAsia="宋体" w:cs="宋体"/>
          <w:sz w:val="24"/>
          <w:szCs w:val="24"/>
        </w:rPr>
        <w:t>采购主体</w:t>
      </w:r>
    </w:p>
    <w:p w14:paraId="1ED8B523">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2.1本次谈判的采购人是</w:t>
      </w:r>
      <w:r>
        <w:rPr>
          <w:rFonts w:hint="eastAsia" w:ascii="宋体" w:hAnsi="宋体" w:cs="宋体"/>
          <w:sz w:val="24"/>
          <w:szCs w:val="24"/>
          <w:u w:val="single"/>
          <w:lang w:val="zh-CN"/>
        </w:rPr>
        <w:t xml:space="preserve"> 广元市水利局 </w:t>
      </w:r>
      <w:r>
        <w:rPr>
          <w:rFonts w:hint="eastAsia" w:ascii="宋体" w:hAnsi="宋体" w:eastAsia="宋体" w:cs="宋体"/>
          <w:sz w:val="24"/>
          <w:szCs w:val="24"/>
        </w:rPr>
        <w:t>。</w:t>
      </w:r>
    </w:p>
    <w:p w14:paraId="4952A745">
      <w:pPr>
        <w:tabs>
          <w:tab w:val="left" w:pos="7665"/>
        </w:tabs>
        <w:spacing w:line="360" w:lineRule="auto"/>
        <w:ind w:firstLine="480" w:firstLineChars="200"/>
        <w:rPr>
          <w:rFonts w:hint="eastAsia" w:ascii="宋体" w:hAnsi="宋体" w:eastAsia="宋体" w:cs="宋体"/>
          <w:sz w:val="24"/>
          <w:szCs w:val="24"/>
        </w:rPr>
      </w:pPr>
      <w:bookmarkStart w:id="24" w:name="PO_默认文件内容_24"/>
      <w:r>
        <w:rPr>
          <w:rFonts w:hint="eastAsia" w:ascii="宋体" w:hAnsi="宋体" w:eastAsia="宋体" w:cs="宋体"/>
          <w:sz w:val="24"/>
          <w:szCs w:val="24"/>
        </w:rPr>
        <w:t>2.2本次谈判的采购代理机构是</w:t>
      </w:r>
      <w:r>
        <w:rPr>
          <w:rFonts w:hint="eastAsia" w:ascii="宋体" w:hAnsi="宋体" w:cs="宋体"/>
          <w:sz w:val="24"/>
          <w:szCs w:val="24"/>
          <w:u w:val="single"/>
          <w:lang w:val="zh-CN"/>
        </w:rPr>
        <w:t>四川天宇华辰建设工程有限公司</w:t>
      </w:r>
      <w:r>
        <w:rPr>
          <w:rFonts w:hint="eastAsia" w:ascii="宋体" w:hAnsi="宋体" w:eastAsia="宋体" w:cs="宋体"/>
          <w:sz w:val="24"/>
          <w:szCs w:val="24"/>
          <w:lang w:val="zh-CN"/>
        </w:rPr>
        <w:t xml:space="preserve"> </w:t>
      </w:r>
      <w:r>
        <w:rPr>
          <w:rFonts w:hint="eastAsia" w:ascii="宋体" w:hAnsi="宋体" w:eastAsia="宋体" w:cs="宋体"/>
          <w:sz w:val="24"/>
          <w:szCs w:val="24"/>
        </w:rPr>
        <w:t>。</w:t>
      </w:r>
    </w:p>
    <w:p w14:paraId="7E168011">
      <w:pPr>
        <w:pStyle w:val="6"/>
        <w:keepNext w:val="0"/>
        <w:keepLines w:val="0"/>
        <w:spacing w:before="0" w:after="0" w:line="360" w:lineRule="auto"/>
        <w:ind w:firstLine="482" w:firstLineChars="200"/>
        <w:rPr>
          <w:rFonts w:hint="eastAsia" w:ascii="宋体" w:hAnsi="宋体" w:eastAsia="宋体" w:cs="宋体"/>
          <w:sz w:val="24"/>
          <w:szCs w:val="24"/>
        </w:rPr>
      </w:pPr>
      <w:bookmarkStart w:id="25" w:name="_Toc183682344"/>
      <w:bookmarkStart w:id="26" w:name="_Toc217390843"/>
      <w:bookmarkStart w:id="27" w:name="_Toc183582207"/>
      <w:bookmarkStart w:id="28" w:name="_Toc217446036"/>
      <w:r>
        <w:rPr>
          <w:rFonts w:hint="eastAsia" w:ascii="宋体" w:hAnsi="宋体" w:eastAsia="宋体" w:cs="宋体"/>
          <w:sz w:val="24"/>
          <w:szCs w:val="24"/>
        </w:rPr>
        <w:t>3. 合格</w:t>
      </w:r>
      <w:bookmarkEnd w:id="25"/>
      <w:bookmarkEnd w:id="26"/>
      <w:bookmarkEnd w:id="27"/>
      <w:bookmarkEnd w:id="28"/>
      <w:r>
        <w:rPr>
          <w:rFonts w:hint="eastAsia" w:ascii="宋体" w:hAnsi="宋体" w:eastAsia="宋体" w:cs="宋体"/>
          <w:sz w:val="24"/>
          <w:szCs w:val="24"/>
        </w:rPr>
        <w:t>供应商</w:t>
      </w:r>
      <w:r>
        <w:rPr>
          <w:rFonts w:hint="eastAsia" w:ascii="宋体" w:hAnsi="宋体" w:eastAsia="宋体" w:cs="宋体"/>
          <w:kern w:val="0"/>
          <w:sz w:val="24"/>
          <w:szCs w:val="24"/>
        </w:rPr>
        <w:t>（实质性要求）</w:t>
      </w:r>
    </w:p>
    <w:p w14:paraId="79A73B21">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合格供应商应具备以下条件：</w:t>
      </w:r>
    </w:p>
    <w:p w14:paraId="0595CAB2">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具备法律法规和本采购文件规定的资格条件；</w:t>
      </w:r>
    </w:p>
    <w:p w14:paraId="41705EB9">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不属于禁止参加本项目采购活动的供应商。</w:t>
      </w:r>
    </w:p>
    <w:p w14:paraId="1B3EE813">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按照规定获取了谈判文件，属于实质性参加政府采购活动的供应商。</w:t>
      </w:r>
    </w:p>
    <w:p w14:paraId="79B7BD6F">
      <w:pPr>
        <w:pStyle w:val="6"/>
        <w:keepNext w:val="0"/>
        <w:keepLines w:val="0"/>
        <w:spacing w:before="0" w:after="0" w:line="360" w:lineRule="auto"/>
        <w:ind w:firstLine="482" w:firstLineChars="200"/>
        <w:rPr>
          <w:rFonts w:hint="eastAsia" w:ascii="宋体" w:hAnsi="宋体" w:eastAsia="宋体" w:cs="宋体"/>
          <w:sz w:val="24"/>
          <w:szCs w:val="24"/>
        </w:rPr>
      </w:pPr>
      <w:bookmarkStart w:id="29" w:name="_Toc217446037"/>
      <w:bookmarkStart w:id="30" w:name="_Toc183582208"/>
      <w:bookmarkStart w:id="31" w:name="_Toc183682345"/>
      <w:r>
        <w:rPr>
          <w:rFonts w:hint="eastAsia" w:ascii="宋体" w:hAnsi="宋体" w:eastAsia="宋体" w:cs="宋体"/>
          <w:sz w:val="24"/>
          <w:szCs w:val="24"/>
        </w:rPr>
        <w:t>4. 谈判费用</w:t>
      </w:r>
      <w:bookmarkEnd w:id="29"/>
      <w:bookmarkEnd w:id="30"/>
      <w:bookmarkEnd w:id="31"/>
      <w:r>
        <w:rPr>
          <w:rFonts w:hint="eastAsia" w:ascii="宋体" w:hAnsi="宋体" w:eastAsia="宋体" w:cs="宋体"/>
          <w:kern w:val="0"/>
          <w:sz w:val="24"/>
          <w:szCs w:val="24"/>
        </w:rPr>
        <w:t>（实质性要求）</w:t>
      </w:r>
    </w:p>
    <w:p w14:paraId="79FED990">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供应商应自行承担参加谈判活动的全部费用。</w:t>
      </w:r>
    </w:p>
    <w:p w14:paraId="41A1685E">
      <w:pPr>
        <w:pStyle w:val="86"/>
        <w:spacing w:line="360" w:lineRule="auto"/>
        <w:ind w:left="1" w:firstLine="482" w:firstLineChars="200"/>
        <w:rPr>
          <w:rFonts w:hint="eastAsia" w:ascii="宋体" w:hAnsi="宋体" w:eastAsia="宋体" w:cs="宋体"/>
          <w:b/>
          <w:bCs/>
          <w:sz w:val="24"/>
          <w:szCs w:val="24"/>
        </w:rPr>
      </w:pPr>
      <w:r>
        <w:rPr>
          <w:rFonts w:hint="eastAsia" w:ascii="宋体" w:hAnsi="宋体" w:eastAsia="宋体" w:cs="宋体"/>
          <w:b/>
          <w:bCs/>
          <w:sz w:val="24"/>
          <w:szCs w:val="24"/>
        </w:rPr>
        <w:t>5.充分、公平竞争保障措施（实质性要求）</w:t>
      </w:r>
    </w:p>
    <w:p w14:paraId="6E428409">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11CAC2CE">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323E8C72">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2ABB1A9B">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5.4供应商实际控制人或者中高级管理人员，同时是采购代理机构工作人员，不得参与本项目政府采购活动。</w:t>
      </w:r>
    </w:p>
    <w:p w14:paraId="4EDAD4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5.5同一母公司的两家以上的子公司只能组成联合体参加本项目同一合同项下的采购活动，不得以不同供应商身份同时参加本项目同一合同项下的采购活动。</w:t>
      </w:r>
    </w:p>
    <w:p w14:paraId="2BDB67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5.6供应商与采购代理机构存在关联关系，或者是采购代理机构的母公司或子公司，不得参加本项目政府采购活动。</w:t>
      </w:r>
    </w:p>
    <w:p w14:paraId="5CF7B53D">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5.7回避。政府采购活动中，采购人员及相关人员与供应商有下列利害关系之一的，应当回避：</w:t>
      </w:r>
    </w:p>
    <w:p w14:paraId="5EA2B24B">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14:paraId="17A0E298">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14:paraId="7805BB0D">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14:paraId="5274D831">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14:paraId="6E0DC0E6">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（5）与供应商有其他可能影响政府采购活动公平、公正进行的关系。</w:t>
      </w:r>
    </w:p>
    <w:p w14:paraId="5E89DA98">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14:paraId="072FE13F">
      <w:pPr>
        <w:pStyle w:val="86"/>
        <w:spacing w:line="36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4D57623A">
      <w:pPr>
        <w:pStyle w:val="86"/>
        <w:spacing w:line="360" w:lineRule="auto"/>
        <w:ind w:left="1" w:firstLine="482" w:firstLineChars="200"/>
        <w:rPr>
          <w:rFonts w:hint="eastAsia" w:ascii="宋体" w:hAnsi="宋体" w:eastAsia="宋体" w:cs="宋体"/>
          <w:b/>
          <w:bCs/>
          <w:sz w:val="24"/>
          <w:szCs w:val="24"/>
        </w:rPr>
      </w:pPr>
      <w:r>
        <w:rPr>
          <w:rFonts w:hint="eastAsia" w:ascii="宋体" w:hAnsi="宋体" w:eastAsia="宋体" w:cs="宋体"/>
          <w:b/>
          <w:bCs/>
          <w:sz w:val="24"/>
          <w:szCs w:val="24"/>
        </w:rPr>
        <w:t>6.联合体竞争性谈判（仅适用于允许联合体参与的项目）</w:t>
      </w:r>
    </w:p>
    <w:p w14:paraId="6E6EEFC4">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本项目不接受联合体谈判。</w:t>
      </w:r>
    </w:p>
    <w:p w14:paraId="04664483">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7.响应文件有效期</w:t>
      </w:r>
    </w:p>
    <w:p w14:paraId="5724DB9B">
      <w:pPr>
        <w:spacing w:line="360" w:lineRule="auto"/>
        <w:ind w:firstLine="480" w:firstLineChars="200"/>
        <w:rPr>
          <w:ins w:id="0" w:author="ts" w:date="2018-03-14T16:38:00Z"/>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本项目响应文件有效期为递交谈判响应文件截止之日起</w:t>
      </w:r>
      <w:r>
        <w:rPr>
          <w:rFonts w:hint="eastAsia" w:ascii="宋体" w:hAnsi="宋体" w:eastAsia="宋体" w:cs="宋体"/>
          <w:kern w:val="0"/>
          <w:sz w:val="24"/>
          <w:szCs w:val="24"/>
          <w:u w:val="single"/>
          <w:lang w:val="en-US" w:eastAsia="zh-CN" w:bidi="ar-SA"/>
        </w:rPr>
        <w:t>90</w:t>
      </w:r>
      <w:r>
        <w:rPr>
          <w:rFonts w:hint="eastAsia" w:ascii="宋体" w:hAnsi="宋体" w:eastAsia="宋体" w:cs="宋体"/>
          <w:kern w:val="0"/>
          <w:sz w:val="24"/>
          <w:szCs w:val="24"/>
          <w:lang w:val="en-US" w:eastAsia="zh-CN" w:bidi="ar-SA"/>
        </w:rPr>
        <w:t>天。供应商响应文件中必须载明响应文件有效期，响应文件中载明的响应文件有效期可以长于谈判文件规定的期限，但不得短于谈判文件规定的期限。否则，其响应文件将作为无效处理。</w:t>
      </w:r>
    </w:p>
    <w:p w14:paraId="5925E6DB">
      <w:pPr>
        <w:pStyle w:val="19"/>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8.知识产权（实质性要求）</w:t>
      </w:r>
    </w:p>
    <w:p w14:paraId="126752C3">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29180443">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8.2 除非谈判文件特别规定，采购人享有本项目实施过程中产生的知识成果及知识产权。</w:t>
      </w:r>
    </w:p>
    <w:p w14:paraId="1F97E126">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1AD4A6A">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 如采用供应商所不拥有的知识产权，则在报价中必须包括合法获取使用该知识产权的相关费用。</w:t>
      </w:r>
      <w:bookmarkEnd w:id="24"/>
    </w:p>
    <w:p w14:paraId="45746D8E">
      <w:pPr>
        <w:pStyle w:val="5"/>
        <w:keepNext w:val="0"/>
        <w:keepLines w:val="0"/>
        <w:spacing w:before="0" w:after="0" w:line="360" w:lineRule="auto"/>
        <w:jc w:val="center"/>
        <w:rPr>
          <w:rFonts w:hint="eastAsia" w:ascii="宋体" w:hAnsi="宋体" w:eastAsia="宋体" w:cs="宋体"/>
          <w:sz w:val="24"/>
          <w:szCs w:val="24"/>
        </w:rPr>
      </w:pPr>
      <w:bookmarkStart w:id="32" w:name="_Toc217446038"/>
      <w:bookmarkStart w:id="33" w:name="_Toc183582209"/>
      <w:bookmarkStart w:id="34" w:name="_Toc89075875"/>
      <w:bookmarkStart w:id="35" w:name="_Toc77400779"/>
      <w:bookmarkStart w:id="36" w:name="_Toc183682346"/>
    </w:p>
    <w:p w14:paraId="41002D00">
      <w:pPr>
        <w:pStyle w:val="5"/>
        <w:keepNext w:val="0"/>
        <w:keepLines w:val="0"/>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三、谈判文件</w:t>
      </w:r>
      <w:bookmarkEnd w:id="32"/>
      <w:bookmarkEnd w:id="33"/>
      <w:bookmarkEnd w:id="34"/>
      <w:bookmarkEnd w:id="35"/>
      <w:bookmarkEnd w:id="36"/>
    </w:p>
    <w:p w14:paraId="67DBFDE9">
      <w:pPr>
        <w:spacing w:line="360" w:lineRule="auto"/>
        <w:ind w:firstLine="463" w:firstLineChars="192"/>
        <w:rPr>
          <w:rFonts w:hint="eastAsia" w:ascii="宋体" w:hAnsi="宋体" w:eastAsia="宋体" w:cs="宋体"/>
          <w:b/>
          <w:bCs/>
          <w:sz w:val="24"/>
          <w:szCs w:val="24"/>
          <w:lang w:eastAsia="zh-CN"/>
        </w:rPr>
      </w:pPr>
      <w:bookmarkStart w:id="37" w:name="_Toc183682347"/>
      <w:bookmarkStart w:id="38" w:name="_Toc217446039"/>
      <w:bookmarkStart w:id="39" w:name="_Toc183582210"/>
      <w:r>
        <w:rPr>
          <w:rFonts w:hint="eastAsia" w:ascii="宋体" w:hAnsi="宋体" w:eastAsia="宋体" w:cs="宋体"/>
          <w:b/>
          <w:bCs/>
          <w:sz w:val="24"/>
          <w:szCs w:val="24"/>
        </w:rPr>
        <w:t>9.资格预审文件的构成</w:t>
      </w:r>
      <w:r>
        <w:rPr>
          <w:rFonts w:hint="eastAsia" w:ascii="宋体" w:hAnsi="宋体" w:cs="宋体"/>
          <w:b/>
          <w:bCs/>
          <w:sz w:val="24"/>
          <w:szCs w:val="24"/>
          <w:lang w:eastAsia="zh-CN"/>
        </w:rPr>
        <w:t>（本项目不涉及）</w:t>
      </w:r>
    </w:p>
    <w:p w14:paraId="00CA0BE3">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资格预审文件根据采购项目的特点和采购需求编制。资格预审文件应当包括以下主要内容：</w:t>
      </w:r>
    </w:p>
    <w:p w14:paraId="02B11687">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（一）资格预审邀请；</w:t>
      </w:r>
    </w:p>
    <w:p w14:paraId="5CE6FECC">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（二）申请人须知；</w:t>
      </w:r>
    </w:p>
    <w:p w14:paraId="69C8C14C">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（三）申请人的资格要求；</w:t>
      </w:r>
    </w:p>
    <w:p w14:paraId="7BE608E7">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（四）资格审核标准和方法；</w:t>
      </w:r>
    </w:p>
    <w:p w14:paraId="2507A79E">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（五）申请人应当提供的资格预审申请文件的内容和格式；</w:t>
      </w:r>
    </w:p>
    <w:p w14:paraId="3CEC1FD4">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（六）提交资格预审申请文件的方式、截止时间、地点及资格审核日期；</w:t>
      </w:r>
    </w:p>
    <w:p w14:paraId="42C1341C">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（七）申请人信用信息查询渠道及截止时点、信用信息查询记录和证据留存的具体方式、信用信息的使用规则等内容；</w:t>
      </w:r>
    </w:p>
    <w:p w14:paraId="5D7A0B08">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（八）省级以上财政部门规定的其他事项。</w:t>
      </w:r>
    </w:p>
    <w:p w14:paraId="1B3CBC85">
      <w:pPr>
        <w:pStyle w:val="6"/>
        <w:keepNext w:val="0"/>
        <w:keepLines w:val="0"/>
        <w:spacing w:before="0" w:after="0" w:line="360" w:lineRule="auto"/>
        <w:ind w:firstLine="482" w:firstLineChars="200"/>
        <w:rPr>
          <w:rFonts w:hint="eastAsia" w:ascii="宋体" w:hAnsi="宋体" w:eastAsia="宋体" w:cs="宋体"/>
          <w:sz w:val="24"/>
          <w:szCs w:val="24"/>
        </w:rPr>
      </w:pPr>
      <w:bookmarkStart w:id="40" w:name="PO_默认文件内容_25"/>
      <w:r>
        <w:rPr>
          <w:rFonts w:hint="eastAsia" w:ascii="宋体" w:hAnsi="宋体" w:eastAsia="宋体" w:cs="宋体"/>
          <w:sz w:val="24"/>
          <w:szCs w:val="24"/>
        </w:rPr>
        <w:t>10．谈判文件的构成</w:t>
      </w:r>
      <w:bookmarkEnd w:id="37"/>
      <w:bookmarkEnd w:id="38"/>
      <w:bookmarkEnd w:id="39"/>
      <w:r>
        <w:rPr>
          <w:rFonts w:hint="eastAsia" w:ascii="宋体" w:hAnsi="宋体" w:eastAsia="宋体" w:cs="宋体"/>
          <w:sz w:val="24"/>
          <w:szCs w:val="24"/>
        </w:rPr>
        <w:t>（实质性要求）</w:t>
      </w:r>
    </w:p>
    <w:p w14:paraId="33F47F07">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10.1 谈判文件是供应商准备响应文件和参加谈判的依据，同时也是谈判的重要依据。谈判文件用以阐明谈判项目所需的资质、技术、服务及报价等要求、谈判程序、有关规定和注意事项以及合同主要条款等。</w:t>
      </w:r>
    </w:p>
    <w:p w14:paraId="18B2001D">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68A0C897">
      <w:pPr>
        <w:pStyle w:val="6"/>
        <w:keepNext w:val="0"/>
        <w:keepLines w:val="0"/>
        <w:spacing w:before="0" w:after="0" w:line="360" w:lineRule="auto"/>
        <w:ind w:firstLine="482" w:firstLineChars="200"/>
        <w:rPr>
          <w:rFonts w:hint="eastAsia" w:ascii="宋体" w:hAnsi="宋体" w:eastAsia="宋体" w:cs="宋体"/>
          <w:sz w:val="24"/>
          <w:szCs w:val="24"/>
        </w:rPr>
      </w:pPr>
      <w:bookmarkStart w:id="41" w:name="_Toc183682348"/>
      <w:bookmarkStart w:id="42" w:name="_Toc183582211"/>
      <w:bookmarkStart w:id="43" w:name="_Toc217446040"/>
      <w:r>
        <w:rPr>
          <w:rFonts w:hint="eastAsia" w:ascii="宋体" w:hAnsi="宋体" w:eastAsia="宋体" w:cs="宋体"/>
          <w:sz w:val="24"/>
          <w:szCs w:val="24"/>
        </w:rPr>
        <w:t>11. 谈判文件的澄清</w:t>
      </w:r>
      <w:bookmarkEnd w:id="41"/>
      <w:bookmarkEnd w:id="42"/>
      <w:r>
        <w:rPr>
          <w:rFonts w:hint="eastAsia" w:ascii="宋体" w:hAnsi="宋体" w:eastAsia="宋体" w:cs="宋体"/>
          <w:sz w:val="24"/>
          <w:szCs w:val="24"/>
        </w:rPr>
        <w:t>和修改</w:t>
      </w:r>
      <w:bookmarkEnd w:id="43"/>
    </w:p>
    <w:p w14:paraId="4D53F585">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11.1 在递交响应文件截止时间前，采购人、采购代理机构可以对谈判文件进行澄清或者修改。</w:t>
      </w:r>
    </w:p>
    <w:p w14:paraId="18B64BC4">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11.2 采购代理机构对已发出的谈判文件进行澄清或者修改，应当以书面形式将澄清或者修改的内容通知所有按照规定获得了谈判文件的供应商，同时在</w:t>
      </w:r>
      <w:r>
        <w:rPr>
          <w:rFonts w:hint="eastAsia" w:ascii="宋体" w:hAnsi="宋体" w:cs="宋体"/>
          <w:kern w:val="0"/>
          <w:sz w:val="24"/>
          <w:szCs w:val="24"/>
          <w:lang w:val="en-US" w:eastAsia="zh-CN" w:bidi="ar-SA"/>
        </w:rPr>
        <w:t>中国</w:t>
      </w:r>
      <w:r>
        <w:rPr>
          <w:rFonts w:hint="eastAsia" w:ascii="宋体" w:hAnsi="宋体" w:eastAsia="宋体" w:cs="宋体"/>
          <w:kern w:val="0"/>
          <w:sz w:val="24"/>
          <w:szCs w:val="24"/>
          <w:lang w:val="en-US" w:eastAsia="zh-CN" w:bidi="ar-SA"/>
        </w:rPr>
        <w:t>政府采购网上发布更正公告。该澄清或者修改的内容为谈判文件的组成部分，澄清或者修改的内容可能影响响应文件编制的，采购人或者采购代理机构发布公告并书面通知供应商的时间，应当在首次提交响应文件截止之日起5日前；不足上述时间的，应当顺延递交响应文件的截止时间。</w:t>
      </w:r>
    </w:p>
    <w:p w14:paraId="14B18A67">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11.3 供应商应于递交响应文件截止前，在</w:t>
      </w:r>
      <w:r>
        <w:rPr>
          <w:rFonts w:hint="eastAsia" w:ascii="宋体" w:hAnsi="宋体" w:cs="宋体"/>
          <w:kern w:val="0"/>
          <w:sz w:val="24"/>
          <w:szCs w:val="24"/>
          <w:lang w:val="en-US" w:eastAsia="zh-CN" w:bidi="ar-SA"/>
        </w:rPr>
        <w:t>中国</w:t>
      </w:r>
      <w:r>
        <w:rPr>
          <w:rFonts w:hint="eastAsia" w:ascii="宋体" w:hAnsi="宋体" w:eastAsia="宋体" w:cs="宋体"/>
          <w:kern w:val="0"/>
          <w:sz w:val="24"/>
          <w:szCs w:val="24"/>
          <w:lang w:val="en-US" w:eastAsia="zh-CN" w:bidi="ar-SA"/>
        </w:rPr>
        <w:t>政府采购网查询本项目的更正公告，以保证其对谈判文件做出正确的响应。供应商未按要求下载相关文件，或由于未及时关注更正公告的信息造成的后果，其责任由供应商自行负责。</w:t>
      </w:r>
    </w:p>
    <w:p w14:paraId="14AD2502">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530E84A1">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11.4供应商认为需要对谈判文件进行澄清或者修改的，可以以书面形式向采购人或采购代理机构提出申请，由采购人或采购代理机构决定是否采纳供应商的申请事项。</w:t>
      </w:r>
    </w:p>
    <w:p w14:paraId="2C29488B">
      <w:pPr>
        <w:spacing w:line="360" w:lineRule="auto"/>
        <w:ind w:firstLine="480" w:firstLineChars="200"/>
        <w:rPr>
          <w:rFonts w:hint="eastAsia" w:ascii="宋体" w:hAnsi="宋体" w:eastAsia="宋体" w:cs="宋体"/>
          <w:kern w:val="0"/>
          <w:sz w:val="24"/>
          <w:szCs w:val="24"/>
          <w:lang w:val="en-US" w:eastAsia="zh-CN" w:bidi="ar-SA"/>
        </w:rPr>
      </w:pPr>
      <w:bookmarkStart w:id="44" w:name="_Toc208848971"/>
      <w:bookmarkStart w:id="45" w:name="_Toc217446041"/>
      <w:r>
        <w:rPr>
          <w:rFonts w:hint="eastAsia" w:ascii="宋体" w:hAnsi="宋体" w:eastAsia="宋体" w:cs="宋体"/>
          <w:kern w:val="0"/>
          <w:sz w:val="24"/>
          <w:szCs w:val="24"/>
          <w:lang w:val="en-US" w:eastAsia="zh-CN" w:bidi="ar-SA"/>
        </w:rPr>
        <w:t>12. 答疑会和现场考察</w:t>
      </w:r>
      <w:bookmarkEnd w:id="44"/>
      <w:bookmarkEnd w:id="45"/>
    </w:p>
    <w:bookmarkEnd w:id="40"/>
    <w:p w14:paraId="09F7DFC5">
      <w:pPr>
        <w:spacing w:line="360" w:lineRule="auto"/>
        <w:ind w:firstLine="480" w:firstLineChars="200"/>
        <w:rPr>
          <w:rFonts w:hint="eastAsia" w:ascii="宋体" w:hAnsi="宋体" w:eastAsia="宋体" w:cs="宋体"/>
          <w:kern w:val="0"/>
          <w:sz w:val="24"/>
          <w:szCs w:val="24"/>
          <w:lang w:val="en-US" w:eastAsia="zh-CN" w:bidi="ar-SA"/>
        </w:rPr>
      </w:pPr>
      <w:bookmarkStart w:id="46" w:name="_Toc89075876"/>
      <w:bookmarkStart w:id="47" w:name="_Toc217446042"/>
      <w:bookmarkStart w:id="48" w:name="_Toc77400780"/>
      <w:bookmarkStart w:id="49" w:name="_Toc183582214"/>
      <w:bookmarkStart w:id="50" w:name="_Toc183682351"/>
      <w:r>
        <w:rPr>
          <w:rFonts w:hint="eastAsia" w:ascii="宋体" w:hAnsi="宋体" w:eastAsia="宋体" w:cs="宋体"/>
          <w:kern w:val="0"/>
          <w:sz w:val="24"/>
          <w:szCs w:val="24"/>
          <w:lang w:val="en-US" w:eastAsia="zh-CN" w:bidi="ar-SA"/>
        </w:rPr>
        <w:t>根据采购项目和具体情况，采购人、采购代理机构认为供应商在获取谈判文件后响应文件提交截止前有必要进行现场考查以便获取准确的现场数据，采购人不举行统一的答疑会与现场考察。</w:t>
      </w:r>
    </w:p>
    <w:p w14:paraId="47E45CAE">
      <w:pPr>
        <w:spacing w:line="400" w:lineRule="exact"/>
        <w:ind w:left="2" w:leftChars="1" w:firstLine="480" w:firstLineChars="200"/>
        <w:rPr>
          <w:rFonts w:hint="eastAsia" w:ascii="宋体" w:hAnsi="宋体" w:eastAsia="宋体" w:cs="宋体"/>
          <w:sz w:val="24"/>
          <w:szCs w:val="24"/>
        </w:rPr>
      </w:pPr>
    </w:p>
    <w:p w14:paraId="349DAF9E">
      <w:pPr>
        <w:pStyle w:val="5"/>
        <w:keepNext w:val="0"/>
        <w:keepLines w:val="0"/>
        <w:spacing w:before="0" w:after="0" w:line="360" w:lineRule="auto"/>
        <w:jc w:val="center"/>
        <w:rPr>
          <w:rFonts w:hint="eastAsia" w:ascii="宋体" w:hAnsi="宋体" w:eastAsia="宋体" w:cs="宋体"/>
          <w:sz w:val="24"/>
          <w:szCs w:val="24"/>
        </w:rPr>
      </w:pPr>
      <w:bookmarkStart w:id="51" w:name="PO_默认文件内容_26"/>
      <w:r>
        <w:rPr>
          <w:rFonts w:hint="eastAsia" w:ascii="宋体" w:hAnsi="宋体" w:eastAsia="宋体" w:cs="宋体"/>
          <w:sz w:val="24"/>
          <w:szCs w:val="24"/>
        </w:rPr>
        <w:t>四、响应文件</w:t>
      </w:r>
      <w:bookmarkEnd w:id="46"/>
      <w:bookmarkEnd w:id="47"/>
      <w:bookmarkEnd w:id="48"/>
      <w:bookmarkEnd w:id="49"/>
      <w:bookmarkEnd w:id="50"/>
    </w:p>
    <w:p w14:paraId="2D9A6C7A">
      <w:pPr>
        <w:spacing w:line="400" w:lineRule="exact"/>
        <w:ind w:firstLine="482" w:firstLineChars="200"/>
        <w:outlineLvl w:val="2"/>
        <w:rPr>
          <w:rFonts w:hint="eastAsia" w:ascii="宋体" w:hAnsi="宋体" w:eastAsia="宋体" w:cs="宋体"/>
          <w:b/>
          <w:bCs/>
          <w:sz w:val="24"/>
          <w:szCs w:val="24"/>
        </w:rPr>
      </w:pPr>
      <w:bookmarkStart w:id="52" w:name="_Toc183682352"/>
      <w:bookmarkStart w:id="53" w:name="_Toc183582215"/>
      <w:bookmarkStart w:id="54" w:name="_Toc217446043"/>
      <w:r>
        <w:rPr>
          <w:rFonts w:hint="eastAsia" w:ascii="宋体" w:hAnsi="宋体" w:eastAsia="宋体" w:cs="宋体"/>
          <w:b/>
          <w:bCs/>
          <w:sz w:val="24"/>
          <w:szCs w:val="24"/>
        </w:rPr>
        <w:t>13.响应文件的组成</w:t>
      </w:r>
    </w:p>
    <w:p w14:paraId="5E19925A">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13.1供应商应按照谈判文件的规定要求编制施工响应文件。供应商在成交后将成交项目的非主体、非关键性工作分包他人完成的，应当在响应文件中载明或谈判过程中澄清。</w:t>
      </w:r>
    </w:p>
    <w:p w14:paraId="63DB32C6">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13.2供应商编写的响应文件应包括施工响应文件，根据谈判文件的规定要求提供。</w:t>
      </w:r>
    </w:p>
    <w:p w14:paraId="01D0B787">
      <w:pPr>
        <w:pStyle w:val="6"/>
        <w:keepNext w:val="0"/>
        <w:keepLines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14.响应文件的语言</w:t>
      </w:r>
      <w:bookmarkEnd w:id="52"/>
      <w:bookmarkEnd w:id="53"/>
      <w:bookmarkEnd w:id="54"/>
      <w:r>
        <w:rPr>
          <w:rFonts w:hint="eastAsia" w:ascii="宋体" w:hAnsi="宋体" w:eastAsia="宋体" w:cs="宋体"/>
          <w:sz w:val="24"/>
          <w:szCs w:val="24"/>
        </w:rPr>
        <w:t>（实质性要求）</w:t>
      </w:r>
    </w:p>
    <w:p w14:paraId="62C92D3C">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14.1供应商提交的响应文件以及供应商与采购组织单位就有关谈判采购的所有来往书面文件均须使用中文。响应文件中如附有外文资料，主要部分要对应翻译成中文并加盖供应商公章后附在相关外文资料后面。</w:t>
      </w:r>
    </w:p>
    <w:p w14:paraId="5ED8A3C3">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14.2 翻译的中文资料与外文资料如果出现差异和矛盾时，以中文为准。涉嫌提供虚假材料的按照相关法律法规处理。</w:t>
      </w:r>
    </w:p>
    <w:p w14:paraId="1FB1AC94">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14.3 如因未翻译而造成对供应商的不利后果，由供应商承担。</w:t>
      </w:r>
    </w:p>
    <w:p w14:paraId="25CB5ED2">
      <w:pPr>
        <w:pStyle w:val="6"/>
        <w:keepNext w:val="0"/>
        <w:keepLines w:val="0"/>
        <w:spacing w:before="0" w:after="0" w:line="360" w:lineRule="auto"/>
        <w:ind w:firstLine="482" w:firstLineChars="200"/>
        <w:rPr>
          <w:rFonts w:hint="eastAsia" w:ascii="宋体" w:hAnsi="宋体" w:eastAsia="宋体" w:cs="宋体"/>
          <w:sz w:val="24"/>
          <w:szCs w:val="24"/>
        </w:rPr>
      </w:pPr>
      <w:bookmarkStart w:id="55" w:name="_Toc183582216"/>
      <w:bookmarkStart w:id="56" w:name="_Toc183682353"/>
      <w:bookmarkStart w:id="57" w:name="_Toc217446044"/>
      <w:r>
        <w:rPr>
          <w:rFonts w:hint="eastAsia" w:ascii="宋体" w:hAnsi="宋体" w:eastAsia="宋体" w:cs="宋体"/>
          <w:sz w:val="24"/>
          <w:szCs w:val="24"/>
        </w:rPr>
        <w:t>15．计量单位</w:t>
      </w:r>
      <w:bookmarkEnd w:id="55"/>
      <w:bookmarkEnd w:id="56"/>
      <w:bookmarkEnd w:id="57"/>
      <w:r>
        <w:rPr>
          <w:rFonts w:hint="eastAsia" w:ascii="宋体" w:hAnsi="宋体" w:eastAsia="宋体" w:cs="宋体"/>
          <w:sz w:val="24"/>
          <w:szCs w:val="24"/>
        </w:rPr>
        <w:t>（实质性要求）</w:t>
      </w:r>
    </w:p>
    <w:p w14:paraId="6FF340E2">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除谈判文件中另有规定外，本次采购项目所有合同项下的报价均采用国家法定的计量单位。</w:t>
      </w:r>
    </w:p>
    <w:p w14:paraId="11AAFD35">
      <w:pPr>
        <w:spacing w:line="360" w:lineRule="auto"/>
        <w:ind w:firstLine="470" w:firstLineChars="195"/>
        <w:rPr>
          <w:rFonts w:hint="default" w:ascii="宋体" w:hAnsi="宋体" w:eastAsia="宋体" w:cs="宋体"/>
          <w:b/>
          <w:bCs/>
          <w:sz w:val="24"/>
          <w:szCs w:val="24"/>
          <w:lang w:val="en-US" w:eastAsia="zh-CN"/>
        </w:rPr>
      </w:pPr>
      <w:bookmarkStart w:id="58" w:name="_Toc217446045"/>
      <w:r>
        <w:rPr>
          <w:rFonts w:hint="eastAsia" w:ascii="宋体" w:hAnsi="宋体" w:eastAsia="宋体" w:cs="宋体"/>
          <w:b/>
          <w:bCs/>
          <w:sz w:val="24"/>
          <w:szCs w:val="24"/>
        </w:rPr>
        <w:t>16. 报价（实质性要求）</w:t>
      </w:r>
      <w:r>
        <w:rPr>
          <w:rFonts w:hint="eastAsia" w:ascii="宋体" w:hAnsi="宋体" w:eastAsia="宋体" w:cs="宋体"/>
          <w:b/>
          <w:bCs/>
          <w:sz w:val="24"/>
          <w:szCs w:val="24"/>
          <w:lang w:val="en-US" w:eastAsia="zh-CN"/>
        </w:rPr>
        <w:t>---详“</w:t>
      </w:r>
      <w:r>
        <w:rPr>
          <w:rFonts w:hint="eastAsia" w:ascii="宋体" w:hAnsi="宋体" w:eastAsia="宋体" w:cs="宋体"/>
          <w:b/>
          <w:bCs/>
          <w:sz w:val="24"/>
          <w:szCs w:val="24"/>
        </w:rPr>
        <w:t>供应商须知附表</w:t>
      </w:r>
      <w:r>
        <w:rPr>
          <w:rFonts w:hint="eastAsia" w:ascii="宋体" w:hAnsi="宋体" w:eastAsia="宋体" w:cs="宋体"/>
          <w:b/>
          <w:bCs/>
          <w:sz w:val="24"/>
          <w:szCs w:val="24"/>
          <w:lang w:val="en-US" w:eastAsia="zh-CN"/>
        </w:rPr>
        <w:t>”，以“</w:t>
      </w:r>
      <w:r>
        <w:rPr>
          <w:rFonts w:hint="eastAsia" w:ascii="宋体" w:hAnsi="宋体" w:eastAsia="宋体" w:cs="宋体"/>
          <w:b/>
          <w:bCs/>
          <w:sz w:val="24"/>
          <w:szCs w:val="24"/>
        </w:rPr>
        <w:t>供应商须知附表</w:t>
      </w:r>
      <w:r>
        <w:rPr>
          <w:rFonts w:hint="eastAsia" w:ascii="宋体" w:hAnsi="宋体" w:eastAsia="宋体" w:cs="宋体"/>
          <w:b/>
          <w:bCs/>
          <w:sz w:val="24"/>
          <w:szCs w:val="24"/>
          <w:lang w:val="en-US" w:eastAsia="zh-CN"/>
        </w:rPr>
        <w:t>”为准</w:t>
      </w:r>
    </w:p>
    <w:p w14:paraId="71C0E773">
      <w:pPr>
        <w:pStyle w:val="97"/>
        <w:numPr>
          <w:ilvl w:val="0"/>
          <w:numId w:val="2"/>
        </w:numPr>
        <w:spacing w:line="360" w:lineRule="auto"/>
        <w:ind w:left="0" w:firstLine="426" w:firstLineChars="0"/>
        <w:rPr>
          <w:rFonts w:hint="eastAsia" w:ascii="宋体" w:hAnsi="宋体" w:eastAsia="宋体" w:cs="宋体"/>
          <w:sz w:val="24"/>
          <w:szCs w:val="24"/>
        </w:rPr>
      </w:pPr>
      <w:r>
        <w:rPr>
          <w:rFonts w:hint="eastAsia" w:ascii="宋体" w:hAnsi="宋体" w:eastAsia="宋体" w:cs="宋体"/>
          <w:sz w:val="24"/>
          <w:szCs w:val="24"/>
          <w:highlight w:val="none"/>
        </w:rPr>
        <w:t>供应商应认真</w:t>
      </w:r>
      <w:r>
        <w:rPr>
          <w:rFonts w:hint="eastAsia" w:ascii="宋体" w:hAnsi="宋体" w:eastAsia="宋体" w:cs="宋体"/>
          <w:sz w:val="24"/>
          <w:szCs w:val="24"/>
        </w:rPr>
        <w:t>核实本项目的工程量清单。所有报价一律以人民币报价。采购人不接受任何非人民币币种的报价。</w:t>
      </w:r>
    </w:p>
    <w:p w14:paraId="121CAC04">
      <w:pPr>
        <w:pStyle w:val="97"/>
        <w:numPr>
          <w:ilvl w:val="0"/>
          <w:numId w:val="2"/>
        </w:numPr>
        <w:spacing w:line="360" w:lineRule="auto"/>
        <w:ind w:left="0" w:firstLine="426" w:firstLineChars="0"/>
        <w:rPr>
          <w:rFonts w:hint="eastAsia" w:ascii="宋体" w:hAnsi="宋体" w:eastAsia="宋体" w:cs="宋体"/>
          <w:sz w:val="24"/>
          <w:szCs w:val="24"/>
        </w:rPr>
      </w:pPr>
      <w:r>
        <w:rPr>
          <w:rFonts w:hint="eastAsia" w:ascii="宋体" w:hAnsi="宋体" w:eastAsia="宋体" w:cs="宋体"/>
          <w:sz w:val="24"/>
          <w:szCs w:val="24"/>
        </w:rPr>
        <w:t>供应商的报价是其响应本项目要求的全部工作内容的价格体现，包括供应商完成本项目所需的一切费用。</w:t>
      </w:r>
    </w:p>
    <w:p w14:paraId="511FECAE">
      <w:pPr>
        <w:pStyle w:val="97"/>
        <w:numPr>
          <w:ilvl w:val="0"/>
          <w:numId w:val="0"/>
        </w:numPr>
        <w:spacing w:line="360" w:lineRule="auto"/>
        <w:ind w:left="426"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16.3</w:t>
      </w:r>
      <w:r>
        <w:rPr>
          <w:rFonts w:hint="eastAsia" w:asciiTheme="minorEastAsia" w:hAnsiTheme="minorEastAsia" w:eastAsiaTheme="minorEastAsia" w:cstheme="minorEastAsia"/>
          <w:sz w:val="24"/>
          <w:szCs w:val="24"/>
        </w:rPr>
        <w:t>本项目合同价格形式为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固定单价合同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固定总价合同。</w:t>
      </w:r>
    </w:p>
    <w:p w14:paraId="655E0F25">
      <w:pPr>
        <w:pStyle w:val="97"/>
        <w:numPr>
          <w:ilvl w:val="0"/>
          <w:numId w:val="2"/>
        </w:numPr>
        <w:spacing w:line="360" w:lineRule="auto"/>
        <w:ind w:left="0" w:firstLine="426" w:firstLineChars="0"/>
        <w:rPr>
          <w:rFonts w:ascii="宋体" w:hAnsi="宋体"/>
        </w:rPr>
      </w:pPr>
      <w:r>
        <w:rPr>
          <w:rFonts w:hint="eastAsia" w:ascii="宋体" w:hAnsi="宋体" w:cs="仿宋"/>
        </w:rPr>
        <w:t>本项目采用工程量清单报价，合同为固定单价合同。（本条适用于固定单价合同项目）</w:t>
      </w:r>
    </w:p>
    <w:p w14:paraId="438FF12F">
      <w:pPr>
        <w:pStyle w:val="97"/>
        <w:spacing w:line="360" w:lineRule="auto"/>
        <w:rPr>
          <w:rFonts w:ascii="宋体" w:hAnsi="宋体"/>
        </w:rPr>
      </w:pPr>
      <w:r>
        <w:rPr>
          <w:rFonts w:hint="eastAsia" w:ascii="宋体" w:hAnsi="宋体" w:cs="仿宋"/>
        </w:rPr>
        <w:t>已标价工程量清单的扉页（仅指投标总价扉页，下同）应由注册或登记在本单位的</w:t>
      </w:r>
      <w:r>
        <w:rPr>
          <w:rFonts w:hint="eastAsia" w:ascii="宋体" w:hAnsi="宋体" w:cs="仿宋"/>
          <w:color w:val="000000" w:themeColor="text1"/>
          <w14:textFill>
            <w14:solidFill>
              <w14:schemeClr w14:val="tx1"/>
            </w14:solidFill>
          </w14:textFill>
        </w:rPr>
        <w:t>造价人员签字并盖执</w:t>
      </w:r>
      <w:r>
        <w:rPr>
          <w:rFonts w:hint="eastAsia" w:ascii="宋体" w:hAnsi="宋体" w:cs="仿宋"/>
        </w:rPr>
        <w:t>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1DA11022">
      <w:pPr>
        <w:pStyle w:val="97"/>
        <w:spacing w:line="360" w:lineRule="auto"/>
        <w:rPr>
          <w:rFonts w:ascii="宋体" w:hAnsi="宋体"/>
        </w:rPr>
      </w:pPr>
      <w:r>
        <w:rPr>
          <w:rFonts w:hint="eastAsia" w:ascii="宋体" w:hAnsi="宋体" w:cs="仿宋"/>
        </w:rPr>
        <w:t>供应商最后报价超过政府采购预算或最高限价（金额详见“供应商须知附表”）的</w:t>
      </w:r>
      <w:r>
        <w:rPr>
          <w:rFonts w:ascii="宋体" w:hAnsi="宋体" w:cs="仿宋"/>
        </w:rPr>
        <w:t xml:space="preserve">, </w:t>
      </w:r>
      <w:r>
        <w:rPr>
          <w:rFonts w:hint="eastAsia" w:ascii="宋体" w:hAnsi="宋体" w:cs="仿宋"/>
        </w:rPr>
        <w:t>其响应文件按无效处理。</w:t>
      </w:r>
    </w:p>
    <w:p w14:paraId="69B3066F">
      <w:pPr>
        <w:pStyle w:val="97"/>
        <w:spacing w:line="360" w:lineRule="auto"/>
        <w:rPr>
          <w:rFonts w:ascii="宋体" w:hAnsi="宋体"/>
        </w:rPr>
      </w:pPr>
      <w:r>
        <w:rPr>
          <w:rFonts w:hint="eastAsia" w:ascii="宋体" w:hAnsi="宋体" w:cs="仿宋"/>
        </w:rPr>
        <w:t>供应商在首次提交的响应文件中的报价（即首次报价）应按</w:t>
      </w:r>
      <w:r>
        <w:rPr>
          <w:rFonts w:hint="eastAsia" w:ascii="宋体" w:hAnsi="宋体" w:cs="仿宋"/>
          <w:lang w:eastAsia="zh-CN"/>
        </w:rPr>
        <w:t>竞争性谈判</w:t>
      </w:r>
      <w:r>
        <w:rPr>
          <w:rFonts w:hint="eastAsia" w:ascii="宋体" w:hAnsi="宋体" w:cs="仿宋"/>
        </w:rPr>
        <w:t>文件及工程量清单编制要求，列出报价的构成及明细，包括但不限于分部分项工程、措施项目、其他项目、规费及税金等。其中安全文明施工费、暂列金额、暂估价、规费及税金应按工程量清单（总说明）的要求计取。</w:t>
      </w:r>
    </w:p>
    <w:p w14:paraId="75202AAD">
      <w:pPr>
        <w:pStyle w:val="97"/>
        <w:spacing w:line="360" w:lineRule="auto"/>
        <w:rPr>
          <w:rFonts w:ascii="宋体" w:hAnsi="宋体"/>
        </w:rPr>
      </w:pPr>
      <w:r>
        <w:rPr>
          <w:rFonts w:hint="eastAsia" w:ascii="宋体" w:hAnsi="宋体" w:cs="仿宋"/>
        </w:rPr>
        <w:t>供应商对工程量清单中的分部分项工程量清单项目的单价未填报或填报为零的，视为单价遗漏。出现单价遗漏情况，视为其费用已分摊在工程量清单其他相关子目的单价（价格）之中。如成交，供应商应完成该项目，但该项目不得另行计价。</w:t>
      </w:r>
    </w:p>
    <w:p w14:paraId="78ACF48C">
      <w:pPr>
        <w:pStyle w:val="97"/>
        <w:spacing w:line="360" w:lineRule="auto"/>
        <w:rPr>
          <w:rFonts w:ascii="宋体" w:hAnsi="宋体"/>
        </w:rPr>
      </w:pPr>
      <w:r>
        <w:rPr>
          <w:rFonts w:hint="eastAsia" w:ascii="宋体" w:hAnsi="宋体" w:cs="仿宋"/>
        </w:rPr>
        <w:t>供应商提交的已标价工程量清单应符合本项目工程量清单以及清单说明的要求。当供应商的已标价工程量清单有下列情形之一的，应按照无效响应文件处理。</w:t>
      </w:r>
    </w:p>
    <w:p w14:paraId="0FBBBBFD">
      <w:pPr>
        <w:pStyle w:val="97"/>
        <w:numPr>
          <w:ilvl w:val="0"/>
          <w:numId w:val="3"/>
        </w:numPr>
        <w:spacing w:line="360" w:lineRule="auto"/>
        <w:ind w:left="993" w:hanging="567" w:firstLineChars="0"/>
        <w:rPr>
          <w:rFonts w:ascii="宋体" w:hAnsi="宋体"/>
        </w:rPr>
      </w:pPr>
      <w:r>
        <w:rPr>
          <w:rFonts w:hint="eastAsia" w:ascii="宋体" w:hAnsi="宋体" w:cs="仿宋"/>
        </w:rPr>
        <w:t>已标价工程量清单中的项目名称、项目特征描述（与采购文件工程量清单中的项目特征描述的实质性内容一致的除外）、计量单位、工程量与采购文件工程量清单不一致的；</w:t>
      </w:r>
    </w:p>
    <w:p w14:paraId="4D8B75B7">
      <w:pPr>
        <w:pStyle w:val="97"/>
        <w:numPr>
          <w:ilvl w:val="0"/>
          <w:numId w:val="3"/>
        </w:numPr>
        <w:spacing w:line="360" w:lineRule="auto"/>
        <w:ind w:left="993" w:hanging="567" w:firstLineChars="0"/>
        <w:rPr>
          <w:rFonts w:ascii="宋体" w:hAnsi="宋体"/>
        </w:rPr>
      </w:pPr>
      <w:r>
        <w:rPr>
          <w:rFonts w:hint="eastAsia" w:ascii="宋体" w:hAnsi="宋体" w:cs="仿宋"/>
        </w:rPr>
        <w:t>供应商未按采购文件工程量清单总说明规定或其持有的《四川省施工企业工程规费计取标准》证书中的规费标准</w:t>
      </w:r>
      <w:r>
        <w:rPr>
          <w:rFonts w:ascii="宋体" w:hAnsi="宋体" w:cs="仿宋"/>
        </w:rPr>
        <w:t>(</w:t>
      </w:r>
      <w:r>
        <w:rPr>
          <w:rFonts w:hint="eastAsia" w:ascii="宋体" w:hAnsi="宋体" w:cs="仿宋"/>
        </w:rPr>
        <w:t>采购文件工程量清单总说明无规定时</w:t>
      </w:r>
      <w:r>
        <w:rPr>
          <w:rFonts w:ascii="宋体" w:hAnsi="宋体" w:cs="仿宋"/>
        </w:rPr>
        <w:t>)</w:t>
      </w:r>
      <w:r>
        <w:rPr>
          <w:rFonts w:hint="eastAsia" w:ascii="宋体" w:hAnsi="宋体" w:cs="仿宋"/>
        </w:rPr>
        <w:t>计取规费的；</w:t>
      </w:r>
    </w:p>
    <w:p w14:paraId="35DB0BC0">
      <w:pPr>
        <w:pStyle w:val="97"/>
        <w:numPr>
          <w:ilvl w:val="0"/>
          <w:numId w:val="3"/>
        </w:numPr>
        <w:spacing w:line="360" w:lineRule="auto"/>
        <w:ind w:left="993" w:hanging="567" w:firstLineChars="0"/>
        <w:rPr>
          <w:rFonts w:ascii="宋体" w:hAnsi="宋体"/>
        </w:rPr>
      </w:pPr>
      <w:r>
        <w:rPr>
          <w:rFonts w:hint="eastAsia" w:ascii="宋体" w:hAnsi="宋体" w:cs="仿宋"/>
        </w:rPr>
        <w:t>采购文件明确了安全文明施工费金额或费率并要求按此金额或费率填报而供应商填报错误或未填报的；</w:t>
      </w:r>
    </w:p>
    <w:p w14:paraId="4668818B">
      <w:pPr>
        <w:pStyle w:val="97"/>
        <w:numPr>
          <w:ilvl w:val="0"/>
          <w:numId w:val="3"/>
        </w:numPr>
        <w:spacing w:line="360" w:lineRule="auto"/>
        <w:ind w:left="993" w:hanging="567" w:firstLineChars="0"/>
        <w:rPr>
          <w:rFonts w:ascii="宋体" w:hAnsi="宋体"/>
        </w:rPr>
      </w:pPr>
      <w:r>
        <w:rPr>
          <w:rFonts w:hint="eastAsia" w:ascii="宋体" w:hAnsi="宋体" w:cs="仿宋"/>
        </w:rPr>
        <w:t>已标价工程量清单中暂列金额未按采购文件工程量清单中列明的金额填报的；</w:t>
      </w:r>
    </w:p>
    <w:p w14:paraId="3E8AADEA">
      <w:pPr>
        <w:pStyle w:val="97"/>
        <w:numPr>
          <w:ilvl w:val="0"/>
          <w:numId w:val="3"/>
        </w:numPr>
        <w:spacing w:line="360" w:lineRule="auto"/>
        <w:ind w:left="993" w:hanging="567" w:firstLineChars="0"/>
        <w:rPr>
          <w:rFonts w:ascii="宋体" w:hAnsi="宋体"/>
        </w:rPr>
      </w:pPr>
      <w:r>
        <w:rPr>
          <w:rFonts w:hint="eastAsia" w:ascii="宋体" w:hAnsi="宋体" w:cs="仿宋"/>
        </w:rPr>
        <w:t>已标价工程量清单中材料、工程设备暂估价未按采购文件工程量清单中列出的单价计入综合单价的；</w:t>
      </w:r>
    </w:p>
    <w:p w14:paraId="0E5627EB">
      <w:pPr>
        <w:pStyle w:val="97"/>
        <w:numPr>
          <w:ilvl w:val="0"/>
          <w:numId w:val="3"/>
        </w:numPr>
        <w:spacing w:line="360" w:lineRule="auto"/>
        <w:ind w:left="993" w:hanging="567" w:firstLineChars="0"/>
        <w:rPr>
          <w:rFonts w:ascii="宋体" w:hAnsi="宋体"/>
        </w:rPr>
      </w:pPr>
      <w:r>
        <w:rPr>
          <w:rFonts w:hint="eastAsia" w:ascii="宋体" w:hAnsi="宋体" w:cs="仿宋"/>
        </w:rPr>
        <w:t>已标价工程量清单中专业工程暂估价未按采购文件工程量清单中列明的金额填写的；</w:t>
      </w:r>
    </w:p>
    <w:p w14:paraId="4F88AFAE">
      <w:pPr>
        <w:pStyle w:val="97"/>
        <w:numPr>
          <w:ilvl w:val="0"/>
          <w:numId w:val="3"/>
        </w:numPr>
        <w:spacing w:line="360" w:lineRule="auto"/>
        <w:ind w:left="993" w:hanging="567" w:firstLineChars="0"/>
        <w:rPr>
          <w:rFonts w:ascii="宋体" w:hAnsi="宋体"/>
        </w:rPr>
      </w:pPr>
      <w:r>
        <w:rPr>
          <w:rFonts w:hint="eastAsia" w:ascii="宋体" w:hAnsi="宋体" w:cs="仿宋"/>
        </w:rPr>
        <w:t>已标价工程量清单中计日工未按采购文件工程量清单中列明的数量进行报价的；</w:t>
      </w:r>
    </w:p>
    <w:p w14:paraId="44EFE7C3">
      <w:pPr>
        <w:pStyle w:val="97"/>
        <w:numPr>
          <w:ilvl w:val="0"/>
          <w:numId w:val="3"/>
        </w:numPr>
        <w:spacing w:line="360" w:lineRule="auto"/>
        <w:ind w:left="993" w:hanging="567" w:firstLineChars="0"/>
        <w:rPr>
          <w:rFonts w:ascii="宋体" w:hAnsi="宋体"/>
        </w:rPr>
      </w:pPr>
      <w:r>
        <w:rPr>
          <w:rFonts w:hint="eastAsia" w:ascii="宋体" w:hAnsi="宋体" w:cs="仿宋"/>
        </w:rPr>
        <w:t>当已标价工程量清单中的任何单价、合价或总价，出现两个及以上金额的。</w:t>
      </w:r>
    </w:p>
    <w:p w14:paraId="0243B180">
      <w:pPr>
        <w:spacing w:line="360" w:lineRule="auto"/>
        <w:ind w:firstLine="480" w:firstLineChars="200"/>
        <w:rPr>
          <w:rFonts w:ascii="宋体" w:hAnsi="宋体"/>
          <w:sz w:val="24"/>
          <w:szCs w:val="24"/>
        </w:rPr>
      </w:pPr>
      <w:r>
        <w:rPr>
          <w:rFonts w:hint="eastAsia" w:ascii="宋体" w:hAnsi="宋体" w:cs="仿宋"/>
          <w:sz w:val="24"/>
          <w:szCs w:val="24"/>
        </w:rPr>
        <w:t>若供应商的最后报价只有一个总价，且相对首次报价有调整（上调取“</w:t>
      </w:r>
      <w:r>
        <w:rPr>
          <w:rFonts w:ascii="宋体" w:hAnsi="宋体" w:cs="仿宋"/>
          <w:sz w:val="24"/>
          <w:szCs w:val="24"/>
        </w:rPr>
        <w:t>+</w:t>
      </w:r>
      <w:r>
        <w:rPr>
          <w:rFonts w:hint="eastAsia" w:ascii="宋体" w:hAnsi="宋体" w:cs="仿宋"/>
          <w:sz w:val="24"/>
          <w:szCs w:val="24"/>
        </w:rPr>
        <w:t>”，下调取“</w:t>
      </w:r>
      <w:r>
        <w:rPr>
          <w:rFonts w:ascii="宋体" w:hAnsi="宋体" w:cs="仿宋"/>
          <w:sz w:val="24"/>
          <w:szCs w:val="24"/>
        </w:rPr>
        <w:t>-</w:t>
      </w:r>
      <w:r>
        <w:rPr>
          <w:rFonts w:hint="eastAsia" w:ascii="宋体" w:hAnsi="宋体" w:cs="仿宋"/>
          <w:sz w:val="24"/>
          <w:szCs w:val="24"/>
        </w:rPr>
        <w:t>”），则该调整金额将会以百分比（</w:t>
      </w:r>
      <w:r>
        <w:rPr>
          <w:rFonts w:ascii="宋体" w:hAnsi="宋体" w:cs="仿宋"/>
          <w:sz w:val="24"/>
          <w:szCs w:val="24"/>
        </w:rPr>
        <w:t>A</w:t>
      </w:r>
      <w:r>
        <w:rPr>
          <w:rFonts w:hint="eastAsia" w:ascii="宋体" w:hAnsi="宋体" w:cs="仿宋"/>
          <w:sz w:val="24"/>
          <w:szCs w:val="24"/>
        </w:rPr>
        <w:t>）形式套用于首次报价中除暂列金额、专业暂估价以及包干费用以外的各项目单价，调整后的单价（</w:t>
      </w:r>
      <w:r>
        <w:rPr>
          <w:rFonts w:ascii="宋体" w:hAnsi="宋体" w:cs="仿宋"/>
          <w:sz w:val="24"/>
          <w:szCs w:val="24"/>
        </w:rPr>
        <w:t>B</w:t>
      </w:r>
      <w:r>
        <w:rPr>
          <w:rFonts w:hint="eastAsia" w:ascii="宋体" w:hAnsi="宋体" w:cs="仿宋"/>
          <w:sz w:val="24"/>
          <w:szCs w:val="24"/>
        </w:rPr>
        <w:t>）作为工程变更及竣工结算的依据。百分比（</w:t>
      </w:r>
      <w:r>
        <w:rPr>
          <w:rFonts w:ascii="宋体" w:hAnsi="宋体" w:cs="仿宋"/>
          <w:sz w:val="24"/>
          <w:szCs w:val="24"/>
        </w:rPr>
        <w:t>A</w:t>
      </w:r>
      <w:r>
        <w:rPr>
          <w:rFonts w:hint="eastAsia" w:ascii="宋体" w:hAnsi="宋体" w:cs="仿宋"/>
          <w:sz w:val="24"/>
          <w:szCs w:val="24"/>
        </w:rPr>
        <w:t>）计算如下（保留两位小数）：</w:t>
      </w:r>
    </w:p>
    <w:p w14:paraId="268CB0B0">
      <w:pPr>
        <w:spacing w:line="240" w:lineRule="atLeast"/>
        <w:ind w:firstLine="468" w:firstLineChars="195"/>
        <w:rPr>
          <w:rFonts w:ascii="宋体" w:hAnsi="宋体"/>
          <w:sz w:val="24"/>
          <w:szCs w:val="24"/>
        </w:rPr>
      </w:pPr>
      <w:r>
        <w:rPr>
          <w:rFonts w:ascii="宋体" w:hAnsi="宋体"/>
          <w:sz w:val="24"/>
          <w:szCs w:val="24"/>
        </w:rPr>
        <w:tab/>
      </w:r>
      <w:r>
        <w:rPr>
          <w:rFonts w:ascii="宋体" w:hAnsi="宋体"/>
          <w:sz w:val="24"/>
          <w:szCs w:val="24"/>
        </w:rPr>
        <w:tab/>
      </w:r>
      <w:r>
        <w:rPr>
          <w:rFonts w:hint="eastAsia" w:ascii="宋体" w:hAnsi="宋体" w:cs="仿宋"/>
          <w:sz w:val="24"/>
          <w:szCs w:val="24"/>
        </w:rPr>
        <w:t>（±）调整金额</w:t>
      </w:r>
    </w:p>
    <w:p w14:paraId="0F7E830A">
      <w:pPr>
        <w:spacing w:line="240" w:lineRule="atLeast"/>
        <w:rPr>
          <w:rFonts w:ascii="宋体" w:hAnsi="宋体" w:cs="仿宋"/>
          <w:sz w:val="24"/>
          <w:szCs w:val="24"/>
        </w:rPr>
      </w:pPr>
      <w:r>
        <w:rPr>
          <w:rFonts w:hint="eastAsia" w:ascii="宋体" w:hAnsi="宋体" w:cs="仿宋"/>
          <w:sz w:val="24"/>
          <w:szCs w:val="24"/>
        </w:rPr>
        <w:t>百分比（</w:t>
      </w:r>
      <w:r>
        <w:rPr>
          <w:rFonts w:ascii="宋体" w:hAnsi="宋体" w:cs="仿宋"/>
          <w:sz w:val="24"/>
          <w:szCs w:val="24"/>
        </w:rPr>
        <w:t>A</w:t>
      </w:r>
      <w:r>
        <w:rPr>
          <w:rFonts w:hint="eastAsia" w:ascii="宋体" w:hAnsi="宋体" w:cs="仿宋"/>
          <w:sz w:val="24"/>
          <w:szCs w:val="24"/>
        </w:rPr>
        <w:t>）</w:t>
      </w:r>
      <w:r>
        <w:rPr>
          <w:rFonts w:ascii="宋体" w:hAnsi="宋体" w:cs="仿宋"/>
          <w:sz w:val="24"/>
          <w:szCs w:val="24"/>
        </w:rPr>
        <w:t xml:space="preserve">= </w:t>
      </w:r>
      <w:r>
        <w:rPr>
          <w:rFonts w:hint="eastAsia" w:ascii="宋体" w:hAnsi="宋体" w:cs="仿宋"/>
          <w:sz w:val="24"/>
          <w:szCs w:val="24"/>
        </w:rPr>
        <w:t>×</w:t>
      </w:r>
      <w:r>
        <w:rPr>
          <w:rFonts w:ascii="宋体" w:hAnsi="宋体" w:cs="仿宋"/>
          <w:sz w:val="24"/>
          <w:szCs w:val="24"/>
        </w:rPr>
        <w:t>100%</w:t>
      </w:r>
    </w:p>
    <w:p w14:paraId="6B5B628A">
      <w:pPr>
        <w:spacing w:line="240" w:lineRule="atLeast"/>
        <w:ind w:firstLine="1680" w:firstLineChars="700"/>
        <w:rPr>
          <w:rFonts w:hint="eastAsia" w:ascii="宋体" w:hAnsi="宋体" w:eastAsia="宋体" w:cs="宋体"/>
          <w:sz w:val="24"/>
          <w:szCs w:val="24"/>
        </w:rPr>
      </w:pPr>
      <w:r>
        <w:rPr>
          <w:rFonts w:hint="eastAsia" w:ascii="宋体" w:hAnsi="宋体" w:cs="仿宋"/>
          <w:sz w:val="24"/>
          <w:szCs w:val="24"/>
        </w:rPr>
        <w:t>修正后的首次报价</w:t>
      </w:r>
      <w:r>
        <w:rPr>
          <w:rFonts w:ascii="宋体" w:hAnsi="宋体" w:cs="仿宋"/>
          <w:sz w:val="24"/>
          <w:szCs w:val="24"/>
        </w:rPr>
        <w:t>-</w:t>
      </w:r>
      <w:r>
        <w:rPr>
          <w:rFonts w:hint="eastAsia" w:ascii="宋体" w:hAnsi="宋体" w:cs="仿宋"/>
          <w:sz w:val="24"/>
          <w:szCs w:val="24"/>
        </w:rPr>
        <w:t>暂列金额</w:t>
      </w:r>
      <w:r>
        <w:rPr>
          <w:rFonts w:ascii="宋体" w:hAnsi="宋体" w:cs="仿宋"/>
          <w:sz w:val="24"/>
          <w:szCs w:val="24"/>
        </w:rPr>
        <w:t>-</w:t>
      </w:r>
      <w:r>
        <w:rPr>
          <w:rFonts w:hint="eastAsia" w:ascii="宋体" w:hAnsi="宋体" w:cs="仿宋"/>
          <w:sz w:val="24"/>
          <w:szCs w:val="24"/>
        </w:rPr>
        <w:t>专业工程暂估价</w:t>
      </w:r>
      <w:r>
        <w:rPr>
          <w:rFonts w:ascii="宋体" w:hAnsi="宋体" w:cs="仿宋"/>
          <w:sz w:val="24"/>
          <w:szCs w:val="24"/>
        </w:rPr>
        <w:t>-</w:t>
      </w:r>
      <w:r>
        <w:rPr>
          <w:rFonts w:hint="eastAsia" w:ascii="宋体" w:hAnsi="宋体" w:cs="仿宋"/>
          <w:sz w:val="24"/>
          <w:szCs w:val="24"/>
        </w:rPr>
        <w:t>包干费用调整后的单价</w:t>
      </w:r>
      <w:r>
        <w:rPr>
          <w:rFonts w:ascii="宋体" w:hAnsi="宋体" w:cs="仿宋"/>
          <w:sz w:val="24"/>
          <w:szCs w:val="24"/>
        </w:rPr>
        <w:t>B =</w:t>
      </w:r>
      <w:r>
        <w:rPr>
          <w:rFonts w:hint="eastAsia" w:ascii="宋体" w:hAnsi="宋体" w:cs="仿宋"/>
          <w:sz w:val="24"/>
          <w:szCs w:val="24"/>
        </w:rPr>
        <w:t>修正后的首次报价中的单价×（</w:t>
      </w:r>
      <w:r>
        <w:rPr>
          <w:rFonts w:ascii="宋体" w:hAnsi="宋体" w:cs="仿宋"/>
          <w:sz w:val="24"/>
          <w:szCs w:val="24"/>
        </w:rPr>
        <w:t>1+A</w:t>
      </w:r>
      <w:r>
        <w:rPr>
          <w:rFonts w:hint="eastAsia" w:ascii="宋体" w:hAnsi="宋体" w:cs="仿宋"/>
          <w:sz w:val="24"/>
          <w:szCs w:val="24"/>
        </w:rPr>
        <w:t>）</w:t>
      </w:r>
    </w:p>
    <w:bookmarkEnd w:id="58"/>
    <w:p w14:paraId="485247F2">
      <w:pPr>
        <w:spacing w:line="360" w:lineRule="auto"/>
        <w:ind w:left="2" w:leftChars="1" w:firstLine="482" w:firstLineChars="200"/>
        <w:rPr>
          <w:rFonts w:hint="eastAsia" w:ascii="宋体" w:hAnsi="宋体" w:eastAsia="宋体" w:cs="宋体"/>
          <w:b/>
          <w:bCs/>
          <w:sz w:val="24"/>
          <w:szCs w:val="24"/>
        </w:rPr>
      </w:pPr>
      <w:r>
        <w:rPr>
          <w:rFonts w:hint="eastAsia" w:ascii="宋体" w:hAnsi="宋体" w:eastAsia="宋体" w:cs="宋体"/>
          <w:b/>
          <w:bCs/>
          <w:sz w:val="24"/>
          <w:szCs w:val="24"/>
        </w:rPr>
        <w:t>17.响应文件格式</w:t>
      </w:r>
    </w:p>
    <w:p w14:paraId="78E79EA2">
      <w:pPr>
        <w:spacing w:line="360" w:lineRule="auto"/>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17.1 供应商应执行谈判文件第七章的规定要求。</w:t>
      </w:r>
    </w:p>
    <w:p w14:paraId="09ECDE14">
      <w:pPr>
        <w:spacing w:line="360" w:lineRule="auto"/>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17.2 对于谈判文件没有格式要求的由供应商自行编写。</w:t>
      </w:r>
      <w:bookmarkStart w:id="59" w:name="_Toc217446051"/>
      <w:bookmarkStart w:id="60" w:name="_Toc183582224"/>
      <w:bookmarkStart w:id="61" w:name="_Toc183682361"/>
    </w:p>
    <w:p w14:paraId="20B9EA5C">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18.响应文件的编制和签署</w:t>
      </w:r>
    </w:p>
    <w:p w14:paraId="59483826">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施工响应文件正本</w:t>
      </w:r>
      <w:r>
        <w:rPr>
          <w:rFonts w:hint="eastAsia" w:ascii="宋体" w:hAnsi="宋体" w:eastAsia="宋体" w:cs="宋体"/>
          <w:sz w:val="24"/>
          <w:szCs w:val="24"/>
          <w:lang w:val="en-US" w:eastAsia="zh-CN"/>
        </w:rPr>
        <w:t>1</w:t>
      </w:r>
      <w:r>
        <w:rPr>
          <w:rFonts w:hint="eastAsia" w:ascii="宋体" w:hAnsi="宋体" w:eastAsia="宋体" w:cs="宋体"/>
          <w:sz w:val="24"/>
          <w:szCs w:val="24"/>
        </w:rPr>
        <w:t>份副本</w:t>
      </w:r>
      <w:r>
        <w:rPr>
          <w:rFonts w:hint="eastAsia" w:ascii="宋体" w:hAnsi="宋体" w:eastAsia="宋体" w:cs="宋体"/>
          <w:sz w:val="24"/>
          <w:szCs w:val="24"/>
          <w:lang w:val="en-US" w:eastAsia="zh-CN"/>
        </w:rPr>
        <w:t>2</w:t>
      </w:r>
      <w:r>
        <w:rPr>
          <w:rFonts w:hint="eastAsia" w:ascii="宋体" w:hAnsi="宋体" w:eastAsia="宋体" w:cs="宋体"/>
          <w:sz w:val="24"/>
          <w:szCs w:val="24"/>
        </w:rPr>
        <w:t>份，并在其封面上清楚地标明施工响应文件、采购项目名称、采购项目编号、包件号及名称（若有）、供应商名称以及“正本”或“副本”字样。若正本和副本有不一致的内容，以正本书面响应文件为准。</w:t>
      </w:r>
    </w:p>
    <w:bookmarkEnd w:id="59"/>
    <w:bookmarkEnd w:id="60"/>
    <w:bookmarkEnd w:id="61"/>
    <w:p w14:paraId="4E8A09EE">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18.3 响应文件正本和副本均需打印或用不褪色、不变质的墨水书写，并在规定签章处签字和盖章。响应文件副本可采用正本的复印件。本项目响应文件提供纸质响应文件。</w:t>
      </w:r>
    </w:p>
    <w:p w14:paraId="221FD1E8">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18.4响应文件的打印和书写应清楚工整，任何行间插字、涂改或增删，必须由供应商的法定代表人/单位负责人或其授权代表签字并盖供应商公章。</w:t>
      </w:r>
    </w:p>
    <w:p w14:paraId="378376F0">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18.5</w:t>
      </w:r>
      <w:r>
        <w:rPr>
          <w:rFonts w:hint="eastAsia" w:ascii="宋体" w:hAnsi="宋体" w:eastAsia="宋体" w:cs="宋体"/>
          <w:b/>
          <w:bCs/>
          <w:sz w:val="24"/>
          <w:szCs w:val="24"/>
        </w:rPr>
        <w:t>（实质性要求）</w:t>
      </w:r>
      <w:r>
        <w:rPr>
          <w:rFonts w:hint="eastAsia" w:ascii="宋体" w:hAnsi="宋体" w:eastAsia="宋体" w:cs="宋体"/>
          <w:sz w:val="24"/>
          <w:szCs w:val="24"/>
        </w:rPr>
        <w:t>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0C819073">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18.6响应文件正本和副本需要逐页编目编码。</w:t>
      </w:r>
    </w:p>
    <w:p w14:paraId="354A081E">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18.7要求提供纸质响应文件的，响应文件正本和副本应当采用胶装方式装订成册，不得散装或者合页装订。</w:t>
      </w:r>
    </w:p>
    <w:p w14:paraId="4EDA86D3">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18.8</w:t>
      </w:r>
      <w:r>
        <w:rPr>
          <w:rFonts w:hint="eastAsia" w:ascii="宋体" w:hAnsi="宋体" w:eastAsia="宋体" w:cs="宋体"/>
          <w:b/>
          <w:bCs/>
          <w:sz w:val="24"/>
          <w:szCs w:val="24"/>
        </w:rPr>
        <w:t>（实质性要求）</w:t>
      </w:r>
      <w:r>
        <w:rPr>
          <w:rFonts w:hint="eastAsia" w:ascii="宋体" w:hAnsi="宋体" w:eastAsia="宋体" w:cs="宋体"/>
          <w:sz w:val="24"/>
          <w:szCs w:val="24"/>
        </w:rPr>
        <w:t>响应文件应按谈判文件的要求签署</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盖章（第八章2.2.6</w:t>
      </w:r>
      <w:r>
        <w:rPr>
          <w:rFonts w:hint="eastAsia" w:ascii="宋体" w:hAnsi="宋体" w:eastAsia="宋体" w:cs="宋体"/>
          <w:sz w:val="24"/>
          <w:szCs w:val="24"/>
        </w:rPr>
        <w:t>规定的例外情形除外）。</w:t>
      </w:r>
    </w:p>
    <w:p w14:paraId="4EB37207">
      <w:pPr>
        <w:tabs>
          <w:tab w:val="left" w:pos="1080"/>
        </w:tabs>
        <w:spacing w:line="360" w:lineRule="auto"/>
        <w:ind w:firstLine="460" w:firstLineChars="192"/>
        <w:rPr>
          <w:rFonts w:hint="eastAsia" w:ascii="宋体" w:hAnsi="宋体" w:eastAsia="宋体" w:cs="宋体"/>
          <w:b/>
          <w:bCs/>
          <w:sz w:val="24"/>
          <w:szCs w:val="24"/>
        </w:rPr>
      </w:pPr>
      <w:r>
        <w:rPr>
          <w:rFonts w:hint="eastAsia" w:ascii="宋体" w:hAnsi="宋体" w:eastAsia="宋体" w:cs="宋体"/>
          <w:sz w:val="24"/>
          <w:szCs w:val="24"/>
        </w:rPr>
        <w:t>18.9提供纸质响应文件的，响应文件统一用A4幅面纸印制，除另有规定外。</w:t>
      </w:r>
      <w:bookmarkStart w:id="62" w:name="_Toc183582226"/>
      <w:bookmarkStart w:id="63" w:name="_Toc77400781"/>
      <w:bookmarkStart w:id="64" w:name="_Toc183682363"/>
      <w:bookmarkStart w:id="65" w:name="_Toc89075877"/>
      <w:bookmarkStart w:id="66" w:name="_Toc217446053"/>
    </w:p>
    <w:p w14:paraId="59E2CB71">
      <w:pPr>
        <w:tabs>
          <w:tab w:val="left" w:pos="1080"/>
        </w:tabs>
        <w:spacing w:line="360" w:lineRule="auto"/>
        <w:ind w:firstLine="463" w:firstLineChars="192"/>
        <w:rPr>
          <w:rFonts w:hint="eastAsia" w:ascii="宋体" w:hAnsi="宋体" w:eastAsia="宋体" w:cs="宋体"/>
          <w:b/>
          <w:bCs/>
          <w:sz w:val="24"/>
          <w:szCs w:val="24"/>
        </w:rPr>
      </w:pPr>
      <w:r>
        <w:rPr>
          <w:rFonts w:hint="eastAsia" w:ascii="宋体" w:hAnsi="宋体" w:eastAsia="宋体" w:cs="宋体"/>
          <w:b/>
          <w:bCs/>
          <w:sz w:val="24"/>
          <w:szCs w:val="24"/>
        </w:rPr>
        <w:t>19.响应文件的密封和标注</w:t>
      </w:r>
    </w:p>
    <w:p w14:paraId="0EA20A75">
      <w:pPr>
        <w:tabs>
          <w:tab w:val="left" w:pos="1080"/>
        </w:tabs>
        <w:spacing w:line="360" w:lineRule="auto"/>
        <w:ind w:firstLine="460" w:firstLineChars="192"/>
        <w:rPr>
          <w:rFonts w:hint="eastAsia" w:ascii="宋体" w:hAnsi="宋体" w:eastAsia="宋体" w:cs="宋体"/>
          <w:sz w:val="24"/>
          <w:szCs w:val="24"/>
          <w:lang w:eastAsia="zh-CN"/>
        </w:rPr>
      </w:pPr>
      <w:r>
        <w:rPr>
          <w:rFonts w:hint="eastAsia" w:ascii="宋体" w:hAnsi="宋体" w:eastAsia="宋体" w:cs="宋体"/>
          <w:sz w:val="24"/>
          <w:szCs w:val="24"/>
        </w:rPr>
        <w:t>19.1 响应文件</w:t>
      </w:r>
      <w:r>
        <w:rPr>
          <w:rFonts w:hint="eastAsia" w:ascii="宋体" w:hAnsi="宋体" w:eastAsia="宋体" w:cs="宋体"/>
          <w:sz w:val="24"/>
          <w:szCs w:val="24"/>
          <w:lang w:val="en-US" w:eastAsia="zh-CN"/>
        </w:rPr>
        <w:t>一正二副应</w:t>
      </w:r>
      <w:r>
        <w:rPr>
          <w:rFonts w:hint="eastAsia" w:ascii="宋体" w:hAnsi="宋体" w:eastAsia="宋体" w:cs="宋体"/>
          <w:sz w:val="24"/>
          <w:szCs w:val="24"/>
        </w:rPr>
        <w:t>密封包装</w:t>
      </w:r>
      <w:r>
        <w:rPr>
          <w:rFonts w:hint="eastAsia" w:ascii="宋体" w:hAnsi="宋体" w:eastAsia="宋体" w:cs="宋体"/>
          <w:sz w:val="24"/>
          <w:szCs w:val="24"/>
          <w:lang w:eastAsia="zh-CN"/>
        </w:rPr>
        <w:t>，并注明供应商名称、项目名称。</w:t>
      </w:r>
    </w:p>
    <w:p w14:paraId="331471EB">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19.2 响应文件密封袋的最外层应清楚地标明采购项目名称、采购项目编号、包件号及名称（若有）、供应商名称。</w:t>
      </w:r>
    </w:p>
    <w:p w14:paraId="04F8B603">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19.3 所有外层密封袋的封口处应粘贴牢固。</w:t>
      </w:r>
    </w:p>
    <w:p w14:paraId="65F2D044">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19.4 未密封的响应文件，采购人、采购代理机构将拒收或者在时间允许的范围内，要求供应商密封完善后接收。</w:t>
      </w:r>
    </w:p>
    <w:p w14:paraId="48D6CB13">
      <w:pPr>
        <w:tabs>
          <w:tab w:val="left" w:pos="1080"/>
        </w:tabs>
        <w:spacing w:line="360" w:lineRule="auto"/>
        <w:ind w:firstLine="463" w:firstLineChars="192"/>
        <w:rPr>
          <w:rFonts w:hint="eastAsia" w:ascii="宋体" w:hAnsi="宋体" w:eastAsia="宋体" w:cs="宋体"/>
          <w:b/>
          <w:bCs/>
          <w:sz w:val="24"/>
          <w:szCs w:val="24"/>
        </w:rPr>
      </w:pPr>
      <w:r>
        <w:rPr>
          <w:rFonts w:hint="eastAsia" w:ascii="宋体" w:hAnsi="宋体" w:eastAsia="宋体" w:cs="宋体"/>
          <w:b/>
          <w:bCs/>
          <w:sz w:val="24"/>
          <w:szCs w:val="24"/>
        </w:rPr>
        <w:t>20.响应文件的递交</w:t>
      </w:r>
    </w:p>
    <w:p w14:paraId="387CDD80">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20.1 资格性响应文件和施工响应文件应于递交响应文件截止时间前送达指定地点，采购代理机构拒绝接收截止时间后送达的响应文件。供应商在递交响应文件时，用正楷填写本谈判须知“递交响应文件</w:t>
      </w:r>
      <w:r>
        <w:rPr>
          <w:rFonts w:hint="eastAsia" w:ascii="宋体" w:hAnsi="宋体" w:cs="宋体"/>
          <w:sz w:val="24"/>
          <w:szCs w:val="24"/>
          <w:lang w:eastAsia="zh-CN"/>
        </w:rPr>
        <w:t>登记</w:t>
      </w:r>
      <w:r>
        <w:rPr>
          <w:rFonts w:hint="eastAsia" w:ascii="宋体" w:hAnsi="宋体" w:eastAsia="宋体" w:cs="宋体"/>
          <w:sz w:val="24"/>
          <w:szCs w:val="24"/>
        </w:rPr>
        <w:t>表”然后将</w:t>
      </w:r>
      <w:r>
        <w:rPr>
          <w:rFonts w:hint="eastAsia" w:ascii="宋体" w:hAnsi="宋体" w:cs="宋体"/>
          <w:sz w:val="24"/>
          <w:szCs w:val="24"/>
          <w:lang w:eastAsia="zh-CN"/>
        </w:rPr>
        <w:t>登记</w:t>
      </w:r>
      <w:r>
        <w:rPr>
          <w:rFonts w:hint="eastAsia" w:ascii="宋体" w:hAnsi="宋体" w:eastAsia="宋体" w:cs="宋体"/>
          <w:sz w:val="24"/>
          <w:szCs w:val="24"/>
        </w:rPr>
        <w:t>表和响应文件一并递交给采购代理机构工作人员。</w:t>
      </w:r>
    </w:p>
    <w:p w14:paraId="1C1A9CD8">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20.2报价表在谈判后，由谈判小组要求供应商进行报价时递交。</w:t>
      </w:r>
    </w:p>
    <w:p w14:paraId="54D746F8">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20.3本次采购不接收邮寄的响应文件。</w:t>
      </w:r>
    </w:p>
    <w:bookmarkEnd w:id="62"/>
    <w:bookmarkEnd w:id="63"/>
    <w:bookmarkEnd w:id="64"/>
    <w:bookmarkEnd w:id="65"/>
    <w:bookmarkEnd w:id="66"/>
    <w:p w14:paraId="56EBC373">
      <w:pPr>
        <w:tabs>
          <w:tab w:val="left" w:pos="1080"/>
        </w:tabs>
        <w:spacing w:line="360" w:lineRule="auto"/>
        <w:ind w:firstLine="463" w:firstLineChars="192"/>
        <w:rPr>
          <w:rFonts w:hint="eastAsia" w:ascii="宋体" w:hAnsi="宋体" w:eastAsia="宋体" w:cs="宋体"/>
          <w:b/>
          <w:bCs/>
          <w:sz w:val="24"/>
          <w:szCs w:val="24"/>
        </w:rPr>
      </w:pPr>
      <w:bookmarkStart w:id="67" w:name="_Toc183582228"/>
      <w:bookmarkStart w:id="68" w:name="_Toc183682365"/>
      <w:bookmarkStart w:id="69" w:name="_Toc217446055"/>
      <w:r>
        <w:rPr>
          <w:rFonts w:hint="eastAsia" w:ascii="宋体" w:hAnsi="宋体" w:eastAsia="宋体" w:cs="宋体"/>
          <w:b/>
          <w:bCs/>
          <w:sz w:val="24"/>
          <w:szCs w:val="24"/>
        </w:rPr>
        <w:t>21.响应文件的修改和撤回（补充、修改响应文件的密封和标注按照本章“19.响应文件的密封和标注”规定处理）</w:t>
      </w:r>
    </w:p>
    <w:p w14:paraId="344EC46D">
      <w:pPr>
        <w:pStyle w:val="7"/>
        <w:spacing w:line="360" w:lineRule="auto"/>
        <w:ind w:firstLine="31680"/>
        <w:rPr>
          <w:rFonts w:hint="eastAsia" w:ascii="宋体" w:hAnsi="宋体" w:eastAsia="宋体" w:cs="宋体"/>
          <w:sz w:val="24"/>
          <w:szCs w:val="24"/>
        </w:rPr>
      </w:pPr>
      <w:r>
        <w:rPr>
          <w:rFonts w:hint="eastAsia" w:ascii="宋体" w:hAnsi="宋体" w:eastAsia="宋体" w:cs="宋体"/>
          <w:sz w:val="24"/>
          <w:szCs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6CBA5E3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21.2供应商对响应文件修改的书面材料或撤回的通知应该按规定进行编写、密封、标注和递送，并注明“修改响应文件”字样。</w:t>
      </w:r>
    </w:p>
    <w:p w14:paraId="53C0B8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21.3供应商不得在递交截止时间起至响应文件有效期期满前撤销其响应文件，否则将认定其响应文件有效期的承诺为虚假承诺，并依法追究其法律责任。</w:t>
      </w:r>
    </w:p>
    <w:p w14:paraId="201D75C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21.4供应商对其提交的响应文件的真实性、合法性承担法律责任。</w:t>
      </w:r>
      <w:bookmarkEnd w:id="67"/>
      <w:bookmarkEnd w:id="68"/>
      <w:bookmarkEnd w:id="69"/>
      <w:bookmarkStart w:id="70" w:name="_Toc183582231"/>
      <w:bookmarkStart w:id="71" w:name="_Toc77400782"/>
      <w:bookmarkStart w:id="72" w:name="_Toc89075878"/>
      <w:bookmarkStart w:id="73" w:name="_Toc183682368"/>
      <w:bookmarkStart w:id="74" w:name="_Toc217446056"/>
    </w:p>
    <w:p w14:paraId="46BF10C9">
      <w:pPr>
        <w:pStyle w:val="5"/>
        <w:keepNext w:val="0"/>
        <w:keepLines w:val="0"/>
        <w:spacing w:line="360" w:lineRule="auto"/>
        <w:jc w:val="center"/>
        <w:rPr>
          <w:rFonts w:hint="eastAsia" w:ascii="宋体" w:hAnsi="宋体" w:eastAsia="宋体" w:cs="宋体"/>
          <w:sz w:val="32"/>
          <w:szCs w:val="32"/>
        </w:rPr>
      </w:pPr>
      <w:r>
        <w:rPr>
          <w:rFonts w:hint="eastAsia" w:ascii="宋体" w:hAnsi="宋体" w:eastAsia="宋体" w:cs="宋体"/>
          <w:sz w:val="32"/>
          <w:szCs w:val="32"/>
          <w:lang w:eastAsia="zh-CN"/>
        </w:rPr>
        <w:t>五</w:t>
      </w:r>
      <w:r>
        <w:rPr>
          <w:rFonts w:hint="eastAsia" w:ascii="宋体" w:hAnsi="宋体" w:eastAsia="宋体" w:cs="宋体"/>
          <w:sz w:val="32"/>
          <w:szCs w:val="32"/>
        </w:rPr>
        <w:t>、成交事项</w:t>
      </w:r>
    </w:p>
    <w:p w14:paraId="0A11A8D8">
      <w:pPr>
        <w:pStyle w:val="5"/>
        <w:keepNext w:val="0"/>
        <w:keepLines w:val="0"/>
        <w:spacing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.确定成交供应商</w:t>
      </w:r>
    </w:p>
    <w:p w14:paraId="432D0B47">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.1本项目采购人将按谈判小组推荐的成交候选供应商顺序确定成交供应商。</w:t>
      </w:r>
    </w:p>
    <w:p w14:paraId="13C0C76C">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.2采购代理机构自评审结束后2个工作日内将谈判报告及有关资料送交采购人确定成交供应商。</w:t>
      </w:r>
    </w:p>
    <w:p w14:paraId="388120AB">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3采购人收到谈判报告及有关资料后，将在5个工作日内按照谈判报告中推荐的成交候选供应商顺序确定成交供应商。采购人逾期未确定成交供应商且不提出异议的，视为确定谈判报告提出的排序第一的供应商为成交供应商。</w:t>
      </w:r>
    </w:p>
    <w:p w14:paraId="7FD78FC6">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.4采购人确定成交供应商过程中，发现成交候选供应商有下列情形之一的，不予确定其为成交供应商：</w:t>
      </w:r>
    </w:p>
    <w:p w14:paraId="2B03DDC7">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（1）成交候选供应商属于禁止参加本项目采购活动的；</w:t>
      </w:r>
    </w:p>
    <w:p w14:paraId="552792C2">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（2）成交候选供应商因不可抗力，不能继续参加政府采购活动；</w:t>
      </w:r>
    </w:p>
    <w:p w14:paraId="2B806366">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（3）成交候选供应商无偿赠与或者低于成本价竞争；</w:t>
      </w:r>
    </w:p>
    <w:p w14:paraId="6273F9EF">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（4）成交候选供应商提供虚假材料；</w:t>
      </w:r>
    </w:p>
    <w:p w14:paraId="439D4C32">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（5）成交候选供应商恶意串通。</w:t>
      </w:r>
    </w:p>
    <w:p w14:paraId="46AEB3C0">
      <w:pPr>
        <w:pStyle w:val="5"/>
        <w:keepNext w:val="0"/>
        <w:keepLines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.成交结果</w:t>
      </w:r>
    </w:p>
    <w:p w14:paraId="1DEB2116">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.1采购人确定成交供应商后，将及时书面通知采购代理机构，由采购代理机构发出成交通知书并发布成交结果公告。</w:t>
      </w:r>
    </w:p>
    <w:p w14:paraId="459636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.2成交供应商应当及时领取成交通知书。本项目需要交纳履约保证金的，成交供应商应当及时向采购人交纳。</w:t>
      </w:r>
    </w:p>
    <w:p w14:paraId="4B46686B">
      <w:pPr>
        <w:spacing w:line="360" w:lineRule="auto"/>
        <w:ind w:firstLine="46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.3成交供应商不能及时领取成交通知书，采购人或者采购代理机应当通过邮寄、快递等方式将项目成交通知书送达成交供应商。</w:t>
      </w:r>
    </w:p>
    <w:p w14:paraId="6E10DEF6">
      <w:pPr>
        <w:pStyle w:val="5"/>
        <w:keepNext w:val="0"/>
        <w:keepLines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.成交通知书</w:t>
      </w:r>
    </w:p>
    <w:p w14:paraId="2FEA52F4">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.1成交通知书为签订政府采购合同的依据之一，是合同的有效组成部分。</w:t>
      </w:r>
    </w:p>
    <w:p w14:paraId="3A99B9D4">
      <w:pPr>
        <w:pStyle w:val="5"/>
        <w:keepNext w:val="0"/>
        <w:keepLines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.2成交通知书对采购人和成交供应商均具有法律效力。成交通知书发出后，采购人无正当理由改变成交结果，或者成交供应商无正当理由放弃成交的，将承担相应的法律责任。</w:t>
      </w:r>
    </w:p>
    <w:p w14:paraId="7A9D3A6B">
      <w:pPr>
        <w:pStyle w:val="5"/>
        <w:keepNext w:val="0"/>
        <w:keepLines w:val="0"/>
        <w:spacing w:before="0" w:after="0" w:line="360" w:lineRule="auto"/>
        <w:ind w:firstLine="480" w:firstLineChars="200"/>
        <w:rPr>
          <w:rFonts w:hint="eastAsia"/>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3543D3F4">
      <w:pPr>
        <w:pStyle w:val="5"/>
        <w:keepNext w:val="0"/>
        <w:keepLines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、合同事项</w:t>
      </w:r>
    </w:p>
    <w:p w14:paraId="5703C313">
      <w:pPr>
        <w:pStyle w:val="5"/>
        <w:keepNext w:val="0"/>
        <w:keepLines w:val="0"/>
        <w:spacing w:before="0" w:after="0" w:line="360" w:lineRule="auto"/>
        <w:ind w:firstLine="472" w:firstLineChars="196"/>
        <w:rPr>
          <w:rFonts w:hint="eastAsia" w:ascii="宋体" w:hAnsi="宋体" w:eastAsia="宋体" w:cs="宋体"/>
          <w:sz w:val="24"/>
          <w:szCs w:val="24"/>
        </w:rPr>
      </w:pPr>
      <w:bookmarkStart w:id="75" w:name="_Toc101338364"/>
      <w:bookmarkStart w:id="76" w:name="_Toc101174151"/>
      <w:bookmarkStart w:id="77" w:name="_Toc101250646"/>
      <w:bookmarkStart w:id="78" w:name="_Toc209847069"/>
      <w:bookmarkStart w:id="79" w:name="_Toc430773927"/>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.签订合同</w:t>
      </w:r>
      <w:bookmarkEnd w:id="75"/>
      <w:bookmarkEnd w:id="76"/>
      <w:bookmarkEnd w:id="77"/>
      <w:bookmarkEnd w:id="78"/>
      <w:bookmarkEnd w:id="79"/>
    </w:p>
    <w:p w14:paraId="384AA9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.1 成交供应商应在成交通知书发</w:t>
      </w:r>
      <w:r>
        <w:rPr>
          <w:rFonts w:hint="eastAsia" w:ascii="宋体" w:hAnsi="宋体" w:eastAsia="宋体" w:cs="宋体"/>
          <w:color w:val="000000" w:themeColor="text1"/>
          <w:sz w:val="24"/>
          <w:szCs w:val="24"/>
          <w14:textFill>
            <w14:solidFill>
              <w14:schemeClr w14:val="tx1"/>
            </w14:solidFill>
          </w14:textFill>
        </w:rPr>
        <w:t>出之日起十日内与</w:t>
      </w:r>
      <w:r>
        <w:rPr>
          <w:rFonts w:hint="eastAsia" w:ascii="宋体" w:hAnsi="宋体" w:eastAsia="宋体" w:cs="宋体"/>
          <w:sz w:val="24"/>
          <w:szCs w:val="24"/>
        </w:rPr>
        <w:t>采购人签订采购合同。由于成交供应商的原因逾期未与采购人签订采购合同的，将视为放弃成交，取消其成交资格并将按相关规定进行处理。</w:t>
      </w:r>
    </w:p>
    <w:p w14:paraId="0DA8DC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.2 谈判文件、成交供应商的响应文件及双方确认的澄清文件等，均为有法律约束力的合同组成部分。</w:t>
      </w:r>
    </w:p>
    <w:p w14:paraId="780C7F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7D1792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.4 成交供应商因不可抗力原因不能履行采购合同或放弃成交的，采购人可以与后一位序的成交候选供应商签订采购合同，依此类推。</w:t>
      </w:r>
    </w:p>
    <w:p w14:paraId="3BA229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.5竞争性谈判文件、成交供应商提交的响应文件、谈判中的最后报价、成交供应商承诺书、成交通知书等均称为有法律约束力的合同组成内容。</w:t>
      </w:r>
    </w:p>
    <w:p w14:paraId="64332C0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.合同分包（实质性要求）</w:t>
      </w:r>
    </w:p>
    <w:p w14:paraId="5517E2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本采购项目严禁分包。</w:t>
      </w:r>
    </w:p>
    <w:p w14:paraId="03058B0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.合同转包（实质性要求）</w:t>
      </w:r>
    </w:p>
    <w:p w14:paraId="0EB47C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52C60E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成交供应商转包的，视同拒绝履行政府采购合同义务，将依法追究法律责任。</w:t>
      </w:r>
    </w:p>
    <w:p w14:paraId="738DE77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.补充合同</w:t>
      </w:r>
    </w:p>
    <w:p w14:paraId="3B3DC1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4206FAE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29</w:t>
      </w:r>
      <w:r>
        <w:rPr>
          <w:rFonts w:hint="eastAsia" w:ascii="宋体" w:hAnsi="宋体" w:eastAsia="宋体" w:cs="宋体"/>
          <w:b/>
          <w:bCs/>
          <w:sz w:val="24"/>
          <w:szCs w:val="24"/>
        </w:rPr>
        <w:t>.履约保证金（实质性要求）</w:t>
      </w:r>
    </w:p>
    <w:p w14:paraId="1B52B8E8">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sz w:val="24"/>
          <w:szCs w:val="24"/>
          <w:lang w:val="en-US" w:eastAsia="zh-CN"/>
        </w:rPr>
        <w:t>本项目不收取履约保证金。</w:t>
      </w:r>
    </w:p>
    <w:p w14:paraId="673D038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.履行合同</w:t>
      </w:r>
    </w:p>
    <w:p w14:paraId="460E0B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.1 成交供应商与采购人签订合同后，合同双方应严格执行合同条款，履行合同规定的义务，保证合同的顺利完成。</w:t>
      </w:r>
    </w:p>
    <w:p w14:paraId="727A24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.2 在合同履行过程中，如发生合同纠纷，合同双方应按照合同约定及《合同法》的有关规定进行处理。</w:t>
      </w:r>
    </w:p>
    <w:p w14:paraId="1878921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.验收</w:t>
      </w:r>
    </w:p>
    <w:p w14:paraId="5B8B0248">
      <w:pPr>
        <w:snapToGrid w:val="0"/>
        <w:spacing w:line="360" w:lineRule="auto"/>
        <w:ind w:firstLine="480" w:firstLineChars="200"/>
        <w:rPr>
          <w:rFonts w:hint="eastAsia" w:ascii="宋体" w:hAnsi="宋体" w:eastAsia="宋体" w:cs="宋体"/>
          <w:color w:val="auto"/>
          <w:sz w:val="22"/>
          <w:szCs w:val="22"/>
        </w:rPr>
      </w:pPr>
      <w:r>
        <w:rPr>
          <w:rFonts w:hint="eastAsia" w:ascii="宋体"/>
          <w:sz w:val="24"/>
          <w:highlight w:val="none"/>
          <w:lang w:val="en-US" w:eastAsia="zh-CN"/>
        </w:rPr>
        <w:t>采购人</w:t>
      </w:r>
      <w:r>
        <w:rPr>
          <w:rFonts w:hint="eastAsia" w:ascii="宋体"/>
          <w:sz w:val="24"/>
          <w:highlight w:val="none"/>
        </w:rPr>
        <w:t>严格按照《财政部关于进一步加强政府采购需求和履约验收管理的指导意见》(财库〔2016〕205 号)、</w:t>
      </w:r>
      <w:r>
        <w:rPr>
          <w:rFonts w:hint="eastAsia" w:ascii="宋体" w:hAnsi="宋体" w:cs="宋体"/>
          <w:sz w:val="24"/>
          <w:highlight w:val="none"/>
        </w:rPr>
        <w:t>《政府采购需求管理办法》（财库〔2021〕22号）</w:t>
      </w:r>
      <w:r>
        <w:rPr>
          <w:rFonts w:hint="eastAsia" w:ascii="宋体"/>
          <w:sz w:val="24"/>
          <w:highlight w:val="none"/>
        </w:rPr>
        <w:t>的要求，</w:t>
      </w:r>
      <w:r>
        <w:rPr>
          <w:rFonts w:hint="eastAsia" w:ascii="宋体"/>
          <w:sz w:val="24"/>
          <w:highlight w:val="none"/>
          <w:lang w:val="zh-CN"/>
        </w:rPr>
        <w:t>根据招标文件、投标文件及</w:t>
      </w:r>
      <w:r>
        <w:rPr>
          <w:rFonts w:hint="eastAsia" w:ascii="宋体" w:hAnsi="宋体" w:cs="宋体"/>
          <w:spacing w:val="-5"/>
          <w:sz w:val="24"/>
          <w:highlight w:val="none"/>
        </w:rPr>
        <w:t>国家现行标准和规范由</w:t>
      </w:r>
      <w:r>
        <w:rPr>
          <w:rFonts w:hint="eastAsia" w:ascii="宋体" w:hAnsi="宋体" w:cs="宋体"/>
          <w:spacing w:val="-5"/>
          <w:sz w:val="24"/>
          <w:highlight w:val="none"/>
          <w:lang w:val="en-US" w:eastAsia="zh-CN"/>
        </w:rPr>
        <w:t>采购人自行</w:t>
      </w:r>
      <w:r>
        <w:rPr>
          <w:rFonts w:hint="eastAsia" w:ascii="宋体" w:hAnsi="宋体" w:cs="宋体"/>
          <w:spacing w:val="-5"/>
          <w:sz w:val="24"/>
          <w:highlight w:val="none"/>
        </w:rPr>
        <w:t>组织验收。</w:t>
      </w:r>
      <w:r>
        <w:rPr>
          <w:rFonts w:ascii="宋体" w:hAnsi="宋体" w:cs="宋体"/>
          <w:sz w:val="24"/>
          <w:highlight w:val="none"/>
        </w:rPr>
        <w:t xml:space="preserve"> </w:t>
      </w:r>
    </w:p>
    <w:p w14:paraId="2FE211A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.资金支付</w:t>
      </w:r>
    </w:p>
    <w:p w14:paraId="727893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将按照政府采购合同规定，及时向成交供应商支付采购资金。本项目采购资金付款详见第五章规定的付款方式。对于满足政府采购合同约定支付条件的，采购人应当自收到发票后30日内将资金支付到合同约定的供应商账户，不得以机构变动、人员更替、政策调整等为由延迟付款，不得将采购文件和合同中未规定的义务作为向供应商付款的条件。</w:t>
      </w:r>
    </w:p>
    <w:p w14:paraId="598A2299">
      <w:pPr>
        <w:pStyle w:val="5"/>
        <w:keepNext w:val="0"/>
        <w:keepLines w:val="0"/>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、谈判纪律要求</w:t>
      </w:r>
    </w:p>
    <w:p w14:paraId="2CB6C265">
      <w:pPr>
        <w:tabs>
          <w:tab w:val="left" w:pos="851"/>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3</w:t>
      </w:r>
      <w:r>
        <w:rPr>
          <w:rFonts w:hint="eastAsia" w:ascii="宋体" w:hAnsi="宋体" w:eastAsia="宋体" w:cs="宋体"/>
          <w:b/>
          <w:bCs/>
          <w:sz w:val="24"/>
          <w:szCs w:val="24"/>
        </w:rPr>
        <w:t>.供应商不得具有的情形</w:t>
      </w:r>
    </w:p>
    <w:p w14:paraId="173CEF9B">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供应商参加本项目谈判不得有下列情形：</w:t>
      </w:r>
    </w:p>
    <w:p w14:paraId="0B03FCF2">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w:t>
      </w:r>
    </w:p>
    <w:p w14:paraId="596F77FD">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（2）采取不正当手段诋毁、排挤其他供应商；</w:t>
      </w:r>
    </w:p>
    <w:p w14:paraId="40CE08CA">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（3）与采购人、采购代理机构、或其他供应商恶意串通；</w:t>
      </w:r>
    </w:p>
    <w:p w14:paraId="3C5737CD">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（4）向采购人、采购代理机构、谈判小组成员行贿或者提供其他不正当利益；</w:t>
      </w:r>
    </w:p>
    <w:p w14:paraId="66039AC7">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（5）在谈判过程中与采购人、采购代理机构进行协商；</w:t>
      </w:r>
    </w:p>
    <w:p w14:paraId="7A12197C">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（6）成交后无正当理由拒不与采购人签订政府采购合同；</w:t>
      </w:r>
    </w:p>
    <w:p w14:paraId="7248F0C2">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（7）未按照谈判文件确定的事项签订政府采购合同；</w:t>
      </w:r>
    </w:p>
    <w:p w14:paraId="18D9B59F">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（8）将政府采购合同转包或者违规分包；</w:t>
      </w:r>
    </w:p>
    <w:p w14:paraId="4E63F27E">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（9）提供假冒伪劣产品；</w:t>
      </w:r>
    </w:p>
    <w:p w14:paraId="5679B05A">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（10）擅自变更、中止或者终止政府采购合同；</w:t>
      </w:r>
    </w:p>
    <w:p w14:paraId="6DD060C9">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（11）拒绝有关部门的监督检查或者向监督检查部门提供虚假情况；</w:t>
      </w:r>
    </w:p>
    <w:p w14:paraId="3BA7C40E">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（12）法律法规规定的其他情形。</w:t>
      </w:r>
    </w:p>
    <w:p w14:paraId="432185BE">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供应商有上述情形的，按照规定追究法律责任，具备（1）-（8）条情形之一的，同时将取消成交资格或者认定成交无效。</w:t>
      </w:r>
    </w:p>
    <w:p w14:paraId="27C45841">
      <w:pPr>
        <w:tabs>
          <w:tab w:val="left" w:pos="851"/>
        </w:tabs>
        <w:spacing w:line="360" w:lineRule="auto"/>
        <w:jc w:val="center"/>
        <w:rPr>
          <w:rFonts w:hint="eastAsia" w:ascii="宋体" w:hAnsi="宋体" w:eastAsia="宋体" w:cs="宋体"/>
          <w:b/>
          <w:bCs/>
          <w:sz w:val="24"/>
          <w:szCs w:val="24"/>
          <w:lang w:eastAsia="zh-CN"/>
        </w:rPr>
      </w:pPr>
    </w:p>
    <w:p w14:paraId="4A128B14">
      <w:pPr>
        <w:tabs>
          <w:tab w:val="left" w:pos="851"/>
        </w:tabs>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、询问、质疑和投诉</w:t>
      </w:r>
    </w:p>
    <w:p w14:paraId="44EE3F4C">
      <w:pPr>
        <w:tabs>
          <w:tab w:val="left" w:pos="851"/>
        </w:tabs>
        <w:spacing w:line="360" w:lineRule="auto"/>
        <w:ind w:firstLine="49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询问、质疑、投诉的接收和处理严格按照《中华人民共和国政府采购法》、《中华人民共和国政府采购法实施条例》、《财政部关于加强政府采购供应商投诉受理审查工作的通知》、《政府采购质疑和投诉办法》和四川省的有关规定办理（详细规定请在四川政府采购网政策法规模块查询）。</w:t>
      </w:r>
    </w:p>
    <w:p w14:paraId="5E2111B1">
      <w:pPr>
        <w:tabs>
          <w:tab w:val="left" w:pos="851"/>
        </w:tabs>
        <w:spacing w:line="360" w:lineRule="auto"/>
        <w:jc w:val="center"/>
        <w:rPr>
          <w:rFonts w:hint="eastAsia" w:ascii="宋体" w:hAnsi="宋体" w:eastAsia="宋体" w:cs="宋体"/>
          <w:b/>
          <w:bCs/>
          <w:sz w:val="24"/>
          <w:szCs w:val="24"/>
          <w:lang w:eastAsia="zh-CN"/>
        </w:rPr>
      </w:pPr>
    </w:p>
    <w:p w14:paraId="7B9F3E4C">
      <w:pPr>
        <w:tabs>
          <w:tab w:val="left" w:pos="851"/>
        </w:tabs>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、其他</w:t>
      </w:r>
    </w:p>
    <w:p w14:paraId="1A0ACE89">
      <w:pPr>
        <w:tabs>
          <w:tab w:val="left" w:pos="851"/>
        </w:tabs>
        <w:spacing w:line="360" w:lineRule="auto"/>
        <w:rPr>
          <w:rFonts w:hint="eastAsia" w:ascii="宋体" w:hAnsi="宋体" w:eastAsia="宋体" w:cs="宋体"/>
          <w:color w:val="auto"/>
          <w:sz w:val="24"/>
          <w:szCs w:val="24"/>
        </w:rPr>
      </w:pPr>
      <w:r>
        <w:rPr>
          <w:rFonts w:hint="eastAsia" w:ascii="宋体" w:hAnsi="宋体" w:eastAsia="宋体" w:cs="宋体"/>
          <w:sz w:val="24"/>
          <w:szCs w:val="24"/>
        </w:rPr>
        <w:t xml:space="preserve">    3</w:t>
      </w:r>
      <w:r>
        <w:rPr>
          <w:rFonts w:hint="eastAsia" w:ascii="宋体" w:hAnsi="宋体" w:cs="宋体"/>
          <w:sz w:val="24"/>
          <w:szCs w:val="24"/>
          <w:lang w:val="en-US" w:eastAsia="zh-CN"/>
        </w:rPr>
        <w:t>5</w:t>
      </w:r>
      <w:r>
        <w:rPr>
          <w:rFonts w:hint="eastAsia" w:ascii="宋体" w:hAnsi="宋体" w:eastAsia="宋体" w:cs="宋体"/>
          <w:sz w:val="24"/>
          <w:szCs w:val="24"/>
        </w:rPr>
        <w:t>.本谈判文件中所引相关法律制度规定，在政府采购中有变化的，按照变化后的相关法律制度规定执行。本章规定的内容条款，在本项目递交响应文件截止时</w:t>
      </w:r>
      <w:r>
        <w:rPr>
          <w:rFonts w:hint="eastAsia" w:ascii="宋体" w:hAnsi="宋体" w:eastAsia="宋体" w:cs="宋体"/>
          <w:color w:val="auto"/>
          <w:sz w:val="24"/>
          <w:szCs w:val="24"/>
        </w:rPr>
        <w:t>间届满后，因相关法律制度规定的变化导致不符合相关法律制度规定的，直接按照变化后的相关法律制度规定执行，本谈判文件不再做调整。</w:t>
      </w:r>
    </w:p>
    <w:p w14:paraId="771E21E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rPr>
        <w:t>国家或行业主管部门对工程项目的技术标准、质量标</w:t>
      </w:r>
      <w:r>
        <w:rPr>
          <w:rFonts w:hint="eastAsia" w:ascii="宋体" w:hAnsi="宋体" w:eastAsia="宋体" w:cs="宋体"/>
          <w:sz w:val="24"/>
          <w:szCs w:val="24"/>
        </w:rPr>
        <w:t>准和资格资质条件等有强制性规定的，必须符合其要求。</w:t>
      </w:r>
    </w:p>
    <w:p w14:paraId="515C1269">
      <w:pPr>
        <w:rPr>
          <w:rFonts w:hint="eastAsia" w:ascii="宋体" w:hAnsi="宋体" w:eastAsia="宋体" w:cs="宋体"/>
          <w:sz w:val="24"/>
          <w:szCs w:val="24"/>
        </w:rPr>
      </w:pPr>
      <w:r>
        <w:rPr>
          <w:rFonts w:hint="eastAsia" w:ascii="宋体" w:hAnsi="宋体" w:eastAsia="宋体" w:cs="宋体"/>
          <w:sz w:val="24"/>
          <w:szCs w:val="24"/>
        </w:rPr>
        <w:br w:type="page"/>
      </w:r>
    </w:p>
    <w:p w14:paraId="2781F9D8">
      <w:pPr>
        <w:pStyle w:val="2"/>
        <w:rPr>
          <w:rFonts w:hint="eastAsia"/>
        </w:rPr>
      </w:pPr>
    </w:p>
    <w:p w14:paraId="4BF55CDC">
      <w:pPr>
        <w:pStyle w:val="39"/>
        <w:rPr>
          <w:rFonts w:hint="eastAsia" w:ascii="宋体" w:hAnsi="宋体" w:eastAsia="宋体" w:cs="宋体"/>
          <w:sz w:val="36"/>
          <w:szCs w:val="36"/>
        </w:rPr>
      </w:pPr>
      <w:bookmarkStart w:id="80" w:name="_Toc41037904"/>
      <w:bookmarkStart w:id="81" w:name="_Toc509579142"/>
      <w:r>
        <w:rPr>
          <w:rFonts w:hint="eastAsia" w:ascii="宋体" w:hAnsi="宋体" w:eastAsia="宋体" w:cs="宋体"/>
          <w:sz w:val="36"/>
          <w:szCs w:val="36"/>
        </w:rPr>
        <w:t>第三章</w:t>
      </w:r>
      <w:bookmarkEnd w:id="80"/>
      <w:bookmarkEnd w:id="81"/>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供应商应当提供的资格、资质性及其他类似效力要求的相关证明材料</w:t>
      </w:r>
    </w:p>
    <w:p w14:paraId="5AEAF0DA">
      <w:pPr>
        <w:pStyle w:val="39"/>
        <w:rPr>
          <w:rFonts w:hint="eastAsia" w:ascii="宋体" w:hAnsi="宋体" w:eastAsia="宋体" w:cs="宋体"/>
          <w:sz w:val="24"/>
          <w:szCs w:val="24"/>
        </w:rPr>
      </w:pPr>
    </w:p>
    <w:p w14:paraId="79AAB1C9">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2" w:firstLineChars="200"/>
        <w:textAlignment w:val="auto"/>
        <w:rPr>
          <w:rFonts w:hint="eastAsia" w:ascii="宋体" w:hAnsi="宋体" w:eastAsia="宋体" w:cs="宋体"/>
          <w:b/>
          <w:color w:val="auto"/>
          <w:sz w:val="24"/>
          <w:szCs w:val="24"/>
          <w:highlight w:val="none"/>
        </w:rPr>
      </w:pPr>
      <w:bookmarkStart w:id="82" w:name="_Toc41037906"/>
      <w:bookmarkStart w:id="83" w:name="_Toc509579144"/>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资格、资质性及其他类似效力要求</w:t>
      </w:r>
    </w:p>
    <w:p w14:paraId="5923FDDF">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具有独立承担民事责任的能力；</w:t>
      </w:r>
    </w:p>
    <w:p w14:paraId="31574DAD">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具有良好的商业信誉和健全的财务会计制度；</w:t>
      </w:r>
    </w:p>
    <w:p w14:paraId="62D2E0E5">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3</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具有履行合同所必需的设备和专业技术能力；</w:t>
      </w:r>
    </w:p>
    <w:p w14:paraId="53EC4BD7">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4</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有依法缴纳税收和社会保障资金的良好记录；</w:t>
      </w:r>
    </w:p>
    <w:p w14:paraId="2CA2F356">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5</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参加政府采购活动前三年内，在经营活动中没有重大违法记录；</w:t>
      </w:r>
    </w:p>
    <w:p w14:paraId="478F4E3A">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6</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法律、行政法规规定的其他条件；</w:t>
      </w:r>
    </w:p>
    <w:p w14:paraId="002BCCBF">
      <w:pPr>
        <w:tabs>
          <w:tab w:val="left" w:pos="7665"/>
        </w:tabs>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7.采购人根据采购项目提出的特殊条件</w:t>
      </w:r>
      <w:r>
        <w:rPr>
          <w:rFonts w:hint="eastAsia" w:ascii="宋体" w:hAnsi="宋体" w:cs="宋体"/>
          <w:sz w:val="24"/>
          <w:szCs w:val="24"/>
          <w:lang w:val="en-US" w:eastAsia="zh-CN"/>
        </w:rPr>
        <w:t>：</w:t>
      </w:r>
    </w:p>
    <w:p w14:paraId="64128AEB">
      <w:pPr>
        <w:tabs>
          <w:tab w:val="left" w:pos="7665"/>
        </w:tabs>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（1）具有建筑工程施工总承包三级及以上资质或建筑装修装饰工程专业承包贰级或建筑装修装饰工程专业承包贰级，具有有效的安全生产许可证。</w:t>
      </w:r>
    </w:p>
    <w:p w14:paraId="1B2E434E">
      <w:pPr>
        <w:tabs>
          <w:tab w:val="left" w:pos="7665"/>
        </w:tabs>
        <w:spacing w:line="360" w:lineRule="auto"/>
        <w:ind w:firstLine="480" w:firstLineChars="20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项目经理：具备建筑工程专业二级</w:t>
      </w:r>
      <w:r>
        <w:rPr>
          <w:rFonts w:hint="eastAsia" w:ascii="宋体" w:hAnsi="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以上建造师执业资格且具备建设行政主管部门颁发的安全生产考核合格证 B 证；项目技术负责人具备建筑工程专业类中级及以上职称</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26DE9BE6">
      <w:pPr>
        <w:tabs>
          <w:tab w:val="left" w:pos="7665"/>
        </w:tabs>
        <w:spacing w:line="360" w:lineRule="auto"/>
        <w:ind w:firstLine="480" w:firstLineChars="20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（3）企业注册地不在四川省行政区域内的外地企业，提供在有效期内的《四川省省外建筑企业入川承揽业务验证登记证》或《四川省省外施工、监理入川承揽业务信息录入证》</w:t>
      </w:r>
      <w:r>
        <w:rPr>
          <w:rFonts w:hint="eastAsia" w:ascii="宋体" w:hAnsi="宋体" w:cs="宋体"/>
          <w:color w:val="000000" w:themeColor="text1"/>
          <w:sz w:val="24"/>
          <w:szCs w:val="24"/>
          <w:highlight w:val="none"/>
          <w:lang w:val="en-US" w:eastAsia="zh-CN"/>
          <w14:textFill>
            <w14:solidFill>
              <w14:schemeClr w14:val="tx1"/>
            </w14:solidFill>
          </w14:textFill>
        </w:rPr>
        <w:t>。如未办理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入川承揽业务验证登记证</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入川承揽业务信息录入证</w:t>
      </w:r>
      <w:r>
        <w:rPr>
          <w:rFonts w:hint="eastAsia" w:ascii="宋体" w:hAnsi="宋体" w:cs="宋体"/>
          <w:color w:val="000000" w:themeColor="text1"/>
          <w:sz w:val="24"/>
          <w:szCs w:val="24"/>
          <w:highlight w:val="none"/>
          <w:lang w:val="en-US" w:eastAsia="zh-CN"/>
          <w14:textFill>
            <w14:solidFill>
              <w14:schemeClr w14:val="tx1"/>
            </w14:solidFill>
          </w14:textFill>
        </w:rPr>
        <w:t>的，提供在成交公告发布后10个工作日内办理的承诺函。</w:t>
      </w:r>
    </w:p>
    <w:p w14:paraId="03F4C27B">
      <w:pPr>
        <w:tabs>
          <w:tab w:val="left" w:pos="7665"/>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8.本项目不允许联合体参加。</w:t>
      </w:r>
    </w:p>
    <w:p w14:paraId="69D4F5B0">
      <w:pPr>
        <w:tabs>
          <w:tab w:val="left" w:pos="7665"/>
        </w:tabs>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9.本项目专门面向中小企业采购。</w:t>
      </w:r>
    </w:p>
    <w:p w14:paraId="72859E30">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谈判</w:t>
      </w:r>
      <w:r>
        <w:rPr>
          <w:rFonts w:hint="eastAsia" w:ascii="宋体" w:hAnsi="宋体" w:eastAsia="宋体" w:cs="宋体"/>
          <w:b/>
          <w:color w:val="auto"/>
          <w:sz w:val="24"/>
          <w:szCs w:val="24"/>
          <w:highlight w:val="none"/>
        </w:rPr>
        <w:t>产品（如涉及）的资格、资质性及其他类似效力要求</w:t>
      </w:r>
    </w:p>
    <w:p w14:paraId="740CAEEC">
      <w:pPr>
        <w:pStyle w:val="85"/>
        <w:pageBreakBefore w:val="0"/>
        <w:kinsoku/>
        <w:wordWrap/>
        <w:overflowPunct/>
        <w:topLinePunct w:val="0"/>
        <w:bidi w:val="0"/>
        <w:spacing w:beforeAutospacing="0" w:after="0" w:line="360" w:lineRule="auto"/>
        <w:ind w:left="0" w:leftChars="0" w:right="0" w:rightChars="0" w:firstLine="0" w:firstLineChars="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 xml:space="preserve"> </w:t>
      </w:r>
    </w:p>
    <w:p w14:paraId="0AE641F7">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法定代表人</w:t>
      </w:r>
      <w:r>
        <w:rPr>
          <w:rFonts w:ascii="宋体" w:hAnsi="宋体"/>
          <w:color w:val="000000"/>
          <w:sz w:val="24"/>
        </w:rPr>
        <w:t>/</w:t>
      </w:r>
      <w:r>
        <w:rPr>
          <w:rFonts w:hint="eastAsia" w:ascii="宋体" w:hAnsi="宋体"/>
          <w:color w:val="000000"/>
          <w:sz w:val="24"/>
        </w:rPr>
        <w:t>单位负责人身份证明材料复印件；</w:t>
      </w:r>
    </w:p>
    <w:p w14:paraId="41C4DE5F">
      <w:pPr>
        <w:pStyle w:val="5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kern w:val="2"/>
        </w:rPr>
      </w:pPr>
      <w:r>
        <w:rPr>
          <w:rFonts w:hint="eastAsia" w:ascii="宋体" w:hAnsi="宋体" w:eastAsia="宋体" w:cs="宋体"/>
          <w:kern w:val="2"/>
        </w:rPr>
        <w:t>2.授权参加本次采购活动的授权书及授权代表身份证明材料复印件；</w:t>
      </w:r>
    </w:p>
    <w:p w14:paraId="79AFDF23">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hAnsi="宋体"/>
          <w:sz w:val="24"/>
        </w:rPr>
      </w:pPr>
      <w:r>
        <w:rPr>
          <w:rFonts w:hint="eastAsia" w:hAnsi="宋体"/>
          <w:sz w:val="24"/>
        </w:rPr>
        <w:t>注：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60B402D">
      <w:pPr>
        <w:pStyle w:val="2"/>
        <w:rPr>
          <w:rFonts w:hint="eastAsia"/>
        </w:rPr>
      </w:pPr>
    </w:p>
    <w:p w14:paraId="45C1692B">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lang w:eastAsia="zh-CN"/>
        </w:rPr>
        <w:t>供应商</w:t>
      </w:r>
      <w:r>
        <w:rPr>
          <w:rFonts w:hint="eastAsia" w:ascii="宋体" w:hAnsi="宋体" w:eastAsia="宋体" w:cs="宋体"/>
          <w:b/>
          <w:bCs/>
          <w:color w:val="auto"/>
          <w:sz w:val="36"/>
          <w:szCs w:val="36"/>
        </w:rPr>
        <w:t>应当提供的资格、资质性及其他类似效力要求的相关证明材料</w:t>
      </w:r>
    </w:p>
    <w:p w14:paraId="49A95DA5">
      <w:pPr>
        <w:pStyle w:val="26"/>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rPr>
      </w:pPr>
    </w:p>
    <w:p w14:paraId="5F6C3C72">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应当提供的供应商资格、资质性及其他类似效力要求的相关证明材料</w:t>
      </w:r>
    </w:p>
    <w:p w14:paraId="1F56E57F">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2767C3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2、具备良好商业信誉的证明材料（提供承诺函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18012C8D">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3、具备健全的财务会计制度的证明材料。（提供承诺函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A8440F9">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04F173BE">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5、具备履行合同所必需的设备和专业技术能力的证明材料（提供承诺函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1FE71C11">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6、参加政府采购活动前3年内在经营活动中没有重大违法记录的承诺函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4B7C189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7、具备法律、行政法规规定的其他条件的证明材料（提供承诺函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4DBB4C04">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8、根据采购项目提出的特殊条件：</w:t>
      </w:r>
    </w:p>
    <w:p w14:paraId="0CA1396A">
      <w:pPr>
        <w:tabs>
          <w:tab w:val="left" w:pos="7665"/>
        </w:tabs>
        <w:spacing w:line="360" w:lineRule="auto"/>
        <w:ind w:left="479" w:leftChars="228" w:firstLine="0" w:firstLineChars="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（1）具有建筑工程施工总承包三级及以上资质或建筑装修装饰工程专业承包贰级或建筑装修装饰工程专业承包贰级，具有有效的安全生产许可证。</w:t>
      </w:r>
    </w:p>
    <w:p w14:paraId="0CD7519C">
      <w:pPr>
        <w:tabs>
          <w:tab w:val="left" w:pos="7665"/>
        </w:tabs>
        <w:spacing w:line="360" w:lineRule="auto"/>
        <w:ind w:firstLine="480" w:firstLineChars="20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项目经理：具备建筑工程专业二级</w:t>
      </w:r>
      <w:r>
        <w:rPr>
          <w:rFonts w:hint="eastAsia" w:ascii="宋体" w:hAnsi="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以上建造师执业资格且具备建设行政主管部门颁发的安全生产考核合格证 B 证；项目技术负责人具备建筑工程专业类中级及以上职称</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2D6F587">
      <w:pPr>
        <w:tabs>
          <w:tab w:val="left" w:pos="7665"/>
        </w:tabs>
        <w:spacing w:line="360" w:lineRule="auto"/>
        <w:ind w:firstLine="480" w:firstLineChars="20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（3）企业注册地不在四川省行政区域内的外地企业，提供在有效期内的《四川省省外建筑企业入川承揽业务验证登记证》或《四川省省外施工、监理入川承揽业务信息录入证》</w:t>
      </w:r>
      <w:r>
        <w:rPr>
          <w:rFonts w:hint="eastAsia" w:ascii="宋体" w:hAnsi="宋体" w:cs="宋体"/>
          <w:color w:val="000000" w:themeColor="text1"/>
          <w:sz w:val="24"/>
          <w:szCs w:val="24"/>
          <w:highlight w:val="none"/>
          <w:lang w:val="en-US" w:eastAsia="zh-CN"/>
          <w14:textFill>
            <w14:solidFill>
              <w14:schemeClr w14:val="tx1"/>
            </w14:solidFill>
          </w14:textFill>
        </w:rPr>
        <w:t>。如未办理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入川承揽业务验证登记证</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入川承揽业务信息录入证</w:t>
      </w:r>
      <w:r>
        <w:rPr>
          <w:rFonts w:hint="eastAsia" w:ascii="宋体" w:hAnsi="宋体" w:cs="宋体"/>
          <w:color w:val="000000" w:themeColor="text1"/>
          <w:sz w:val="24"/>
          <w:szCs w:val="24"/>
          <w:highlight w:val="none"/>
          <w:lang w:val="en-US" w:eastAsia="zh-CN"/>
          <w14:textFill>
            <w14:solidFill>
              <w14:schemeClr w14:val="tx1"/>
            </w14:solidFill>
          </w14:textFill>
        </w:rPr>
        <w:t>的，提供在成交公告发布后10个工作日内办理的承诺函。</w:t>
      </w:r>
    </w:p>
    <w:p w14:paraId="5904A25C">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提供中小企业声明函。</w:t>
      </w:r>
    </w:p>
    <w:p w14:paraId="53295F94">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其他类似效力要求相关证明材料：</w:t>
      </w:r>
    </w:p>
    <w:p w14:paraId="29FF6B51">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（1）法定代表人/单位负责人身份证明材料复印件。</w:t>
      </w:r>
    </w:p>
    <w:p w14:paraId="5C74873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的，则可不提供。）</w:t>
      </w:r>
    </w:p>
    <w:p w14:paraId="38A72E06">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注：以上要求的资料复印件（身份证明材料、采购文件购买情况证明材料除外）均须加盖供应商单位的公章（鲜章），证明材料是双面的，在单面加盖公章，不影响响应文件的实质有效性。</w:t>
      </w:r>
    </w:p>
    <w:p w14:paraId="26F6EBAB">
      <w:pPr>
        <w:pStyle w:val="39"/>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p>
    <w:p w14:paraId="2753683A">
      <w:pPr>
        <w:pStyle w:val="39"/>
        <w:rPr>
          <w:rFonts w:hint="eastAsia" w:ascii="宋体" w:hAnsi="宋体" w:eastAsia="宋体" w:cs="宋体"/>
          <w:color w:val="auto"/>
          <w:sz w:val="24"/>
          <w:szCs w:val="24"/>
        </w:rPr>
      </w:pPr>
    </w:p>
    <w:p w14:paraId="12701C76">
      <w:pPr>
        <w:rPr>
          <w:rFonts w:hint="eastAsia" w:ascii="宋体" w:hAnsi="宋体" w:eastAsia="宋体" w:cs="宋体"/>
          <w:color w:val="auto"/>
          <w:sz w:val="24"/>
          <w:szCs w:val="24"/>
        </w:rPr>
      </w:pPr>
    </w:p>
    <w:p w14:paraId="3083F6DF">
      <w:pPr>
        <w:pStyle w:val="60"/>
        <w:rPr>
          <w:rFonts w:hint="eastAsia" w:ascii="宋体" w:hAnsi="宋体" w:eastAsia="宋体" w:cs="宋体"/>
          <w:color w:val="auto"/>
          <w:sz w:val="24"/>
          <w:szCs w:val="24"/>
        </w:rPr>
      </w:pPr>
    </w:p>
    <w:p w14:paraId="2BF7B475">
      <w:pPr>
        <w:pStyle w:val="60"/>
        <w:rPr>
          <w:rFonts w:hint="eastAsia" w:ascii="宋体" w:hAnsi="宋体" w:eastAsia="宋体" w:cs="宋体"/>
          <w:color w:val="auto"/>
          <w:sz w:val="24"/>
          <w:szCs w:val="24"/>
        </w:rPr>
      </w:pPr>
    </w:p>
    <w:p w14:paraId="5DA5AED7">
      <w:pPr>
        <w:pStyle w:val="60"/>
        <w:rPr>
          <w:rFonts w:hint="eastAsia" w:ascii="宋体" w:hAnsi="宋体" w:eastAsia="宋体" w:cs="宋体"/>
          <w:color w:val="auto"/>
          <w:sz w:val="24"/>
          <w:szCs w:val="24"/>
        </w:rPr>
      </w:pPr>
    </w:p>
    <w:p w14:paraId="598771FE">
      <w:pPr>
        <w:pStyle w:val="60"/>
        <w:rPr>
          <w:rFonts w:hint="eastAsia" w:ascii="宋体" w:hAnsi="宋体" w:eastAsia="宋体" w:cs="宋体"/>
          <w:color w:val="auto"/>
          <w:sz w:val="24"/>
          <w:szCs w:val="24"/>
        </w:rPr>
      </w:pPr>
    </w:p>
    <w:p w14:paraId="0CBEC8C1">
      <w:pPr>
        <w:pStyle w:val="60"/>
        <w:rPr>
          <w:rFonts w:hint="eastAsia" w:ascii="宋体" w:hAnsi="宋体" w:eastAsia="宋体" w:cs="宋体"/>
          <w:color w:val="auto"/>
          <w:sz w:val="24"/>
          <w:szCs w:val="24"/>
        </w:rPr>
      </w:pPr>
    </w:p>
    <w:p w14:paraId="0B1AB89B">
      <w:pPr>
        <w:pStyle w:val="60"/>
        <w:rPr>
          <w:rFonts w:hint="eastAsia" w:ascii="宋体" w:hAnsi="宋体" w:eastAsia="宋体" w:cs="宋体"/>
          <w:color w:val="auto"/>
          <w:sz w:val="24"/>
          <w:szCs w:val="24"/>
        </w:rPr>
      </w:pPr>
    </w:p>
    <w:p w14:paraId="3CBFED66">
      <w:pPr>
        <w:pStyle w:val="60"/>
        <w:rPr>
          <w:rFonts w:hint="eastAsia" w:ascii="宋体" w:hAnsi="宋体" w:eastAsia="宋体" w:cs="宋体"/>
          <w:color w:val="auto"/>
          <w:sz w:val="24"/>
          <w:szCs w:val="24"/>
        </w:rPr>
      </w:pPr>
    </w:p>
    <w:p w14:paraId="27BA7A83">
      <w:pPr>
        <w:pStyle w:val="60"/>
        <w:rPr>
          <w:rFonts w:hint="eastAsia" w:ascii="宋体" w:hAnsi="宋体" w:eastAsia="宋体" w:cs="宋体"/>
          <w:color w:val="auto"/>
          <w:sz w:val="24"/>
          <w:szCs w:val="24"/>
        </w:rPr>
      </w:pPr>
    </w:p>
    <w:p w14:paraId="309D61FE">
      <w:pPr>
        <w:pStyle w:val="60"/>
        <w:rPr>
          <w:rFonts w:hint="eastAsia" w:ascii="宋体" w:hAnsi="宋体" w:eastAsia="宋体" w:cs="宋体"/>
          <w:color w:val="auto"/>
          <w:sz w:val="24"/>
          <w:szCs w:val="24"/>
        </w:rPr>
      </w:pPr>
    </w:p>
    <w:p w14:paraId="7AC7E59E">
      <w:pPr>
        <w:pStyle w:val="60"/>
        <w:rPr>
          <w:rFonts w:hint="eastAsia" w:ascii="宋体" w:hAnsi="宋体" w:eastAsia="宋体" w:cs="宋体"/>
          <w:color w:val="auto"/>
          <w:sz w:val="24"/>
          <w:szCs w:val="24"/>
        </w:rPr>
      </w:pPr>
    </w:p>
    <w:p w14:paraId="2F213017">
      <w:pPr>
        <w:pStyle w:val="60"/>
        <w:rPr>
          <w:rFonts w:hint="eastAsia" w:ascii="宋体" w:hAnsi="宋体" w:eastAsia="宋体" w:cs="宋体"/>
          <w:color w:val="auto"/>
          <w:sz w:val="24"/>
          <w:szCs w:val="24"/>
        </w:rPr>
      </w:pPr>
    </w:p>
    <w:p w14:paraId="18D2E746">
      <w:pPr>
        <w:pStyle w:val="60"/>
        <w:rPr>
          <w:rFonts w:hint="eastAsia" w:ascii="宋体" w:hAnsi="宋体" w:eastAsia="宋体" w:cs="宋体"/>
          <w:color w:val="auto"/>
          <w:sz w:val="24"/>
          <w:szCs w:val="24"/>
        </w:rPr>
      </w:pPr>
    </w:p>
    <w:p w14:paraId="450A2DB1">
      <w:pPr>
        <w:pStyle w:val="60"/>
        <w:rPr>
          <w:rFonts w:hint="eastAsia" w:ascii="宋体" w:hAnsi="宋体" w:eastAsia="宋体" w:cs="宋体"/>
          <w:color w:val="auto"/>
          <w:sz w:val="24"/>
          <w:szCs w:val="24"/>
        </w:rPr>
      </w:pPr>
    </w:p>
    <w:p w14:paraId="301062A9">
      <w:pPr>
        <w:pStyle w:val="60"/>
        <w:rPr>
          <w:rFonts w:hint="eastAsia" w:ascii="宋体" w:hAnsi="宋体" w:eastAsia="宋体" w:cs="宋体"/>
          <w:color w:val="auto"/>
          <w:sz w:val="24"/>
          <w:szCs w:val="24"/>
        </w:rPr>
      </w:pPr>
    </w:p>
    <w:p w14:paraId="0E1A628F">
      <w:pPr>
        <w:pStyle w:val="60"/>
        <w:rPr>
          <w:rFonts w:hint="eastAsia" w:ascii="宋体" w:hAnsi="宋体" w:eastAsia="宋体" w:cs="宋体"/>
          <w:color w:val="auto"/>
          <w:sz w:val="24"/>
          <w:szCs w:val="24"/>
        </w:rPr>
      </w:pPr>
    </w:p>
    <w:p w14:paraId="02D9DC34">
      <w:pPr>
        <w:pStyle w:val="60"/>
        <w:rPr>
          <w:rFonts w:hint="eastAsia" w:ascii="宋体" w:hAnsi="宋体" w:eastAsia="宋体" w:cs="宋体"/>
          <w:color w:val="auto"/>
          <w:sz w:val="24"/>
          <w:szCs w:val="24"/>
        </w:rPr>
      </w:pPr>
    </w:p>
    <w:p w14:paraId="0AF1044B">
      <w:pPr>
        <w:pStyle w:val="60"/>
        <w:rPr>
          <w:rFonts w:hint="eastAsia" w:ascii="宋体" w:hAnsi="宋体" w:eastAsia="宋体" w:cs="宋体"/>
          <w:color w:val="auto"/>
          <w:sz w:val="24"/>
          <w:szCs w:val="24"/>
        </w:rPr>
      </w:pPr>
    </w:p>
    <w:p w14:paraId="77D5FC43">
      <w:pPr>
        <w:pStyle w:val="60"/>
        <w:rPr>
          <w:rFonts w:hint="eastAsia" w:ascii="宋体" w:hAnsi="宋体" w:eastAsia="宋体" w:cs="宋体"/>
          <w:color w:val="auto"/>
          <w:sz w:val="24"/>
          <w:szCs w:val="24"/>
        </w:rPr>
      </w:pPr>
    </w:p>
    <w:p w14:paraId="1814F05C">
      <w:pPr>
        <w:pStyle w:val="60"/>
        <w:rPr>
          <w:rFonts w:hint="eastAsia" w:ascii="宋体" w:hAnsi="宋体" w:eastAsia="宋体" w:cs="宋体"/>
          <w:color w:val="auto"/>
          <w:sz w:val="24"/>
          <w:szCs w:val="24"/>
        </w:rPr>
      </w:pPr>
    </w:p>
    <w:p w14:paraId="55DD922B">
      <w:pPr>
        <w:pStyle w:val="60"/>
        <w:rPr>
          <w:rFonts w:hint="eastAsia" w:ascii="宋体" w:hAnsi="宋体" w:eastAsia="宋体" w:cs="宋体"/>
          <w:color w:val="auto"/>
          <w:sz w:val="24"/>
          <w:szCs w:val="24"/>
        </w:rPr>
      </w:pPr>
    </w:p>
    <w:p w14:paraId="339BFC2D">
      <w:pPr>
        <w:pStyle w:val="60"/>
        <w:rPr>
          <w:rFonts w:hint="eastAsia" w:ascii="宋体" w:hAnsi="宋体" w:eastAsia="宋体" w:cs="宋体"/>
          <w:color w:val="auto"/>
          <w:sz w:val="24"/>
          <w:szCs w:val="24"/>
        </w:rPr>
      </w:pPr>
    </w:p>
    <w:p w14:paraId="298A1DBA">
      <w:pPr>
        <w:pStyle w:val="60"/>
        <w:rPr>
          <w:rFonts w:hint="eastAsia" w:ascii="宋体" w:hAnsi="宋体" w:eastAsia="宋体" w:cs="宋体"/>
          <w:color w:val="auto"/>
          <w:sz w:val="24"/>
          <w:szCs w:val="24"/>
        </w:rPr>
      </w:pPr>
    </w:p>
    <w:p w14:paraId="7A018BC8">
      <w:pPr>
        <w:pStyle w:val="60"/>
        <w:rPr>
          <w:rFonts w:hint="eastAsia" w:ascii="宋体" w:hAnsi="宋体" w:eastAsia="宋体" w:cs="宋体"/>
          <w:color w:val="auto"/>
          <w:sz w:val="24"/>
          <w:szCs w:val="24"/>
        </w:rPr>
      </w:pPr>
    </w:p>
    <w:p w14:paraId="0FC8F1CC">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6184549">
      <w:pPr>
        <w:pStyle w:val="60"/>
        <w:rPr>
          <w:rFonts w:hint="eastAsia" w:ascii="宋体" w:hAnsi="宋体" w:eastAsia="宋体" w:cs="宋体"/>
          <w:color w:val="auto"/>
          <w:sz w:val="24"/>
          <w:szCs w:val="24"/>
        </w:rPr>
      </w:pPr>
    </w:p>
    <w:p w14:paraId="491FCDD1">
      <w:pPr>
        <w:pStyle w:val="39"/>
        <w:numPr>
          <w:ilvl w:val="0"/>
          <w:numId w:val="5"/>
        </w:numP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采购项目技术、服务、政府采购合同内容条款及其他商务要求</w:t>
      </w:r>
      <w:bookmarkEnd w:id="82"/>
      <w:bookmarkEnd w:id="83"/>
    </w:p>
    <w:p w14:paraId="3E07B4BE">
      <w:pPr>
        <w:pStyle w:val="5"/>
        <w:keepNext w:val="0"/>
        <w:keepLines w:val="0"/>
        <w:spacing w:before="0" w:after="0" w:line="360" w:lineRule="auto"/>
        <w:ind w:firstLine="590" w:firstLineChars="245"/>
        <w:jc w:val="left"/>
        <w:rPr>
          <w:rFonts w:hint="eastAsia" w:ascii="仿宋" w:hAnsi="仿宋" w:eastAsia="仿宋" w:cs="仿宋"/>
          <w:sz w:val="24"/>
          <w:szCs w:val="24"/>
        </w:rPr>
      </w:pPr>
    </w:p>
    <w:p w14:paraId="65AE37A4">
      <w:pPr>
        <w:spacing w:line="360" w:lineRule="auto"/>
        <w:ind w:firstLine="482" w:firstLineChars="200"/>
        <w:rPr>
          <w:rFonts w:hint="eastAsia" w:ascii="黑体" w:hAnsi="黑体" w:eastAsia="黑体" w:cs="黑体"/>
          <w:sz w:val="24"/>
          <w:szCs w:val="24"/>
        </w:rPr>
      </w:pPr>
      <w:r>
        <w:rPr>
          <w:rFonts w:hint="eastAsia" w:ascii="黑体" w:hAnsi="黑体" w:eastAsia="黑体" w:cs="黑体"/>
          <w:b/>
          <w:bCs/>
          <w:sz w:val="24"/>
          <w:szCs w:val="24"/>
        </w:rPr>
        <w:t>一、采购项目基本情况</w:t>
      </w:r>
      <w:r>
        <w:rPr>
          <w:rFonts w:hint="eastAsia" w:ascii="黑体" w:hAnsi="黑体" w:eastAsia="黑体" w:cs="黑体"/>
          <w:b/>
          <w:bCs/>
          <w:sz w:val="24"/>
          <w:szCs w:val="24"/>
          <w:lang w:eastAsia="zh-CN"/>
        </w:rPr>
        <w:t>：</w:t>
      </w:r>
    </w:p>
    <w:p w14:paraId="65079789">
      <w:pPr>
        <w:pStyle w:val="60"/>
        <w:ind w:firstLine="480" w:firstLineChars="200"/>
        <w:rPr>
          <w:rFonts w:hint="eastAsia" w:ascii="黑体" w:hAnsi="黑体" w:eastAsia="黑体" w:cs="黑体"/>
          <w:b/>
          <w:bCs/>
          <w:sz w:val="24"/>
          <w:szCs w:val="24"/>
          <w:lang w:val="en-US" w:eastAsia="zh-CN"/>
        </w:rPr>
      </w:pPr>
      <w:r>
        <w:rPr>
          <w:rFonts w:hint="eastAsia" w:ascii="黑体" w:hAnsi="黑体" w:eastAsia="黑体" w:cs="黑体"/>
          <w:sz w:val="24"/>
          <w:szCs w:val="24"/>
          <w:lang w:val="en-US" w:eastAsia="zh-CN"/>
        </w:rPr>
        <w:t>1、</w:t>
      </w:r>
      <w:r>
        <w:rPr>
          <w:rFonts w:hint="eastAsia" w:ascii="黑体" w:hAnsi="黑体" w:eastAsia="黑体" w:cs="黑体"/>
          <w:b/>
          <w:bCs/>
          <w:sz w:val="24"/>
          <w:szCs w:val="24"/>
          <w:lang w:val="en-US" w:eastAsia="zh-CN"/>
        </w:rPr>
        <w:t>技术、服务、合同条款要求</w:t>
      </w:r>
    </w:p>
    <w:tbl>
      <w:tblPr>
        <w:tblStyle w:val="44"/>
        <w:tblW w:w="7319" w:type="dxa"/>
        <w:jc w:val="center"/>
        <w:tblLayout w:type="fixed"/>
        <w:tblCellMar>
          <w:top w:w="0" w:type="dxa"/>
          <w:left w:w="108" w:type="dxa"/>
          <w:bottom w:w="0" w:type="dxa"/>
          <w:right w:w="108" w:type="dxa"/>
        </w:tblCellMar>
      </w:tblPr>
      <w:tblGrid>
        <w:gridCol w:w="877"/>
        <w:gridCol w:w="2492"/>
        <w:gridCol w:w="3950"/>
      </w:tblGrid>
      <w:tr w14:paraId="5F58342D">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AE2AE4C">
            <w:pPr>
              <w:pStyle w:val="6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2492" w:type="dxa"/>
            <w:tcBorders>
              <w:top w:val="single" w:color="auto" w:sz="4" w:space="0"/>
              <w:left w:val="nil"/>
              <w:bottom w:val="single" w:color="auto" w:sz="4" w:space="0"/>
              <w:right w:val="single" w:color="auto" w:sz="4" w:space="0"/>
            </w:tcBorders>
            <w:vAlign w:val="center"/>
          </w:tcPr>
          <w:p w14:paraId="4B250766">
            <w:pPr>
              <w:pStyle w:val="6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w:t>
            </w:r>
          </w:p>
        </w:tc>
        <w:tc>
          <w:tcPr>
            <w:tcW w:w="3950" w:type="dxa"/>
            <w:tcBorders>
              <w:top w:val="single" w:color="auto" w:sz="4" w:space="0"/>
              <w:left w:val="nil"/>
              <w:bottom w:val="single" w:color="auto" w:sz="4" w:space="0"/>
              <w:right w:val="single" w:color="auto" w:sz="4" w:space="0"/>
            </w:tcBorders>
            <w:vAlign w:val="center"/>
          </w:tcPr>
          <w:p w14:paraId="5DAEC04F">
            <w:pPr>
              <w:pStyle w:val="6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要求</w:t>
            </w:r>
          </w:p>
        </w:tc>
      </w:tr>
      <w:tr w14:paraId="20514924">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123CD5C">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w:t>
            </w:r>
          </w:p>
        </w:tc>
        <w:tc>
          <w:tcPr>
            <w:tcW w:w="2492" w:type="dxa"/>
            <w:tcBorders>
              <w:top w:val="single" w:color="auto" w:sz="4" w:space="0"/>
              <w:left w:val="nil"/>
              <w:bottom w:val="single" w:color="auto" w:sz="4" w:space="0"/>
              <w:right w:val="single" w:color="auto" w:sz="4" w:space="0"/>
            </w:tcBorders>
            <w:vAlign w:val="center"/>
          </w:tcPr>
          <w:p w14:paraId="2A0BE738">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项目负责人（项目经理）</w:t>
            </w:r>
          </w:p>
        </w:tc>
        <w:tc>
          <w:tcPr>
            <w:tcW w:w="3950" w:type="dxa"/>
            <w:tcBorders>
              <w:top w:val="single" w:color="auto" w:sz="4" w:space="0"/>
              <w:left w:val="nil"/>
              <w:bottom w:val="single" w:color="auto" w:sz="4" w:space="0"/>
              <w:right w:val="single" w:color="auto" w:sz="4" w:space="0"/>
            </w:tcBorders>
            <w:vAlign w:val="center"/>
          </w:tcPr>
          <w:p w14:paraId="282492E0">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姓名：</w:t>
            </w:r>
          </w:p>
        </w:tc>
      </w:tr>
      <w:tr w14:paraId="5D773985">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67E1CDB">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w:t>
            </w:r>
          </w:p>
        </w:tc>
        <w:tc>
          <w:tcPr>
            <w:tcW w:w="2492" w:type="dxa"/>
            <w:tcBorders>
              <w:top w:val="single" w:color="auto" w:sz="4" w:space="0"/>
              <w:left w:val="nil"/>
              <w:bottom w:val="single" w:color="auto" w:sz="4" w:space="0"/>
              <w:right w:val="single" w:color="auto" w:sz="4" w:space="0"/>
            </w:tcBorders>
            <w:vAlign w:val="center"/>
          </w:tcPr>
          <w:p w14:paraId="34004E3F">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技术负责人</w:t>
            </w:r>
          </w:p>
        </w:tc>
        <w:tc>
          <w:tcPr>
            <w:tcW w:w="3950" w:type="dxa"/>
            <w:tcBorders>
              <w:top w:val="single" w:color="auto" w:sz="4" w:space="0"/>
              <w:left w:val="nil"/>
              <w:bottom w:val="single" w:color="auto" w:sz="4" w:space="0"/>
              <w:right w:val="single" w:color="auto" w:sz="4" w:space="0"/>
            </w:tcBorders>
            <w:vAlign w:val="center"/>
          </w:tcPr>
          <w:p w14:paraId="4A65519B">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姓名：</w:t>
            </w:r>
          </w:p>
        </w:tc>
      </w:tr>
      <w:tr w14:paraId="24AE9186">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4748017">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p>
        </w:tc>
        <w:tc>
          <w:tcPr>
            <w:tcW w:w="2492" w:type="dxa"/>
            <w:tcBorders>
              <w:top w:val="single" w:color="auto" w:sz="4" w:space="0"/>
              <w:left w:val="nil"/>
              <w:bottom w:val="single" w:color="auto" w:sz="4" w:space="0"/>
              <w:right w:val="single" w:color="auto" w:sz="4" w:space="0"/>
            </w:tcBorders>
            <w:vAlign w:val="center"/>
          </w:tcPr>
          <w:p w14:paraId="030BDD57">
            <w:pPr>
              <w:pStyle w:val="60"/>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工期</w:t>
            </w:r>
          </w:p>
        </w:tc>
        <w:tc>
          <w:tcPr>
            <w:tcW w:w="3950" w:type="dxa"/>
            <w:tcBorders>
              <w:top w:val="single" w:color="auto" w:sz="4" w:space="0"/>
              <w:left w:val="nil"/>
              <w:bottom w:val="single" w:color="auto" w:sz="4" w:space="0"/>
              <w:right w:val="single" w:color="auto" w:sz="4" w:space="0"/>
            </w:tcBorders>
            <w:vAlign w:val="center"/>
          </w:tcPr>
          <w:p w14:paraId="3DBF20BB">
            <w:pPr>
              <w:pStyle w:val="60"/>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3个月</w:t>
            </w:r>
          </w:p>
        </w:tc>
      </w:tr>
      <w:tr w14:paraId="3C4ABDA7">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2B336CA">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2492" w:type="dxa"/>
            <w:tcBorders>
              <w:top w:val="single" w:color="auto" w:sz="4" w:space="0"/>
              <w:left w:val="nil"/>
              <w:bottom w:val="single" w:color="auto" w:sz="4" w:space="0"/>
              <w:right w:val="single" w:color="auto" w:sz="4" w:space="0"/>
            </w:tcBorders>
            <w:vAlign w:val="center"/>
          </w:tcPr>
          <w:p w14:paraId="5C6979A8">
            <w:pPr>
              <w:pStyle w:val="60"/>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缺陷责任期</w:t>
            </w:r>
          </w:p>
        </w:tc>
        <w:tc>
          <w:tcPr>
            <w:tcW w:w="3950" w:type="dxa"/>
            <w:tcBorders>
              <w:top w:val="single" w:color="auto" w:sz="4" w:space="0"/>
              <w:left w:val="nil"/>
              <w:bottom w:val="single" w:color="auto" w:sz="4" w:space="0"/>
              <w:right w:val="single" w:color="auto" w:sz="4" w:space="0"/>
            </w:tcBorders>
            <w:vAlign w:val="center"/>
          </w:tcPr>
          <w:p w14:paraId="7B3C97DC">
            <w:pPr>
              <w:pStyle w:val="60"/>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12个月</w:t>
            </w:r>
          </w:p>
        </w:tc>
      </w:tr>
      <w:tr w14:paraId="4A08917F">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50CB6BA">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w:t>
            </w:r>
          </w:p>
        </w:tc>
        <w:tc>
          <w:tcPr>
            <w:tcW w:w="2492" w:type="dxa"/>
            <w:tcBorders>
              <w:top w:val="single" w:color="auto" w:sz="4" w:space="0"/>
              <w:left w:val="nil"/>
              <w:bottom w:val="single" w:color="auto" w:sz="4" w:space="0"/>
              <w:right w:val="single" w:color="auto" w:sz="4" w:space="0"/>
            </w:tcBorders>
            <w:vAlign w:val="center"/>
          </w:tcPr>
          <w:p w14:paraId="58136482">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分包</w:t>
            </w:r>
          </w:p>
        </w:tc>
        <w:tc>
          <w:tcPr>
            <w:tcW w:w="3950" w:type="dxa"/>
            <w:tcBorders>
              <w:top w:val="single" w:color="auto" w:sz="4" w:space="0"/>
              <w:left w:val="nil"/>
              <w:bottom w:val="single" w:color="auto" w:sz="4" w:space="0"/>
              <w:right w:val="single" w:color="auto" w:sz="4" w:space="0"/>
            </w:tcBorders>
            <w:vAlign w:val="center"/>
          </w:tcPr>
          <w:p w14:paraId="7CD4DB1A">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不允许</w:t>
            </w:r>
          </w:p>
        </w:tc>
      </w:tr>
      <w:tr w14:paraId="1EEA9DA2">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CFD049C">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6</w:t>
            </w:r>
          </w:p>
        </w:tc>
        <w:tc>
          <w:tcPr>
            <w:tcW w:w="2492" w:type="dxa"/>
            <w:tcBorders>
              <w:top w:val="single" w:color="auto" w:sz="4" w:space="0"/>
              <w:left w:val="nil"/>
              <w:bottom w:val="single" w:color="auto" w:sz="4" w:space="0"/>
              <w:right w:val="single" w:color="auto" w:sz="4" w:space="0"/>
            </w:tcBorders>
            <w:vAlign w:val="center"/>
          </w:tcPr>
          <w:p w14:paraId="22AE7ADB">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价格调整</w:t>
            </w:r>
          </w:p>
        </w:tc>
        <w:tc>
          <w:tcPr>
            <w:tcW w:w="3950" w:type="dxa"/>
            <w:tcBorders>
              <w:top w:val="single" w:color="auto" w:sz="4" w:space="0"/>
              <w:left w:val="nil"/>
              <w:bottom w:val="single" w:color="auto" w:sz="4" w:space="0"/>
              <w:right w:val="single" w:color="auto" w:sz="4" w:space="0"/>
            </w:tcBorders>
            <w:vAlign w:val="center"/>
          </w:tcPr>
          <w:p w14:paraId="7A656A1D">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见合同条款</w:t>
            </w:r>
          </w:p>
        </w:tc>
      </w:tr>
      <w:tr w14:paraId="2E249BF8">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B16C6C3">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7</w:t>
            </w:r>
          </w:p>
        </w:tc>
        <w:tc>
          <w:tcPr>
            <w:tcW w:w="2492" w:type="dxa"/>
            <w:tcBorders>
              <w:top w:val="single" w:color="auto" w:sz="4" w:space="0"/>
              <w:left w:val="nil"/>
              <w:bottom w:val="single" w:color="auto" w:sz="4" w:space="0"/>
              <w:right w:val="single" w:color="auto" w:sz="4" w:space="0"/>
            </w:tcBorders>
            <w:vAlign w:val="center"/>
          </w:tcPr>
          <w:p w14:paraId="47402DAC">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履约保证金</w:t>
            </w:r>
          </w:p>
        </w:tc>
        <w:tc>
          <w:tcPr>
            <w:tcW w:w="3950" w:type="dxa"/>
            <w:tcBorders>
              <w:top w:val="single" w:color="auto" w:sz="4" w:space="0"/>
              <w:left w:val="nil"/>
              <w:bottom w:val="single" w:color="auto" w:sz="4" w:space="0"/>
              <w:right w:val="single" w:color="auto" w:sz="4" w:space="0"/>
            </w:tcBorders>
            <w:vAlign w:val="center"/>
          </w:tcPr>
          <w:p w14:paraId="2C49039F">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本项目不收取履约保证金</w:t>
            </w:r>
          </w:p>
        </w:tc>
      </w:tr>
      <w:tr w14:paraId="43379A72">
        <w:tblPrEx>
          <w:tblCellMar>
            <w:top w:w="0" w:type="dxa"/>
            <w:left w:w="108" w:type="dxa"/>
            <w:bottom w:w="0" w:type="dxa"/>
            <w:right w:w="108" w:type="dxa"/>
          </w:tblCellMar>
        </w:tblPrEx>
        <w:trPr>
          <w:trHeight w:val="238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3C83DB8">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8</w:t>
            </w:r>
          </w:p>
        </w:tc>
        <w:tc>
          <w:tcPr>
            <w:tcW w:w="2492" w:type="dxa"/>
            <w:tcBorders>
              <w:top w:val="single" w:color="auto" w:sz="4" w:space="0"/>
              <w:left w:val="nil"/>
              <w:bottom w:val="single" w:color="auto" w:sz="4" w:space="0"/>
              <w:right w:val="single" w:color="auto" w:sz="4" w:space="0"/>
            </w:tcBorders>
            <w:vAlign w:val="center"/>
          </w:tcPr>
          <w:p w14:paraId="52BC0028">
            <w:pPr>
              <w:pStyle w:val="6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付款方式</w:t>
            </w:r>
          </w:p>
        </w:tc>
        <w:tc>
          <w:tcPr>
            <w:tcW w:w="3950" w:type="dxa"/>
            <w:tcBorders>
              <w:top w:val="single" w:color="auto" w:sz="4" w:space="0"/>
              <w:left w:val="nil"/>
              <w:bottom w:val="single" w:color="auto" w:sz="4" w:space="0"/>
              <w:right w:val="single" w:color="auto" w:sz="4" w:space="0"/>
            </w:tcBorders>
            <w:vAlign w:val="center"/>
          </w:tcPr>
          <w:p w14:paraId="310D3696">
            <w:pPr>
              <w:pStyle w:val="179"/>
              <w:jc w:val="left"/>
              <w:outlineLvl w:val="9"/>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color w:val="FF0000"/>
                <w:sz w:val="22"/>
                <w:szCs w:val="22"/>
              </w:rPr>
              <w:t>预付款）成交供应商与采购人签订合同后，达到付款条件起15日内，支付合同总金额的30.00%</w:t>
            </w:r>
            <w:r>
              <w:rPr>
                <w:rFonts w:hint="eastAsia" w:asciiTheme="minorEastAsia" w:hAnsiTheme="minorEastAsia" w:eastAsiaTheme="minorEastAsia" w:cstheme="minorEastAsia"/>
                <w:color w:val="FF0000"/>
                <w:sz w:val="22"/>
                <w:szCs w:val="22"/>
                <w:lang w:eastAsia="zh-CN"/>
              </w:rPr>
              <w:t>；</w:t>
            </w:r>
            <w:r>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t>经采购人验收合格后10个工作日内支付至结算金额的97%；剩余3%作为质保金，待工程质量缺陷责任期满后，供应商向采购人申请返还质量保证金</w:t>
            </w:r>
            <w:r>
              <w:rPr>
                <w:rFonts w:hint="eastAsia" w:asciiTheme="minorEastAsia" w:hAnsiTheme="minorEastAsia" w:eastAsiaTheme="minorEastAsia" w:cstheme="minorEastAsia"/>
                <w:b w:val="0"/>
                <w:bCs w:val="0"/>
                <w:color w:val="000000" w:themeColor="text1"/>
                <w:kern w:val="0"/>
                <w:sz w:val="22"/>
                <w:szCs w:val="22"/>
                <w:highlight w:val="none"/>
                <w:lang w:val="en-US" w:eastAsia="zh-CN" w:bidi="ar"/>
                <w14:textFill>
                  <w14:solidFill>
                    <w14:schemeClr w14:val="tx1"/>
                  </w14:solidFill>
                </w14:textFill>
              </w:rPr>
              <w:t>。</w:t>
            </w:r>
          </w:p>
          <w:p w14:paraId="73807A75">
            <w:pPr>
              <w:pStyle w:val="60"/>
              <w:rPr>
                <w:rFonts w:hint="eastAsia" w:ascii="黑体" w:hAnsi="黑体" w:eastAsia="黑体" w:cs="黑体"/>
                <w:sz w:val="24"/>
                <w:szCs w:val="24"/>
                <w:lang w:val="en-US" w:eastAsia="zh-CN"/>
              </w:rPr>
            </w:pPr>
          </w:p>
        </w:tc>
      </w:tr>
    </w:tbl>
    <w:p w14:paraId="40E7C40A">
      <w:pPr>
        <w:rPr>
          <w:rFonts w:hint="eastAsia" w:ascii="宋体" w:hAnsi="宋体" w:eastAsia="宋体" w:cs="宋体"/>
          <w:sz w:val="24"/>
          <w:szCs w:val="24"/>
        </w:rPr>
      </w:pPr>
    </w:p>
    <w:p w14:paraId="0BEB9434">
      <w:pPr>
        <w:rPr>
          <w:rFonts w:hint="eastAsia" w:ascii="宋体" w:hAnsi="宋体" w:eastAsia="宋体" w:cs="宋体"/>
          <w:sz w:val="24"/>
          <w:szCs w:val="24"/>
        </w:rPr>
      </w:pPr>
    </w:p>
    <w:p w14:paraId="4E80B713">
      <w:pPr>
        <w:pStyle w:val="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漏项工程处理：施工过程中，发现工程量清单存在漏项工程的，该漏项工程作为本项目本章采购需求的组成部分，采购人和供应商可以按照《中华人民共和国政府采购法》的规定签订不超过成交金额百分之十的补充合同。</w:t>
      </w:r>
    </w:p>
    <w:p w14:paraId="3D6FDB35">
      <w:pPr>
        <w:pStyle w:val="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供应商针对本项目的施工，必须达到国家及行业现行技术规范标准，符合国家及行业验收合格标准。</w:t>
      </w:r>
    </w:p>
    <w:p w14:paraId="48BDB706">
      <w:pPr>
        <w:pStyle w:val="60"/>
        <w:rPr>
          <w:rFonts w:hint="eastAsia" w:ascii="宋体" w:hAnsi="宋体" w:eastAsia="宋体" w:cs="宋体"/>
          <w:sz w:val="24"/>
          <w:szCs w:val="24"/>
          <w:lang w:val="en-US" w:eastAsia="zh-CN"/>
        </w:rPr>
      </w:pPr>
    </w:p>
    <w:p w14:paraId="2EB8F1D7">
      <w:pPr>
        <w:pStyle w:val="2"/>
        <w:numPr>
          <w:ilvl w:val="0"/>
          <w:numId w:val="0"/>
        </w:numPr>
        <w:ind w:left="630" w:leftChars="0"/>
        <w:jc w:val="left"/>
        <w:rPr>
          <w:rFonts w:hint="eastAsia" w:ascii="宋体" w:hAnsi="宋体" w:eastAsia="宋体" w:cs="宋体"/>
          <w:b/>
          <w:bCs/>
          <w:kern w:val="2"/>
          <w:sz w:val="24"/>
          <w:szCs w:val="24"/>
          <w:lang w:val="en-US" w:eastAsia="zh-CN" w:bidi="ar-SA"/>
        </w:rPr>
      </w:pPr>
    </w:p>
    <w:p w14:paraId="46330F03">
      <w:pPr>
        <w:pStyle w:val="2"/>
        <w:numPr>
          <w:ilvl w:val="0"/>
          <w:numId w:val="0"/>
        </w:numPr>
        <w:jc w:val="left"/>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、施工技术要求</w:t>
      </w:r>
    </w:p>
    <w:p w14:paraId="32069BC3">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按采购单位相关要求进行施工，及时到达施工现场，完成指定的搬运、清理及卫生清扫任务，并将建渣及建筑垃圾清运到指定地点，成交人承担与施工相关的安全及文明施工等责任，施工应符合国家现行工程施工验收标准和相关规范，并验收合格。</w:t>
      </w:r>
    </w:p>
    <w:p w14:paraId="79B8E32F">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（1）施工方需加强施工管理，提高技术水平，确保工程质量，安全施工，节约材料，提高经济效益。</w:t>
      </w:r>
    </w:p>
    <w:p w14:paraId="76800A41">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（2）施工需用所有工程机械、备品备件由成交人提供。</w:t>
      </w:r>
    </w:p>
    <w:p w14:paraId="4E348438">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（3）所有施工用材料、工程的质量及技术标准等必须符合国家相关行业标准、规范。</w:t>
      </w:r>
    </w:p>
    <w:p w14:paraId="4C9242DC">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（4）本工程所有的原材料、成品、半成品和设备均应符合设计和规范要求，并按相关规定规范执行。</w:t>
      </w:r>
    </w:p>
    <w:p w14:paraId="38B2733E">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（5）按采购人要求规范标准操作，不得随意变更。</w:t>
      </w:r>
    </w:p>
    <w:p w14:paraId="4DD2FFB5">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1.2文明施工、环保要求</w:t>
      </w:r>
    </w:p>
    <w:p w14:paraId="2DC2382D">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（1）在施工现场周围做好维护结构，尽量减小对周围环境的影响，降低事故隐患，做到文明施工。</w:t>
      </w:r>
    </w:p>
    <w:p w14:paraId="0310AC76">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（2）施工车辆运输，必须有保护员统一指挥，装卸堆放整齐，严禁乱堆、乱放。</w:t>
      </w:r>
    </w:p>
    <w:p w14:paraId="710463DB">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（3）路段保护所有清除的废土用加遮盖物的运输车运至指定弃土场，沿线不得将任何废土倒至其路旁和其它不允许的地方。</w:t>
      </w:r>
    </w:p>
    <w:p w14:paraId="2D5CD461">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（4）废弃物场应规整，禁止随意堆砌，保证不造成任何水土流失和杜绝污染自然环境事件的发生。</w:t>
      </w:r>
    </w:p>
    <w:p w14:paraId="27E1D04B">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1.3</w:t>
      </w:r>
      <w:r>
        <w:rPr>
          <w:rFonts w:hint="eastAsia" w:ascii="宋体" w:hAnsi="宋体" w:eastAsia="宋体" w:cs="宋体"/>
          <w:sz w:val="24"/>
          <w:szCs w:val="24"/>
          <w:lang w:val="en-US" w:eastAsia="zh-CN"/>
        </w:rPr>
        <w:t>其他要求</w:t>
      </w:r>
    </w:p>
    <w:p w14:paraId="6A506125">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（1）所提供的所有货物和服务符合国家现行有关质量标准或者优于国家现行相关行业技术规范（或标准）及国家强制性标准；</w:t>
      </w:r>
    </w:p>
    <w:p w14:paraId="7B3C3691">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（2）建设施工过程中所有产品供应商不得以次充好；产品来源渠道必须合法，同时应根据国家有关规定、厂家服务承诺及采购单位的要求做好服务工作。</w:t>
      </w:r>
    </w:p>
    <w:p w14:paraId="5CC8FEB8">
      <w:pPr>
        <w:widowControl/>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（3）工程质量要求：按工程量清单和相关要求进行施工、竣工和保修服务，工程质量应当达到或优于现行国家行业规范（或行业标准）要求。</w:t>
      </w:r>
    </w:p>
    <w:p w14:paraId="2E6EE791">
      <w:pPr>
        <w:widowControl/>
        <w:numPr>
          <w:ilvl w:val="0"/>
          <w:numId w:val="0"/>
        </w:numPr>
        <w:spacing w:line="360" w:lineRule="auto"/>
        <w:jc w:val="left"/>
        <w:rPr>
          <w:rFonts w:hint="eastAsia" w:ascii="宋体" w:hAnsi="宋体" w:eastAsia="宋体" w:cs="宋体"/>
          <w:sz w:val="24"/>
          <w:szCs w:val="24"/>
          <w:lang w:val="en-US" w:eastAsia="zh-CN"/>
        </w:rPr>
      </w:pPr>
    </w:p>
    <w:p w14:paraId="377C0BAF">
      <w:pPr>
        <w:pStyle w:val="5"/>
        <w:keepNext w:val="0"/>
        <w:keepLines w:val="0"/>
        <w:numPr>
          <w:ilvl w:val="0"/>
          <w:numId w:val="6"/>
        </w:numPr>
        <w:spacing w:before="0" w:after="0"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商务要求</w:t>
      </w:r>
    </w:p>
    <w:p w14:paraId="0E3071CB">
      <w:pPr>
        <w:pStyle w:val="5"/>
        <w:keepNext w:val="0"/>
        <w:keepLines w:val="0"/>
        <w:pageBreakBefore w:val="0"/>
        <w:widowControl w:val="0"/>
        <w:numPr>
          <w:ilvl w:val="0"/>
          <w:numId w:val="0"/>
        </w:numPr>
        <w:kinsoku/>
        <w:wordWrap/>
        <w:overflowPunct/>
        <w:topLinePunct w:val="0"/>
        <w:autoSpaceDE/>
        <w:autoSpaceDN/>
        <w:bidi w:val="0"/>
        <w:adjustRightInd/>
        <w:spacing w:before="0" w:after="0" w:line="360" w:lineRule="auto"/>
        <w:ind w:firstLine="482"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1、施工时间：</w:t>
      </w:r>
      <w:r>
        <w:rPr>
          <w:rFonts w:hint="eastAsia" w:ascii="宋体" w:hAnsi="宋体" w:eastAsia="宋体" w:cs="宋体"/>
          <w:b w:val="0"/>
          <w:bCs w:val="0"/>
          <w:color w:val="auto"/>
          <w:kern w:val="0"/>
          <w:sz w:val="24"/>
          <w:szCs w:val="24"/>
          <w:lang w:val="en-US" w:eastAsia="zh-CN" w:bidi="ar"/>
        </w:rPr>
        <w:t>签订施工合同后 7 日内必须进场施工。</w:t>
      </w:r>
    </w:p>
    <w:p w14:paraId="4CBCBAD5">
      <w:pPr>
        <w:pStyle w:val="5"/>
        <w:keepNext w:val="0"/>
        <w:keepLines w:val="0"/>
        <w:pageBreakBefore w:val="0"/>
        <w:widowControl w:val="0"/>
        <w:kinsoku/>
        <w:wordWrap/>
        <w:overflowPunct/>
        <w:topLinePunct w:val="0"/>
        <w:autoSpaceDE/>
        <w:autoSpaceDN/>
        <w:bidi w:val="0"/>
        <w:adjustRightInd/>
        <w:spacing w:before="0" w:after="0" w:line="360" w:lineRule="auto"/>
        <w:ind w:firstLine="482" w:firstLineChars="200"/>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kern w:val="0"/>
          <w:sz w:val="24"/>
          <w:szCs w:val="24"/>
          <w:lang w:val="en-US" w:eastAsia="zh-CN" w:bidi="ar"/>
        </w:rPr>
        <w:t>2、</w:t>
      </w:r>
      <w:r>
        <w:rPr>
          <w:rFonts w:hint="eastAsia" w:ascii="宋体" w:hAnsi="宋体" w:eastAsia="宋体" w:cs="宋体"/>
          <w:b/>
          <w:bCs/>
          <w:color w:val="auto"/>
          <w:kern w:val="0"/>
          <w:sz w:val="24"/>
          <w:szCs w:val="24"/>
          <w:lang w:val="en-US" w:eastAsia="zh-CN" w:bidi="ar"/>
        </w:rPr>
        <w:t>施工</w:t>
      </w:r>
      <w:r>
        <w:rPr>
          <w:rFonts w:hint="eastAsia" w:ascii="宋体" w:hAnsi="宋体" w:eastAsia="宋体" w:cs="宋体"/>
          <w:b/>
          <w:bCs/>
          <w:color w:val="000000"/>
          <w:kern w:val="0"/>
          <w:sz w:val="24"/>
          <w:szCs w:val="24"/>
          <w:lang w:val="en-US" w:eastAsia="zh-CN" w:bidi="ar"/>
        </w:rPr>
        <w:t>工期：3个月</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 xml:space="preserve">。 </w:t>
      </w:r>
    </w:p>
    <w:p w14:paraId="09B711D5">
      <w:pPr>
        <w:keepNext w:val="0"/>
        <w:keepLines w:val="0"/>
        <w:pageBreakBefore w:val="0"/>
        <w:widowControl w:val="0"/>
        <w:kinsoku/>
        <w:wordWrap/>
        <w:overflowPunct/>
        <w:topLinePunct w:val="0"/>
        <w:autoSpaceDE/>
        <w:autoSpaceDN/>
        <w:bidi w:val="0"/>
        <w:adjustRightInd/>
        <w:spacing w:line="360" w:lineRule="auto"/>
        <w:textAlignment w:val="auto"/>
        <w:rPr>
          <w:rFonts w:hint="default"/>
          <w:color w:val="000000" w:themeColor="text1"/>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bCs/>
          <w:color w:val="000000" w:themeColor="text1"/>
          <w:kern w:val="0"/>
          <w:sz w:val="24"/>
          <w:szCs w:val="24"/>
          <w:lang w:val="en-US" w:eastAsia="zh-CN" w:bidi="ar"/>
          <w14:textFill>
            <w14:solidFill>
              <w14:schemeClr w14:val="tx1"/>
            </w14:solidFill>
          </w14:textFill>
        </w:rPr>
        <w:t xml:space="preserve"> 3、施工地点：</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采购人指定地点。</w:t>
      </w:r>
    </w:p>
    <w:p w14:paraId="278BED01">
      <w:pPr>
        <w:pStyle w:val="5"/>
        <w:keepNext w:val="0"/>
        <w:keepLines w:val="0"/>
        <w:pageBreakBefore w:val="0"/>
        <w:widowControl w:val="0"/>
        <w:kinsoku/>
        <w:wordWrap/>
        <w:overflowPunct/>
        <w:topLinePunct w:val="0"/>
        <w:autoSpaceDE/>
        <w:autoSpaceDN/>
        <w:bidi w:val="0"/>
        <w:adjustRightInd/>
        <w:spacing w:before="0" w:after="0" w:line="360" w:lineRule="auto"/>
        <w:ind w:firstLine="482" w:firstLineChars="200"/>
        <w:jc w:val="left"/>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4、付款方式</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color w:val="FF0000"/>
          <w:sz w:val="22"/>
          <w:szCs w:val="22"/>
        </w:rPr>
        <w:t>预付款）成交供应商与采购人签订合同后，达到付款条件起15日内，支付合同总金额的30.00%</w:t>
      </w:r>
      <w:r>
        <w:rPr>
          <w:rFonts w:hint="eastAsia" w:asciiTheme="minorEastAsia" w:hAnsiTheme="minorEastAsia" w:eastAsiaTheme="minorEastAsia" w:cstheme="minorEastAsia"/>
          <w:color w:val="FF0000"/>
          <w:sz w:val="22"/>
          <w:szCs w:val="22"/>
          <w:lang w:eastAsia="zh-CN"/>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经采购人</w:t>
      </w:r>
      <w:r>
        <w:rPr>
          <w:rFonts w:hint="default" w:ascii="宋体" w:hAnsi="宋体" w:eastAsia="宋体" w:cs="宋体"/>
          <w:b w:val="0"/>
          <w:bCs w:val="0"/>
          <w:color w:val="000000" w:themeColor="text1"/>
          <w:sz w:val="24"/>
          <w:szCs w:val="24"/>
          <w:lang w:val="en-US" w:eastAsia="zh-CN"/>
          <w14:textFill>
            <w14:solidFill>
              <w14:schemeClr w14:val="tx1"/>
            </w14:solidFill>
          </w14:textFill>
        </w:rPr>
        <w:t>验收合格后10</w:t>
      </w:r>
      <w:r>
        <w:rPr>
          <w:rFonts w:hint="eastAsia" w:ascii="宋体" w:hAnsi="宋体" w:eastAsia="宋体" w:cs="宋体"/>
          <w:b w:val="0"/>
          <w:bCs w:val="0"/>
          <w:color w:val="000000" w:themeColor="text1"/>
          <w:sz w:val="24"/>
          <w:szCs w:val="24"/>
          <w:lang w:val="en-US" w:eastAsia="zh-CN"/>
          <w14:textFill>
            <w14:solidFill>
              <w14:schemeClr w14:val="tx1"/>
            </w14:solidFill>
          </w14:textFill>
        </w:rPr>
        <w:t>个工作</w:t>
      </w:r>
      <w:r>
        <w:rPr>
          <w:rFonts w:hint="default" w:ascii="宋体" w:hAnsi="宋体" w:eastAsia="宋体" w:cs="宋体"/>
          <w:b w:val="0"/>
          <w:bCs w:val="0"/>
          <w:color w:val="000000" w:themeColor="text1"/>
          <w:sz w:val="24"/>
          <w:szCs w:val="24"/>
          <w:lang w:val="en-US" w:eastAsia="zh-CN"/>
          <w14:textFill>
            <w14:solidFill>
              <w14:schemeClr w14:val="tx1"/>
            </w14:solidFill>
          </w14:textFill>
        </w:rPr>
        <w:t>日内支付至结算金额的97%；剩余3%作为质保金</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default" w:ascii="宋体" w:hAnsi="宋体" w:eastAsia="宋体" w:cs="宋体"/>
          <w:b w:val="0"/>
          <w:bCs w:val="0"/>
          <w:color w:val="000000" w:themeColor="text1"/>
          <w:sz w:val="24"/>
          <w:szCs w:val="24"/>
          <w:lang w:val="en-US" w:eastAsia="zh-CN"/>
          <w14:textFill>
            <w14:solidFill>
              <w14:schemeClr w14:val="tx1"/>
            </w14:solidFill>
          </w14:textFill>
        </w:rPr>
        <w:t>待工程质量缺陷责任期满后，供应商向采购人申请返还质量保证金</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w:t>
      </w:r>
    </w:p>
    <w:p w14:paraId="1B072870">
      <w:pPr>
        <w:pStyle w:val="5"/>
        <w:keepNext w:val="0"/>
        <w:keepLines w:val="0"/>
        <w:pageBreakBefore w:val="0"/>
        <w:widowControl w:val="0"/>
        <w:kinsoku/>
        <w:wordWrap/>
        <w:overflowPunct/>
        <w:topLinePunct w:val="0"/>
        <w:autoSpaceDE/>
        <w:autoSpaceDN/>
        <w:bidi w:val="0"/>
        <w:adjustRightInd/>
        <w:spacing w:before="0" w:after="0" w:line="360" w:lineRule="auto"/>
        <w:ind w:firstLine="590" w:firstLineChars="245"/>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kern w:val="0"/>
          <w:sz w:val="24"/>
          <w:szCs w:val="24"/>
          <w:lang w:val="en-US" w:eastAsia="zh-CN" w:bidi="ar"/>
        </w:rPr>
        <w:t>5、缺陷责任期：</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 xml:space="preserve">12个月。 </w:t>
      </w:r>
    </w:p>
    <w:p w14:paraId="6F231EB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、验收标准：</w:t>
      </w:r>
      <w:r>
        <w:rPr>
          <w:rFonts w:hint="eastAsia" w:ascii="宋体"/>
          <w:sz w:val="24"/>
          <w:highlight w:val="none"/>
          <w:lang w:val="en-US" w:eastAsia="zh-CN"/>
        </w:rPr>
        <w:t>采购人</w:t>
      </w:r>
      <w:r>
        <w:rPr>
          <w:rFonts w:hint="eastAsia" w:ascii="宋体"/>
          <w:sz w:val="24"/>
          <w:highlight w:val="none"/>
        </w:rPr>
        <w:t>严格按照《财政部关于进一步加强政府采购需求和履约验收管理的指导意见》(财库〔2016〕205 号)、</w:t>
      </w:r>
      <w:r>
        <w:rPr>
          <w:rFonts w:hint="eastAsia" w:ascii="宋体" w:hAnsi="宋体" w:cs="宋体"/>
          <w:sz w:val="24"/>
          <w:highlight w:val="none"/>
        </w:rPr>
        <w:t>《政府采购需求管理办法》（财库〔2021〕22号）</w:t>
      </w:r>
      <w:r>
        <w:rPr>
          <w:rFonts w:hint="eastAsia" w:ascii="宋体"/>
          <w:sz w:val="24"/>
          <w:highlight w:val="none"/>
        </w:rPr>
        <w:t>的要求，</w:t>
      </w:r>
      <w:r>
        <w:rPr>
          <w:rFonts w:hint="eastAsia" w:ascii="宋体"/>
          <w:sz w:val="24"/>
          <w:highlight w:val="none"/>
          <w:lang w:val="zh-CN"/>
        </w:rPr>
        <w:t>根据招标文件、投标文件及</w:t>
      </w:r>
      <w:r>
        <w:rPr>
          <w:rFonts w:hint="eastAsia" w:ascii="宋体" w:hAnsi="宋体" w:cs="宋体"/>
          <w:spacing w:val="-5"/>
          <w:sz w:val="24"/>
          <w:highlight w:val="none"/>
        </w:rPr>
        <w:t>国家现行标准和规范由</w:t>
      </w:r>
      <w:r>
        <w:rPr>
          <w:rFonts w:hint="eastAsia" w:ascii="宋体" w:hAnsi="宋体" w:cs="宋体"/>
          <w:spacing w:val="-5"/>
          <w:sz w:val="24"/>
          <w:highlight w:val="none"/>
          <w:lang w:val="en-US" w:eastAsia="zh-CN"/>
        </w:rPr>
        <w:t>采购人自行</w:t>
      </w:r>
      <w:r>
        <w:rPr>
          <w:rFonts w:hint="eastAsia" w:ascii="宋体" w:hAnsi="宋体" w:cs="宋体"/>
          <w:spacing w:val="-5"/>
          <w:sz w:val="24"/>
          <w:highlight w:val="none"/>
        </w:rPr>
        <w:t>组织验收。</w:t>
      </w:r>
      <w:r>
        <w:rPr>
          <w:rFonts w:ascii="宋体" w:hAnsi="宋体" w:cs="宋体"/>
          <w:sz w:val="24"/>
          <w:highlight w:val="none"/>
        </w:rPr>
        <w:t xml:space="preserve"> </w:t>
      </w:r>
    </w:p>
    <w:p w14:paraId="12C0CCA1">
      <w:pPr>
        <w:pStyle w:val="5"/>
        <w:keepNext w:val="0"/>
        <w:keepLines w:val="0"/>
        <w:pageBreakBefore w:val="0"/>
        <w:widowControl w:val="0"/>
        <w:kinsoku/>
        <w:wordWrap/>
        <w:overflowPunct/>
        <w:topLinePunct w:val="0"/>
        <w:autoSpaceDE/>
        <w:autoSpaceDN/>
        <w:bidi w:val="0"/>
        <w:adjustRightInd/>
        <w:spacing w:before="0" w:after="0" w:line="360" w:lineRule="auto"/>
        <w:ind w:firstLine="588" w:firstLineChars="245"/>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7、其他未尽事宜由采购人和成交供应商在采购合同中进行约定。</w:t>
      </w:r>
    </w:p>
    <w:p w14:paraId="46049E98">
      <w:pPr>
        <w:pStyle w:val="5"/>
        <w:keepNext w:val="0"/>
        <w:keepLines w:val="0"/>
        <w:spacing w:before="0" w:after="0" w:line="360" w:lineRule="auto"/>
        <w:ind w:firstLine="588" w:firstLineChars="245"/>
        <w:jc w:val="center"/>
        <w:rPr>
          <w:rFonts w:hint="eastAsia" w:ascii="宋体" w:hAnsi="宋体" w:eastAsia="宋体" w:cs="宋体"/>
          <w:b/>
          <w:bCs/>
          <w:kern w:val="2"/>
          <w:sz w:val="24"/>
          <w:szCs w:val="24"/>
          <w:lang w:val="en-US" w:eastAsia="zh-CN" w:bidi="ar-SA"/>
        </w:rPr>
      </w:pPr>
      <w:r>
        <w:rPr>
          <w:rFonts w:hint="eastAsia" w:ascii="宋体" w:hAnsi="宋体" w:eastAsia="宋体" w:cs="宋体"/>
          <w:b w:val="0"/>
          <w:bCs w:val="0"/>
          <w:color w:val="000000"/>
          <w:kern w:val="0"/>
          <w:sz w:val="24"/>
          <w:szCs w:val="24"/>
          <w:lang w:val="en-US" w:eastAsia="zh-CN" w:bidi="ar"/>
        </w:rPr>
        <w:br w:type="page"/>
      </w:r>
      <w:bookmarkEnd w:id="70"/>
      <w:bookmarkEnd w:id="71"/>
      <w:bookmarkEnd w:id="72"/>
      <w:bookmarkEnd w:id="73"/>
      <w:bookmarkEnd w:id="74"/>
      <w:bookmarkStart w:id="84" w:name="_Toc509579145"/>
      <w:bookmarkStart w:id="85" w:name="_Toc41037907"/>
      <w:bookmarkStart w:id="86" w:name="_Toc183582232"/>
      <w:bookmarkStart w:id="87" w:name="_Toc217446057"/>
      <w:bookmarkStart w:id="88" w:name="_Toc183682369"/>
      <w:r>
        <w:rPr>
          <w:rFonts w:hint="eastAsia" w:ascii="宋体" w:hAnsi="宋体" w:eastAsia="宋体" w:cs="宋体"/>
          <w:sz w:val="24"/>
          <w:szCs w:val="24"/>
          <w:lang w:val="en-US" w:eastAsia="zh-CN"/>
        </w:rPr>
        <w:t xml:space="preserve"> </w:t>
      </w:r>
      <w:r>
        <w:rPr>
          <w:rFonts w:hint="eastAsia" w:ascii="宋体" w:hAnsi="宋体" w:eastAsia="宋体" w:cs="宋体"/>
          <w:b/>
          <w:bCs/>
          <w:kern w:val="2"/>
          <w:sz w:val="36"/>
          <w:szCs w:val="36"/>
          <w:lang w:val="en-US" w:eastAsia="zh-CN" w:bidi="ar-SA"/>
        </w:rPr>
        <w:t>第六章    谈判内容、谈判过程中可实质性变动的内容</w:t>
      </w:r>
      <w:bookmarkEnd w:id="84"/>
      <w:bookmarkEnd w:id="85"/>
    </w:p>
    <w:p w14:paraId="13BCAED7">
      <w:pPr>
        <w:tabs>
          <w:tab w:val="left" w:pos="7665"/>
        </w:tabs>
        <w:spacing w:line="360" w:lineRule="auto"/>
        <w:ind w:firstLine="480"/>
        <w:rPr>
          <w:rFonts w:hint="eastAsia" w:ascii="宋体" w:hAnsi="宋体" w:eastAsia="宋体" w:cs="宋体"/>
          <w:sz w:val="24"/>
          <w:szCs w:val="24"/>
        </w:rPr>
      </w:pPr>
    </w:p>
    <w:p w14:paraId="246EA65E">
      <w:pPr>
        <w:tabs>
          <w:tab w:val="left" w:pos="7665"/>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针对第五章、第九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14:paraId="2CA73539">
      <w:pPr>
        <w:tabs>
          <w:tab w:val="left" w:pos="7665"/>
        </w:tabs>
        <w:spacing w:line="360" w:lineRule="auto"/>
        <w:ind w:firstLine="480"/>
        <w:rPr>
          <w:rFonts w:hint="eastAsia" w:ascii="宋体" w:hAnsi="宋体" w:eastAsia="宋体" w:cs="宋体"/>
          <w:sz w:val="24"/>
          <w:szCs w:val="24"/>
        </w:rPr>
      </w:pPr>
    </w:p>
    <w:p w14:paraId="51C1526B">
      <w:pPr>
        <w:tabs>
          <w:tab w:val="left" w:pos="7665"/>
        </w:tabs>
        <w:spacing w:line="360" w:lineRule="auto"/>
        <w:ind w:firstLine="480"/>
        <w:rPr>
          <w:rFonts w:hint="eastAsia" w:ascii="宋体" w:hAnsi="宋体" w:eastAsia="宋体" w:cs="宋体"/>
          <w:sz w:val="24"/>
          <w:szCs w:val="24"/>
        </w:rPr>
      </w:pPr>
    </w:p>
    <w:p w14:paraId="1DFF8CF9">
      <w:pPr>
        <w:tabs>
          <w:tab w:val="left" w:pos="7665"/>
        </w:tabs>
        <w:spacing w:line="360" w:lineRule="auto"/>
        <w:ind w:firstLine="480"/>
        <w:rPr>
          <w:rFonts w:hint="eastAsia" w:ascii="宋体" w:hAnsi="宋体" w:eastAsia="宋体" w:cs="宋体"/>
          <w:sz w:val="24"/>
          <w:szCs w:val="24"/>
        </w:rPr>
      </w:pPr>
    </w:p>
    <w:p w14:paraId="4C6A92E6">
      <w:pPr>
        <w:tabs>
          <w:tab w:val="left" w:pos="7665"/>
        </w:tabs>
        <w:spacing w:line="360" w:lineRule="auto"/>
        <w:ind w:firstLine="480"/>
        <w:jc w:val="center"/>
        <w:rPr>
          <w:rFonts w:hint="eastAsia" w:ascii="宋体" w:hAnsi="宋体" w:eastAsia="宋体" w:cs="宋体"/>
          <w:b/>
          <w:bCs/>
          <w:sz w:val="24"/>
          <w:szCs w:val="24"/>
        </w:rPr>
      </w:pPr>
    </w:p>
    <w:p w14:paraId="59F1B15C">
      <w:pPr>
        <w:tabs>
          <w:tab w:val="left" w:pos="7665"/>
        </w:tabs>
        <w:spacing w:line="360" w:lineRule="auto"/>
        <w:ind w:firstLine="480"/>
        <w:jc w:val="center"/>
        <w:rPr>
          <w:rFonts w:hint="eastAsia" w:ascii="宋体" w:hAnsi="宋体" w:eastAsia="宋体" w:cs="宋体"/>
          <w:b/>
          <w:bCs/>
          <w:sz w:val="24"/>
          <w:szCs w:val="24"/>
        </w:rPr>
      </w:pPr>
    </w:p>
    <w:p w14:paraId="1831780C">
      <w:pPr>
        <w:tabs>
          <w:tab w:val="left" w:pos="7665"/>
        </w:tabs>
        <w:spacing w:line="360" w:lineRule="auto"/>
        <w:ind w:firstLine="480"/>
        <w:jc w:val="center"/>
        <w:rPr>
          <w:rFonts w:hint="eastAsia" w:ascii="宋体" w:hAnsi="宋体" w:eastAsia="宋体" w:cs="宋体"/>
          <w:b/>
          <w:bCs/>
          <w:sz w:val="24"/>
          <w:szCs w:val="24"/>
        </w:rPr>
      </w:pPr>
    </w:p>
    <w:p w14:paraId="0AF6B57B">
      <w:pPr>
        <w:tabs>
          <w:tab w:val="left" w:pos="7665"/>
        </w:tabs>
        <w:spacing w:line="360" w:lineRule="auto"/>
        <w:ind w:firstLine="480"/>
        <w:rPr>
          <w:rFonts w:hint="eastAsia" w:ascii="宋体" w:hAnsi="宋体" w:eastAsia="宋体" w:cs="宋体"/>
          <w:sz w:val="24"/>
          <w:szCs w:val="24"/>
        </w:rPr>
      </w:pPr>
    </w:p>
    <w:p w14:paraId="1987D752">
      <w:pPr>
        <w:tabs>
          <w:tab w:val="left" w:pos="7665"/>
        </w:tabs>
        <w:spacing w:line="360" w:lineRule="auto"/>
        <w:ind w:firstLine="480"/>
        <w:rPr>
          <w:rFonts w:hint="eastAsia" w:ascii="宋体" w:hAnsi="宋体" w:eastAsia="宋体" w:cs="宋体"/>
          <w:b/>
          <w:bCs/>
          <w:sz w:val="24"/>
          <w:szCs w:val="24"/>
        </w:rPr>
      </w:pPr>
    </w:p>
    <w:p w14:paraId="349BC777">
      <w:pPr>
        <w:tabs>
          <w:tab w:val="left" w:pos="7665"/>
        </w:tabs>
        <w:spacing w:line="360" w:lineRule="auto"/>
        <w:ind w:firstLine="480"/>
        <w:rPr>
          <w:rFonts w:hint="eastAsia" w:ascii="宋体" w:hAnsi="宋体" w:eastAsia="宋体" w:cs="宋体"/>
          <w:b/>
          <w:bCs/>
          <w:sz w:val="24"/>
          <w:szCs w:val="24"/>
        </w:rPr>
      </w:pPr>
    </w:p>
    <w:p w14:paraId="3D4145B7">
      <w:pPr>
        <w:pStyle w:val="39"/>
        <w:rPr>
          <w:rFonts w:hint="eastAsia" w:ascii="宋体" w:hAnsi="宋体" w:eastAsia="宋体" w:cs="宋体"/>
          <w:sz w:val="24"/>
          <w:szCs w:val="24"/>
        </w:rPr>
      </w:pPr>
      <w:r>
        <w:rPr>
          <w:rFonts w:hint="eastAsia" w:ascii="宋体" w:hAnsi="宋体" w:eastAsia="宋体" w:cs="宋体"/>
          <w:sz w:val="24"/>
          <w:szCs w:val="24"/>
        </w:rPr>
        <w:br w:type="page"/>
      </w:r>
      <w:bookmarkStart w:id="89" w:name="_Toc509579146"/>
      <w:bookmarkStart w:id="90" w:name="_Toc41037908"/>
    </w:p>
    <w:p w14:paraId="2BAAA669">
      <w:pPr>
        <w:pStyle w:val="39"/>
        <w:rPr>
          <w:rFonts w:hint="eastAsia" w:ascii="宋体" w:hAnsi="宋体" w:eastAsia="宋体" w:cs="宋体"/>
          <w:sz w:val="44"/>
          <w:szCs w:val="44"/>
        </w:rPr>
      </w:pPr>
      <w:r>
        <w:rPr>
          <w:rFonts w:hint="eastAsia" w:ascii="宋体" w:hAnsi="宋体" w:eastAsia="宋体" w:cs="宋体"/>
          <w:sz w:val="44"/>
          <w:szCs w:val="44"/>
        </w:rPr>
        <w:t>第</w:t>
      </w:r>
      <w:r>
        <w:rPr>
          <w:rFonts w:hint="eastAsia" w:ascii="宋体" w:hAnsi="宋体" w:eastAsia="宋体" w:cs="宋体"/>
          <w:sz w:val="44"/>
          <w:szCs w:val="44"/>
          <w:lang w:eastAsia="zh-CN"/>
        </w:rPr>
        <w:t>七</w:t>
      </w:r>
      <w:r>
        <w:rPr>
          <w:rFonts w:hint="eastAsia" w:ascii="宋体" w:hAnsi="宋体" w:eastAsia="宋体" w:cs="宋体"/>
          <w:sz w:val="44"/>
          <w:szCs w:val="44"/>
        </w:rPr>
        <w:t>章</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响应文件格式</w:t>
      </w:r>
      <w:bookmarkEnd w:id="89"/>
      <w:bookmarkEnd w:id="90"/>
    </w:p>
    <w:p w14:paraId="0EE9A1F8">
      <w:pPr>
        <w:spacing w:line="360" w:lineRule="auto"/>
        <w:jc w:val="left"/>
        <w:rPr>
          <w:rFonts w:hint="eastAsia" w:ascii="宋体" w:hAnsi="宋体" w:eastAsia="宋体" w:cs="宋体"/>
          <w:b/>
          <w:bCs/>
          <w:sz w:val="24"/>
          <w:szCs w:val="24"/>
        </w:rPr>
      </w:pPr>
    </w:p>
    <w:p w14:paraId="4BACE400">
      <w:pPr>
        <w:spacing w:line="360" w:lineRule="auto"/>
        <w:rPr>
          <w:rFonts w:hint="eastAsia" w:ascii="宋体" w:hAnsi="宋体" w:eastAsia="宋体" w:cs="宋体"/>
          <w:sz w:val="24"/>
          <w:szCs w:val="24"/>
        </w:rPr>
      </w:pPr>
      <w:r>
        <w:rPr>
          <w:rFonts w:hint="eastAsia" w:ascii="宋体" w:hAnsi="宋体" w:eastAsia="宋体" w:cs="宋体"/>
          <w:sz w:val="24"/>
          <w:szCs w:val="24"/>
        </w:rPr>
        <w:t>一、本章所制响应文件格式（不包括签字盖章），除格式中明确将该格式作为实质性要求的，不具有强制性。</w:t>
      </w:r>
    </w:p>
    <w:p w14:paraId="3242D204">
      <w:pPr>
        <w:spacing w:line="360" w:lineRule="auto"/>
        <w:rPr>
          <w:rFonts w:hint="eastAsia" w:ascii="宋体" w:hAnsi="宋体" w:eastAsia="宋体" w:cs="宋体"/>
          <w:sz w:val="24"/>
          <w:szCs w:val="24"/>
        </w:rPr>
      </w:pPr>
      <w:r>
        <w:rPr>
          <w:rFonts w:hint="eastAsia" w:ascii="宋体" w:hAnsi="宋体" w:eastAsia="宋体" w:cs="宋体"/>
          <w:sz w:val="24"/>
          <w:szCs w:val="24"/>
        </w:rPr>
        <w:t>二、本章所制响应文件格式有关表格中的备注栏，由供应商根据自身响应情况作解释性说明，不作为必填项。</w:t>
      </w:r>
    </w:p>
    <w:p w14:paraId="4AB01F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三、本章所制响应文件格式中需要填写的相关内容事项，可能会与本采购项目无关，在不改变响应文件原义、不影响本项目采购需求的情况下，供应商可以不予填写，但应当注明。  </w:t>
      </w:r>
      <w:r>
        <w:rPr>
          <w:rFonts w:hint="eastAsia" w:ascii="宋体" w:hAnsi="宋体" w:eastAsia="宋体" w:cs="宋体"/>
          <w:sz w:val="24"/>
          <w:szCs w:val="24"/>
        </w:rPr>
        <w:br w:type="page"/>
      </w:r>
    </w:p>
    <w:p w14:paraId="3C69618F">
      <w:pPr>
        <w:spacing w:line="360" w:lineRule="auto"/>
        <w:jc w:val="center"/>
        <w:rPr>
          <w:rFonts w:hint="eastAsia" w:ascii="宋体" w:hAnsi="宋体" w:eastAsia="宋体" w:cs="宋体"/>
          <w:b/>
          <w:bCs/>
          <w:sz w:val="24"/>
          <w:szCs w:val="24"/>
        </w:rPr>
      </w:pPr>
      <w:bookmarkStart w:id="91" w:name="_Toc41037909"/>
      <w:bookmarkStart w:id="92" w:name="_Toc509579147"/>
      <w:r>
        <w:rPr>
          <w:rFonts w:hint="eastAsia" w:ascii="宋体" w:hAnsi="宋体" w:eastAsia="宋体" w:cs="宋体"/>
          <w:b/>
          <w:bCs/>
          <w:sz w:val="24"/>
          <w:szCs w:val="24"/>
        </w:rPr>
        <w:t>第一部分“资格性响应文件”格式</w:t>
      </w:r>
    </w:p>
    <w:p w14:paraId="29C354AD">
      <w:pPr>
        <w:spacing w:line="360" w:lineRule="auto"/>
        <w:jc w:val="center"/>
        <w:rPr>
          <w:rFonts w:hint="eastAsia" w:ascii="宋体" w:hAnsi="宋体" w:eastAsia="宋体" w:cs="宋体"/>
          <w:b/>
          <w:bCs/>
          <w:sz w:val="24"/>
          <w:szCs w:val="24"/>
        </w:rPr>
      </w:pPr>
    </w:p>
    <w:p w14:paraId="153211F8">
      <w:pPr>
        <w:spacing w:line="360" w:lineRule="auto"/>
        <w:jc w:val="right"/>
        <w:rPr>
          <w:rFonts w:hint="eastAsia" w:ascii="宋体" w:hAnsi="宋体" w:eastAsia="宋体" w:cs="宋体"/>
          <w:b/>
          <w:bCs/>
          <w:sz w:val="24"/>
          <w:szCs w:val="24"/>
        </w:rPr>
      </w:pPr>
      <w:r>
        <w:rPr>
          <w:rFonts w:hint="eastAsia" w:ascii="宋体" w:hAnsi="宋体" w:eastAsia="宋体" w:cs="宋体"/>
          <w:b/>
          <w:bCs/>
          <w:sz w:val="24"/>
          <w:szCs w:val="24"/>
        </w:rPr>
        <w:t>（正本/副本）</w:t>
      </w:r>
    </w:p>
    <w:p w14:paraId="32285E5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u w:val="single"/>
        </w:rPr>
        <w:t>XX</w:t>
      </w:r>
      <w:r>
        <w:rPr>
          <w:rFonts w:hint="eastAsia" w:ascii="宋体" w:hAnsi="宋体" w:eastAsia="宋体" w:cs="宋体"/>
          <w:b/>
          <w:bCs/>
          <w:sz w:val="24"/>
          <w:szCs w:val="24"/>
        </w:rPr>
        <w:t>项目</w:t>
      </w:r>
    </w:p>
    <w:p w14:paraId="6DA13E0D">
      <w:pPr>
        <w:spacing w:line="360" w:lineRule="auto"/>
        <w:rPr>
          <w:rFonts w:hint="eastAsia" w:ascii="宋体" w:hAnsi="宋体" w:eastAsia="宋体" w:cs="宋体"/>
          <w:b/>
          <w:bCs/>
          <w:sz w:val="24"/>
          <w:szCs w:val="24"/>
        </w:rPr>
      </w:pPr>
    </w:p>
    <w:p w14:paraId="4DA0FE0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资格性响应文件</w:t>
      </w:r>
    </w:p>
    <w:p w14:paraId="6EDD446A">
      <w:pPr>
        <w:spacing w:line="360" w:lineRule="auto"/>
        <w:rPr>
          <w:rFonts w:hint="eastAsia" w:ascii="宋体" w:hAnsi="宋体" w:eastAsia="宋体" w:cs="宋体"/>
          <w:b/>
          <w:bCs/>
          <w:sz w:val="24"/>
          <w:szCs w:val="24"/>
        </w:rPr>
      </w:pPr>
    </w:p>
    <w:p w14:paraId="2B1E06C4">
      <w:pPr>
        <w:spacing w:line="360" w:lineRule="auto"/>
        <w:rPr>
          <w:rFonts w:hint="eastAsia" w:ascii="宋体" w:hAnsi="宋体" w:eastAsia="宋体" w:cs="宋体"/>
          <w:b/>
          <w:bCs/>
          <w:sz w:val="24"/>
          <w:szCs w:val="24"/>
        </w:rPr>
      </w:pPr>
    </w:p>
    <w:p w14:paraId="4E9E5198">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供应商名称：</w:t>
      </w:r>
    </w:p>
    <w:p w14:paraId="66CEDFD1">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采购项目编号：</w:t>
      </w:r>
    </w:p>
    <w:p w14:paraId="44F2E977">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包号：</w:t>
      </w:r>
    </w:p>
    <w:p w14:paraId="44166196">
      <w:pPr>
        <w:spacing w:line="360" w:lineRule="auto"/>
        <w:jc w:val="center"/>
        <w:rPr>
          <w:rFonts w:hint="eastAsia" w:ascii="宋体" w:hAnsi="宋体" w:eastAsia="宋体" w:cs="宋体"/>
          <w:b/>
          <w:bCs/>
          <w:sz w:val="24"/>
          <w:szCs w:val="24"/>
        </w:rPr>
      </w:pPr>
    </w:p>
    <w:p w14:paraId="5747FE91">
      <w:pPr>
        <w:spacing w:line="360" w:lineRule="auto"/>
        <w:jc w:val="center"/>
        <w:rPr>
          <w:rFonts w:hint="eastAsia" w:ascii="宋体" w:hAnsi="宋体" w:eastAsia="宋体" w:cs="宋体"/>
          <w:b/>
          <w:bCs/>
          <w:sz w:val="24"/>
          <w:szCs w:val="24"/>
        </w:rPr>
      </w:pPr>
    </w:p>
    <w:p w14:paraId="2208530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XX年XX月XX日</w:t>
      </w:r>
    </w:p>
    <w:p w14:paraId="3AA5FA36">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格式1-1</w:t>
      </w:r>
    </w:p>
    <w:p w14:paraId="01D1C156">
      <w:pPr>
        <w:pStyle w:val="6"/>
        <w:pageBreakBefore w:val="0"/>
        <w:widowControl w:val="0"/>
        <w:numPr>
          <w:ilvl w:val="0"/>
          <w:numId w:val="0"/>
        </w:numPr>
        <w:kinsoku/>
        <w:wordWrap/>
        <w:overflowPunct/>
        <w:topLinePunct w:val="0"/>
        <w:bidi w:val="0"/>
        <w:snapToGrid/>
        <w:spacing w:before="0" w:after="0" w:line="560" w:lineRule="exact"/>
        <w:jc w:val="center"/>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一、</w:t>
      </w:r>
      <w:r>
        <w:rPr>
          <w:rFonts w:hint="eastAsia" w:ascii="仿宋_GB2312" w:hAnsi="仿宋_GB2312" w:eastAsia="仿宋_GB2312" w:cs="仿宋_GB2312"/>
          <w:b/>
          <w:sz w:val="30"/>
          <w:szCs w:val="30"/>
        </w:rPr>
        <w:t>法定代表人身份证明</w:t>
      </w:r>
    </w:p>
    <w:p w14:paraId="51A19E1B">
      <w:pPr>
        <w:tabs>
          <w:tab w:val="left" w:pos="5420"/>
        </w:tabs>
        <w:autoSpaceDE w:val="0"/>
        <w:autoSpaceDN w:val="0"/>
        <w:adjustRightInd w:val="0"/>
        <w:spacing w:after="120" w:afterLines="50" w:line="400" w:lineRule="exact"/>
        <w:ind w:firstLine="600" w:firstLineChars="200"/>
        <w:jc w:val="left"/>
        <w:rPr>
          <w:rFonts w:hint="eastAsia" w:ascii="仿宋_GB2312" w:hAnsi="仿宋_GB2312" w:eastAsia="仿宋_GB2312" w:cs="仿宋_GB2312"/>
          <w:color w:val="000000"/>
          <w:kern w:val="0"/>
          <w:sz w:val="30"/>
          <w:szCs w:val="30"/>
          <w:lang w:eastAsia="zh-CN"/>
        </w:rPr>
      </w:pPr>
    </w:p>
    <w:p w14:paraId="66A201D6">
      <w:pPr>
        <w:tabs>
          <w:tab w:val="left" w:pos="5420"/>
        </w:tabs>
        <w:autoSpaceDE w:val="0"/>
        <w:autoSpaceDN w:val="0"/>
        <w:adjustRightInd w:val="0"/>
        <w:spacing w:after="120" w:afterLines="50" w:line="400" w:lineRule="exact"/>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供应商</w:t>
      </w:r>
      <w:r>
        <w:rPr>
          <w:rFonts w:hint="eastAsia" w:ascii="仿宋_GB2312" w:hAnsi="仿宋_GB2312" w:eastAsia="仿宋_GB2312" w:cs="仿宋_GB2312"/>
          <w:color w:val="000000"/>
          <w:kern w:val="0"/>
          <w:sz w:val="30"/>
          <w:szCs w:val="30"/>
        </w:rPr>
        <w:t>名称：</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rPr>
        <w:tab/>
      </w:r>
    </w:p>
    <w:p w14:paraId="05369EC3">
      <w:pPr>
        <w:tabs>
          <w:tab w:val="left" w:pos="5420"/>
        </w:tabs>
        <w:autoSpaceDE w:val="0"/>
        <w:autoSpaceDN w:val="0"/>
        <w:adjustRightInd w:val="0"/>
        <w:spacing w:after="120" w:afterLines="50" w:line="400" w:lineRule="exact"/>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地址：</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rPr>
        <w:tab/>
      </w:r>
    </w:p>
    <w:p w14:paraId="50CD3F0D">
      <w:pPr>
        <w:tabs>
          <w:tab w:val="left" w:pos="2340"/>
          <w:tab w:val="left" w:pos="3600"/>
          <w:tab w:val="left" w:pos="4720"/>
        </w:tabs>
        <w:autoSpaceDE w:val="0"/>
        <w:autoSpaceDN w:val="0"/>
        <w:adjustRightInd w:val="0"/>
        <w:spacing w:after="120" w:afterLines="50" w:line="400" w:lineRule="exact"/>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成立时间：</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rPr>
        <w:tab/>
      </w:r>
      <w:r>
        <w:rPr>
          <w:rFonts w:hint="eastAsia" w:ascii="仿宋_GB2312" w:hAnsi="仿宋_GB2312" w:eastAsia="仿宋_GB2312" w:cs="仿宋_GB2312"/>
          <w:color w:val="000000"/>
          <w:kern w:val="0"/>
          <w:sz w:val="30"/>
          <w:szCs w:val="30"/>
        </w:rPr>
        <w:t>年</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rPr>
        <w:tab/>
      </w:r>
      <w:r>
        <w:rPr>
          <w:rFonts w:hint="eastAsia" w:ascii="仿宋_GB2312" w:hAnsi="仿宋_GB2312" w:eastAsia="仿宋_GB2312" w:cs="仿宋_GB2312"/>
          <w:color w:val="000000"/>
          <w:kern w:val="0"/>
          <w:sz w:val="30"/>
          <w:szCs w:val="30"/>
        </w:rPr>
        <w:t>月</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rPr>
        <w:tab/>
      </w:r>
      <w:r>
        <w:rPr>
          <w:rFonts w:hint="eastAsia" w:ascii="仿宋_GB2312" w:hAnsi="仿宋_GB2312" w:eastAsia="仿宋_GB2312" w:cs="仿宋_GB2312"/>
          <w:color w:val="000000"/>
          <w:kern w:val="0"/>
          <w:sz w:val="30"/>
          <w:szCs w:val="30"/>
        </w:rPr>
        <w:t>日</w:t>
      </w:r>
    </w:p>
    <w:p w14:paraId="265EB47C">
      <w:pPr>
        <w:tabs>
          <w:tab w:val="left" w:pos="2340"/>
        </w:tabs>
        <w:autoSpaceDE w:val="0"/>
        <w:autoSpaceDN w:val="0"/>
        <w:adjustRightInd w:val="0"/>
        <w:spacing w:after="120" w:afterLines="50" w:line="400" w:lineRule="exact"/>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经营期限：</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rPr>
        <w:tab/>
      </w:r>
    </w:p>
    <w:p w14:paraId="5C324D94">
      <w:pPr>
        <w:pageBreakBefore w:val="0"/>
        <w:widowControl w:val="0"/>
        <w:tabs>
          <w:tab w:val="left" w:pos="1825"/>
          <w:tab w:val="left" w:pos="3625"/>
          <w:tab w:val="left" w:pos="6600"/>
          <w:tab w:val="left" w:pos="7940"/>
        </w:tabs>
        <w:kinsoku/>
        <w:wordWrap/>
        <w:overflowPunct/>
        <w:topLinePunct w:val="0"/>
        <w:autoSpaceDE w:val="0"/>
        <w:autoSpaceDN w:val="0"/>
        <w:bidi w:val="0"/>
        <w:adjustRightInd w:val="0"/>
        <w:snapToGrid/>
        <w:spacing w:after="120" w:afterLines="50"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zh-CN"/>
        </w:rPr>
        <w:t>姓名</w:t>
      </w:r>
      <w:r>
        <w:rPr>
          <w:rFonts w:hint="eastAsia" w:ascii="仿宋_GB2312" w:hAnsi="仿宋_GB2312" w:eastAsia="仿宋_GB2312" w:cs="仿宋_GB2312"/>
          <w:color w:val="000000"/>
          <w:kern w:val="0"/>
          <w:sz w:val="30"/>
          <w:szCs w:val="30"/>
          <w:u w:val="single"/>
          <w:lang w:val="en-US" w:eastAsia="zh-CN"/>
        </w:rPr>
        <w:t xml:space="preserve">       </w:t>
      </w:r>
      <w:r>
        <w:rPr>
          <w:rFonts w:hint="eastAsia" w:ascii="仿宋_GB2312" w:hAnsi="仿宋_GB2312" w:eastAsia="仿宋_GB2312" w:cs="仿宋_GB2312"/>
          <w:color w:val="000000"/>
          <w:kern w:val="0"/>
          <w:sz w:val="30"/>
          <w:szCs w:val="30"/>
          <w:lang w:val="zh-CN"/>
        </w:rPr>
        <w:t>系</w:t>
      </w:r>
      <w:r>
        <w:rPr>
          <w:rFonts w:hint="eastAsia" w:ascii="仿宋_GB2312" w:hAnsi="仿宋_GB2312" w:eastAsia="仿宋_GB2312" w:cs="仿宋_GB2312"/>
          <w:color w:val="000000"/>
          <w:kern w:val="0"/>
          <w:sz w:val="30"/>
          <w:szCs w:val="30"/>
          <w:u w:val="single"/>
          <w:lang w:val="en-US" w:eastAsia="zh-CN"/>
        </w:rPr>
        <w:t xml:space="preserve">        </w:t>
      </w:r>
      <w:r>
        <w:rPr>
          <w:rFonts w:hint="eastAsia" w:ascii="仿宋_GB2312" w:hAnsi="仿宋_GB2312" w:eastAsia="仿宋_GB2312" w:cs="仿宋_GB2312"/>
          <w:color w:val="000000"/>
          <w:kern w:val="0"/>
          <w:sz w:val="30"/>
          <w:szCs w:val="30"/>
          <w:lang w:val="zh-CN"/>
        </w:rPr>
        <w:t>（供应商名称）的法定代表人</w:t>
      </w:r>
      <w:r>
        <w:rPr>
          <w:rFonts w:hint="eastAsia" w:ascii="仿宋_GB2312" w:hAnsi="仿宋_GB2312" w:eastAsia="仿宋_GB2312" w:cs="仿宋_GB2312"/>
          <w:color w:val="000000"/>
          <w:kern w:val="0"/>
          <w:sz w:val="30"/>
          <w:szCs w:val="30"/>
        </w:rPr>
        <w:t>（职务：</w:t>
      </w:r>
      <w:r>
        <w:rPr>
          <w:rFonts w:hint="eastAsia" w:ascii="仿宋_GB2312" w:hAnsi="仿宋_GB2312" w:eastAsia="仿宋_GB2312" w:cs="仿宋_GB2312"/>
          <w:color w:val="000000"/>
          <w:kern w:val="0"/>
          <w:sz w:val="30"/>
          <w:szCs w:val="30"/>
          <w:u w:val="single"/>
        </w:rPr>
        <w:tab/>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电话：</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 xml:space="preserve">  </w:t>
      </w:r>
      <w:r>
        <w:rPr>
          <w:rFonts w:hint="eastAsia" w:ascii="仿宋_GB2312" w:hAnsi="仿宋_GB2312" w:eastAsia="仿宋_GB2312" w:cs="仿宋_GB2312"/>
          <w:color w:val="000000"/>
          <w:kern w:val="0"/>
          <w:sz w:val="30"/>
          <w:szCs w:val="30"/>
        </w:rPr>
        <w:t>）。</w:t>
      </w:r>
    </w:p>
    <w:p w14:paraId="5CF48144">
      <w:pPr>
        <w:pageBreakBefore w:val="0"/>
        <w:widowControl w:val="0"/>
        <w:tabs>
          <w:tab w:val="left" w:pos="1825"/>
          <w:tab w:val="left" w:pos="3625"/>
          <w:tab w:val="left" w:pos="6600"/>
          <w:tab w:val="left" w:pos="7940"/>
        </w:tabs>
        <w:kinsoku/>
        <w:wordWrap/>
        <w:overflowPunct/>
        <w:topLinePunct w:val="0"/>
        <w:autoSpaceDE w:val="0"/>
        <w:autoSpaceDN w:val="0"/>
        <w:bidi w:val="0"/>
        <w:adjustRightInd w:val="0"/>
        <w:snapToGrid/>
        <w:spacing w:after="120" w:afterLines="50" w:line="560" w:lineRule="exact"/>
        <w:ind w:firstLine="600" w:firstLineChars="200"/>
        <w:jc w:val="left"/>
        <w:textAlignment w:val="auto"/>
        <w:rPr>
          <w:rFonts w:hint="eastAsia" w:ascii="仿宋_GB2312" w:hAnsi="仿宋_GB2312" w:eastAsia="仿宋_GB2312" w:cs="仿宋_GB2312"/>
          <w:color w:val="000000"/>
          <w:kern w:val="0"/>
          <w:sz w:val="30"/>
          <w:szCs w:val="30"/>
          <w:lang w:val="zh-CN"/>
        </w:rPr>
      </w:pPr>
      <w:r>
        <w:rPr>
          <w:rFonts w:hint="eastAsia" w:ascii="仿宋_GB2312" w:hAnsi="仿宋_GB2312" w:eastAsia="仿宋_GB2312" w:cs="仿宋_GB2312"/>
          <w:color w:val="000000"/>
          <w:kern w:val="0"/>
          <w:sz w:val="30"/>
          <w:szCs w:val="30"/>
          <w:lang w:val="zh-CN"/>
        </w:rPr>
        <w:t>特此证明。</w:t>
      </w:r>
    </w:p>
    <w:p w14:paraId="49428AFC">
      <w:pPr>
        <w:tabs>
          <w:tab w:val="left" w:pos="6300"/>
        </w:tabs>
        <w:spacing w:line="360" w:lineRule="auto"/>
        <w:ind w:firstLine="573"/>
        <w:rPr>
          <w:rFonts w:hint="eastAsia" w:ascii="宋体" w:hAnsi="宋体" w:eastAsia="宋体" w:cs="宋体"/>
          <w:sz w:val="24"/>
          <w:szCs w:val="24"/>
          <w:lang w:val="zh-CN"/>
        </w:rPr>
      </w:pPr>
    </w:p>
    <w:p w14:paraId="503B1D1F">
      <w:pPr>
        <w:tabs>
          <w:tab w:val="left" w:pos="6300"/>
        </w:tabs>
        <w:spacing w:line="360" w:lineRule="auto"/>
        <w:ind w:firstLine="573"/>
        <w:rPr>
          <w:rFonts w:hint="eastAsia" w:ascii="宋体" w:hAnsi="宋体" w:eastAsia="宋体" w:cs="宋体"/>
          <w:sz w:val="24"/>
          <w:szCs w:val="24"/>
          <w:lang w:val="zh-CN"/>
        </w:rPr>
      </w:pPr>
    </w:p>
    <w:p w14:paraId="5B8E854A">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lang w:val="zh-CN"/>
        </w:rPr>
        <w:t>供应商名称：</w:t>
      </w:r>
      <w:r>
        <w:rPr>
          <w:rFonts w:hint="eastAsia" w:ascii="宋体" w:hAnsi="宋体" w:eastAsia="宋体" w:cs="宋体"/>
          <w:sz w:val="24"/>
          <w:szCs w:val="24"/>
          <w:u w:val="single"/>
          <w:lang w:val="zh-CN"/>
        </w:rPr>
        <w:t>XXXX</w:t>
      </w:r>
      <w:r>
        <w:rPr>
          <w:rFonts w:hint="eastAsia" w:ascii="宋体" w:hAnsi="宋体" w:eastAsia="宋体" w:cs="宋体"/>
          <w:sz w:val="24"/>
          <w:szCs w:val="24"/>
          <w:lang w:val="zh-CN"/>
        </w:rPr>
        <w:t>（加盖公章）</w:t>
      </w:r>
    </w:p>
    <w:p w14:paraId="659544AD">
      <w:pPr>
        <w:spacing w:line="500" w:lineRule="exact"/>
        <w:ind w:right="56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XX</w:t>
      </w:r>
      <w:r>
        <w:rPr>
          <w:rFonts w:hint="eastAsia" w:ascii="宋体" w:hAnsi="宋体" w:eastAsia="宋体" w:cs="宋体"/>
          <w:sz w:val="24"/>
          <w:szCs w:val="24"/>
        </w:rPr>
        <w:t>年</w:t>
      </w:r>
      <w:r>
        <w:rPr>
          <w:rFonts w:hint="eastAsia" w:ascii="宋体" w:hAnsi="宋体" w:eastAsia="宋体" w:cs="宋体"/>
          <w:sz w:val="24"/>
          <w:szCs w:val="24"/>
          <w:u w:val="single"/>
        </w:rPr>
        <w:t>XX</w:t>
      </w:r>
      <w:r>
        <w:rPr>
          <w:rFonts w:hint="eastAsia" w:ascii="宋体" w:hAnsi="宋体" w:eastAsia="宋体" w:cs="宋体"/>
          <w:sz w:val="24"/>
          <w:szCs w:val="24"/>
        </w:rPr>
        <w:t>月</w:t>
      </w:r>
      <w:r>
        <w:rPr>
          <w:rFonts w:hint="eastAsia" w:ascii="宋体" w:hAnsi="宋体" w:eastAsia="宋体" w:cs="宋体"/>
          <w:sz w:val="24"/>
          <w:szCs w:val="24"/>
          <w:u w:val="single"/>
        </w:rPr>
        <w:t>XX</w:t>
      </w:r>
      <w:r>
        <w:rPr>
          <w:rFonts w:hint="eastAsia" w:ascii="宋体" w:hAnsi="宋体" w:eastAsia="宋体" w:cs="宋体"/>
          <w:sz w:val="24"/>
          <w:szCs w:val="24"/>
        </w:rPr>
        <w:t>日</w:t>
      </w:r>
    </w:p>
    <w:p w14:paraId="17B5AFAC">
      <w:pPr>
        <w:spacing w:line="500" w:lineRule="exact"/>
        <w:ind w:right="560"/>
        <w:jc w:val="right"/>
        <w:rPr>
          <w:rFonts w:hint="eastAsia" w:ascii="宋体" w:hAnsi="宋体" w:eastAsia="宋体" w:cs="宋体"/>
          <w:sz w:val="24"/>
          <w:szCs w:val="24"/>
        </w:rPr>
      </w:pPr>
    </w:p>
    <w:p w14:paraId="547B0C03">
      <w:pPr>
        <w:spacing w:line="500" w:lineRule="exact"/>
        <w:ind w:right="560"/>
        <w:jc w:val="right"/>
        <w:rPr>
          <w:rFonts w:hint="eastAsia" w:ascii="宋体" w:hAnsi="宋体" w:eastAsia="宋体" w:cs="宋体"/>
          <w:sz w:val="24"/>
          <w:szCs w:val="24"/>
        </w:rPr>
      </w:pPr>
    </w:p>
    <w:p w14:paraId="6D4A6371">
      <w:pPr>
        <w:spacing w:line="500" w:lineRule="exact"/>
        <w:ind w:right="560"/>
        <w:jc w:val="right"/>
        <w:rPr>
          <w:rFonts w:hint="eastAsia" w:ascii="宋体" w:hAnsi="宋体" w:eastAsia="宋体" w:cs="宋体"/>
          <w:sz w:val="24"/>
          <w:szCs w:val="24"/>
        </w:rPr>
      </w:pPr>
    </w:p>
    <w:p w14:paraId="6A904709">
      <w:pPr>
        <w:spacing w:line="500" w:lineRule="exact"/>
        <w:ind w:right="560"/>
        <w:jc w:val="right"/>
        <w:rPr>
          <w:rFonts w:hint="eastAsia" w:ascii="宋体" w:hAnsi="宋体" w:eastAsia="宋体" w:cs="宋体"/>
          <w:sz w:val="24"/>
          <w:szCs w:val="24"/>
        </w:rPr>
      </w:pPr>
    </w:p>
    <w:p w14:paraId="186855A2">
      <w:pPr>
        <w:spacing w:line="500" w:lineRule="exact"/>
        <w:ind w:right="560"/>
        <w:jc w:val="right"/>
        <w:rPr>
          <w:rFonts w:hint="eastAsia" w:ascii="宋体" w:hAnsi="宋体" w:eastAsia="宋体" w:cs="宋体"/>
          <w:sz w:val="24"/>
          <w:szCs w:val="24"/>
        </w:rPr>
      </w:pPr>
    </w:p>
    <w:p w14:paraId="28E0F567">
      <w:pPr>
        <w:spacing w:line="500" w:lineRule="exact"/>
        <w:ind w:right="560"/>
        <w:jc w:val="right"/>
        <w:rPr>
          <w:rFonts w:hint="eastAsia" w:ascii="宋体" w:hAnsi="宋体" w:eastAsia="宋体" w:cs="宋体"/>
          <w:sz w:val="24"/>
          <w:szCs w:val="24"/>
        </w:rPr>
      </w:pPr>
    </w:p>
    <w:p w14:paraId="6BC2F4A5">
      <w:pPr>
        <w:spacing w:line="500" w:lineRule="exact"/>
        <w:ind w:right="560"/>
        <w:jc w:val="right"/>
        <w:rPr>
          <w:rFonts w:hint="eastAsia" w:ascii="宋体" w:hAnsi="宋体" w:eastAsia="宋体" w:cs="宋体"/>
          <w:sz w:val="24"/>
          <w:szCs w:val="24"/>
        </w:rPr>
      </w:pPr>
    </w:p>
    <w:p w14:paraId="16E19C2B">
      <w:pPr>
        <w:spacing w:line="500" w:lineRule="exact"/>
        <w:ind w:right="560"/>
        <w:jc w:val="right"/>
        <w:rPr>
          <w:rFonts w:hint="eastAsia" w:ascii="宋体" w:hAnsi="宋体" w:eastAsia="宋体" w:cs="宋体"/>
          <w:sz w:val="24"/>
          <w:szCs w:val="24"/>
        </w:rPr>
      </w:pPr>
    </w:p>
    <w:p w14:paraId="16A00473">
      <w:pPr>
        <w:spacing w:line="500" w:lineRule="exact"/>
        <w:ind w:right="560"/>
        <w:jc w:val="right"/>
        <w:rPr>
          <w:rFonts w:hint="eastAsia" w:ascii="宋体" w:hAnsi="宋体" w:eastAsia="宋体" w:cs="宋体"/>
          <w:sz w:val="24"/>
          <w:szCs w:val="24"/>
        </w:rPr>
      </w:pPr>
    </w:p>
    <w:p w14:paraId="62B902D2">
      <w:pPr>
        <w:spacing w:line="360" w:lineRule="auto"/>
        <w:ind w:firstLine="487" w:firstLineChars="202"/>
        <w:rPr>
          <w:rFonts w:hint="eastAsia" w:ascii="宋体" w:hAnsi="宋体" w:eastAsia="宋体" w:cs="宋体"/>
          <w:b/>
          <w:bCs/>
          <w:sz w:val="24"/>
          <w:szCs w:val="24"/>
          <w:lang w:val="zh-CN"/>
        </w:rPr>
      </w:pPr>
      <w:r>
        <w:rPr>
          <w:rFonts w:hint="eastAsia" w:ascii="宋体" w:hAnsi="宋体" w:eastAsia="宋体" w:cs="宋体"/>
          <w:b/>
          <w:bCs/>
          <w:sz w:val="24"/>
          <w:szCs w:val="24"/>
          <w:lang w:val="zh-CN"/>
        </w:rPr>
        <w:t>说明：上述证明文件在资格性响应文件中附有法定代表人身份证复印件（身份证两面均应复印）或护照复印件（供应商的法定代表人为外籍人士的，则提供护照复印件）时才能生效。</w:t>
      </w:r>
    </w:p>
    <w:p w14:paraId="3E7AC1A6">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格式1-2</w:t>
      </w:r>
    </w:p>
    <w:p w14:paraId="3D72CB3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一、法定代表人/单位负责人授权书</w:t>
      </w:r>
    </w:p>
    <w:p w14:paraId="1C300B4D">
      <w:pPr>
        <w:widowControl/>
        <w:spacing w:line="360" w:lineRule="auto"/>
        <w:ind w:firstLine="472" w:firstLineChars="196"/>
        <w:jc w:val="left"/>
        <w:outlineLvl w:val="1"/>
        <w:rPr>
          <w:rFonts w:hint="eastAsia" w:ascii="宋体" w:hAnsi="宋体" w:eastAsia="宋体" w:cs="宋体"/>
          <w:b/>
          <w:bCs/>
          <w:sz w:val="24"/>
          <w:szCs w:val="24"/>
        </w:rPr>
      </w:pPr>
    </w:p>
    <w:p w14:paraId="4164E1A5">
      <w:pPr>
        <w:widowControl/>
        <w:spacing w:line="360" w:lineRule="auto"/>
        <w:ind w:firstLine="472" w:firstLineChars="196"/>
        <w:jc w:val="left"/>
        <w:outlineLvl w:val="1"/>
        <w:rPr>
          <w:rFonts w:hint="eastAsia" w:ascii="宋体" w:hAnsi="宋体" w:eastAsia="宋体" w:cs="宋体"/>
          <w:b/>
          <w:bCs/>
          <w:sz w:val="24"/>
          <w:szCs w:val="24"/>
        </w:rPr>
      </w:pPr>
    </w:p>
    <w:p w14:paraId="36802D11">
      <w:pPr>
        <w:widowControl/>
        <w:spacing w:line="360" w:lineRule="auto"/>
        <w:jc w:val="left"/>
        <w:outlineLvl w:val="1"/>
        <w:rPr>
          <w:rFonts w:hint="eastAsia" w:ascii="宋体" w:hAnsi="宋体" w:eastAsia="宋体" w:cs="宋体"/>
          <w:sz w:val="24"/>
          <w:szCs w:val="24"/>
        </w:rPr>
      </w:pPr>
      <w:r>
        <w:rPr>
          <w:rFonts w:hint="eastAsia" w:ascii="宋体" w:hAnsi="宋体" w:eastAsia="宋体" w:cs="宋体"/>
          <w:sz w:val="24"/>
          <w:szCs w:val="24"/>
        </w:rPr>
        <w:t>XXXXXXXX（采购代理机构名称）：</w:t>
      </w:r>
    </w:p>
    <w:p w14:paraId="5D6FFBB0">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本授权声明： XXXX（供应商名称）XXXX（法定代表人/单位负责人姓名、职务）授权XXXX（被授权人姓名、职务）为我方“XXXXXXXX”项目（采购项目编号：XXXX）谈判采购活动的合法代表，以我方名义全权处理该项目有关谈判采购、签订合同以及执行合同等一切事宜。</w:t>
      </w:r>
    </w:p>
    <w:p w14:paraId="3E8FBFD5">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特此声明。</w:t>
      </w:r>
    </w:p>
    <w:p w14:paraId="01094563">
      <w:pPr>
        <w:widowControl/>
        <w:spacing w:line="360" w:lineRule="auto"/>
        <w:ind w:firstLine="470" w:firstLineChars="196"/>
        <w:jc w:val="left"/>
        <w:outlineLvl w:val="1"/>
        <w:rPr>
          <w:rFonts w:hint="eastAsia" w:ascii="宋体" w:hAnsi="宋体" w:eastAsia="宋体" w:cs="宋体"/>
          <w:sz w:val="24"/>
          <w:szCs w:val="24"/>
        </w:rPr>
      </w:pPr>
    </w:p>
    <w:p w14:paraId="683B7140">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法定代表人/单位负责人（委托人）签字或加盖个人印章：XXXX</w:t>
      </w:r>
    </w:p>
    <w:p w14:paraId="6ADD04AB">
      <w:pPr>
        <w:widowControl/>
        <w:spacing w:line="360" w:lineRule="auto"/>
        <w:ind w:firstLine="470" w:firstLineChars="196"/>
        <w:jc w:val="left"/>
        <w:outlineLvl w:val="1"/>
        <w:rPr>
          <w:rFonts w:hint="eastAsia" w:ascii="宋体" w:hAnsi="宋体" w:eastAsia="宋体" w:cs="宋体"/>
          <w:sz w:val="24"/>
          <w:szCs w:val="24"/>
        </w:rPr>
      </w:pPr>
    </w:p>
    <w:p w14:paraId="12167A62">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授权代表（被授权人）签字：XXXX</w:t>
      </w:r>
    </w:p>
    <w:p w14:paraId="28556A3E">
      <w:pPr>
        <w:widowControl/>
        <w:spacing w:line="360" w:lineRule="auto"/>
        <w:ind w:firstLine="470" w:firstLineChars="196"/>
        <w:jc w:val="left"/>
        <w:outlineLvl w:val="1"/>
        <w:rPr>
          <w:rFonts w:hint="eastAsia" w:ascii="宋体" w:hAnsi="宋体" w:eastAsia="宋体" w:cs="宋体"/>
          <w:sz w:val="24"/>
          <w:szCs w:val="24"/>
        </w:rPr>
      </w:pPr>
    </w:p>
    <w:p w14:paraId="4E26BABC">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供应商名称：XXXX（单位盖章）</w:t>
      </w:r>
    </w:p>
    <w:p w14:paraId="765B0D4E">
      <w:pPr>
        <w:widowControl/>
        <w:spacing w:line="360" w:lineRule="auto"/>
        <w:ind w:firstLine="470" w:firstLineChars="196"/>
        <w:jc w:val="left"/>
        <w:outlineLvl w:val="1"/>
        <w:rPr>
          <w:rFonts w:hint="eastAsia" w:ascii="宋体" w:hAnsi="宋体" w:eastAsia="宋体" w:cs="宋体"/>
          <w:sz w:val="24"/>
          <w:szCs w:val="24"/>
        </w:rPr>
      </w:pPr>
    </w:p>
    <w:p w14:paraId="5E6C2AAE">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 xml:space="preserve">日期：XXXX            </w:t>
      </w:r>
    </w:p>
    <w:p w14:paraId="7187B7F2">
      <w:pPr>
        <w:widowControl/>
        <w:spacing w:line="360" w:lineRule="auto"/>
        <w:jc w:val="left"/>
        <w:outlineLvl w:val="1"/>
        <w:rPr>
          <w:rFonts w:hint="eastAsia" w:ascii="宋体" w:hAnsi="宋体" w:eastAsia="宋体" w:cs="宋体"/>
          <w:b/>
          <w:bCs/>
          <w:sz w:val="24"/>
          <w:szCs w:val="24"/>
        </w:rPr>
      </w:pPr>
      <w:bookmarkStart w:id="93" w:name="_Toc217446084"/>
    </w:p>
    <w:p w14:paraId="7F0600D7">
      <w:pPr>
        <w:widowControl/>
        <w:spacing w:line="360" w:lineRule="auto"/>
        <w:jc w:val="left"/>
        <w:outlineLvl w:val="1"/>
        <w:rPr>
          <w:rFonts w:hint="eastAsia" w:ascii="宋体" w:hAnsi="宋体" w:eastAsia="宋体" w:cs="宋体"/>
          <w:b/>
          <w:bCs/>
          <w:sz w:val="24"/>
          <w:szCs w:val="24"/>
        </w:rPr>
      </w:pPr>
    </w:p>
    <w:p w14:paraId="63AA4D9D">
      <w:pPr>
        <w:spacing w:line="360" w:lineRule="auto"/>
        <w:ind w:left="31680" w:hanging="840" w:hangingChars="350"/>
        <w:jc w:val="left"/>
        <w:rPr>
          <w:rFonts w:hint="eastAsia" w:ascii="宋体" w:hAnsi="宋体" w:eastAsia="宋体" w:cs="宋体"/>
          <w:sz w:val="24"/>
          <w:szCs w:val="24"/>
        </w:rPr>
      </w:pPr>
      <w:r>
        <w:rPr>
          <w:rFonts w:hint="eastAsia" w:ascii="宋体" w:hAnsi="宋体" w:eastAsia="宋体" w:cs="宋体"/>
          <w:sz w:val="24"/>
          <w:szCs w:val="24"/>
        </w:rPr>
        <w:t>注：</w:t>
      </w:r>
    </w:p>
    <w:p w14:paraId="0D79E3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1、供应商为法人单位时提供“法定代表人授权书”，供应商为其他组织时提供“单位负责人授权书”，供应商为自然人时提供“自然人身份证明材料”。</w:t>
      </w:r>
    </w:p>
    <w:p w14:paraId="62306E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2、应附法定代表人/单位负责人身份证明材料复印件和授权代表身份证明材料复印件。</w:t>
      </w:r>
    </w:p>
    <w:p w14:paraId="50FB1C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3、身份证明材料包括居民身份证或户口本或军官证或护照等。</w:t>
      </w:r>
    </w:p>
    <w:p w14:paraId="550B9D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4、身份证明材料应同时提供其在有效期的材料，如居民身份证正、反面复印件。</w:t>
      </w:r>
    </w:p>
    <w:bookmarkEnd w:id="93"/>
    <w:p w14:paraId="0A2089D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格式1-3</w:t>
      </w:r>
    </w:p>
    <w:p w14:paraId="5A4CB3C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二、承诺函</w:t>
      </w:r>
    </w:p>
    <w:p w14:paraId="5BF00287">
      <w:pPr>
        <w:widowControl/>
        <w:spacing w:line="360" w:lineRule="auto"/>
        <w:jc w:val="center"/>
        <w:outlineLvl w:val="1"/>
        <w:rPr>
          <w:rFonts w:hint="eastAsia" w:ascii="宋体" w:hAnsi="宋体" w:eastAsia="宋体" w:cs="宋体"/>
          <w:b/>
          <w:bCs/>
          <w:sz w:val="24"/>
          <w:szCs w:val="24"/>
        </w:rPr>
      </w:pPr>
    </w:p>
    <w:p w14:paraId="0E4D044E">
      <w:pPr>
        <w:widowControl/>
        <w:spacing w:line="360" w:lineRule="auto"/>
        <w:jc w:val="left"/>
        <w:outlineLvl w:val="1"/>
        <w:rPr>
          <w:rFonts w:hint="eastAsia" w:ascii="宋体" w:hAnsi="宋体" w:eastAsia="宋体" w:cs="宋体"/>
          <w:sz w:val="24"/>
          <w:szCs w:val="24"/>
        </w:rPr>
      </w:pPr>
      <w:r>
        <w:rPr>
          <w:rFonts w:hint="eastAsia" w:ascii="宋体" w:hAnsi="宋体" w:eastAsia="宋体" w:cs="宋体"/>
          <w:sz w:val="24"/>
          <w:szCs w:val="24"/>
        </w:rPr>
        <w:t>XXXX（采购代理机构名称）：</w:t>
      </w:r>
    </w:p>
    <w:p w14:paraId="19085534">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我单位作为本次采购项目的供应商，根据谈判文件要求，现郑重承诺如下：</w:t>
      </w:r>
    </w:p>
    <w:p w14:paraId="7A8B727A">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12F608E1">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14:paraId="7156D33C">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1CDD3F80">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w:t>
      </w:r>
    </w:p>
    <w:p w14:paraId="22DBD7BF">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6B39B03D">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778C211D">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39FF5454">
      <w:pPr>
        <w:tabs>
          <w:tab w:val="left" w:pos="7665"/>
        </w:tabs>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（七）</w:t>
      </w:r>
      <w:r>
        <w:rPr>
          <w:rFonts w:hint="eastAsia" w:ascii="宋体" w:hAnsi="宋体" w:eastAsia="宋体" w:cs="宋体"/>
          <w:sz w:val="24"/>
          <w:szCs w:val="24"/>
          <w:lang w:val="en-US" w:eastAsia="zh-CN"/>
        </w:rPr>
        <w:t>采购人根据采购项目提出的特殊条件</w:t>
      </w:r>
      <w:r>
        <w:rPr>
          <w:rFonts w:hint="eastAsia" w:ascii="宋体" w:hAnsi="宋体" w:cs="宋体"/>
          <w:sz w:val="24"/>
          <w:szCs w:val="24"/>
          <w:lang w:val="en-US" w:eastAsia="zh-CN"/>
        </w:rPr>
        <w:t>：</w:t>
      </w:r>
    </w:p>
    <w:p w14:paraId="7A2F5710">
      <w:pPr>
        <w:tabs>
          <w:tab w:val="left" w:pos="7665"/>
        </w:tabs>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（八）</w:t>
      </w:r>
      <w:r>
        <w:rPr>
          <w:rFonts w:hint="eastAsia" w:ascii="宋体" w:hAnsi="宋体" w:eastAsia="宋体" w:cs="宋体"/>
          <w:sz w:val="24"/>
          <w:szCs w:val="24"/>
          <w:lang w:val="en-US" w:eastAsia="zh-CN"/>
        </w:rPr>
        <w:t>本项目不允许联合体参加。</w:t>
      </w:r>
    </w:p>
    <w:p w14:paraId="327BAFDF">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二、截至响应文件递交截止日未被列入失信被执行人、重大税收违法案件当事人名单、政府采购严重违法失信行为记录名单。</w:t>
      </w:r>
    </w:p>
    <w:p w14:paraId="0FD55426">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本单位对上述承诺的内容事项真实性负责。如经查实上述承诺的内容事项存在虚假，我单位愿意接受以提供虚假材料谋取成交追究法律责任。</w:t>
      </w:r>
    </w:p>
    <w:p w14:paraId="5A8699CB">
      <w:pPr>
        <w:widowControl/>
        <w:spacing w:line="360" w:lineRule="auto"/>
        <w:ind w:firstLine="470" w:firstLineChars="196"/>
        <w:jc w:val="left"/>
        <w:outlineLvl w:val="1"/>
        <w:rPr>
          <w:rFonts w:hint="eastAsia" w:ascii="宋体" w:hAnsi="宋体" w:eastAsia="宋体" w:cs="宋体"/>
          <w:sz w:val="24"/>
          <w:szCs w:val="24"/>
        </w:rPr>
      </w:pPr>
    </w:p>
    <w:p w14:paraId="22463F24">
      <w:pPr>
        <w:widowControl/>
        <w:spacing w:line="360" w:lineRule="auto"/>
        <w:ind w:firstLine="470" w:firstLineChars="196"/>
        <w:jc w:val="left"/>
        <w:outlineLvl w:val="1"/>
        <w:rPr>
          <w:rFonts w:hint="eastAsia" w:ascii="宋体" w:hAnsi="宋体" w:eastAsia="宋体" w:cs="宋体"/>
          <w:sz w:val="24"/>
          <w:szCs w:val="24"/>
        </w:rPr>
      </w:pPr>
    </w:p>
    <w:p w14:paraId="7DC76CF5">
      <w:pPr>
        <w:widowControl/>
        <w:spacing w:line="360" w:lineRule="auto"/>
        <w:ind w:firstLine="470" w:firstLineChars="196"/>
        <w:jc w:val="right"/>
        <w:outlineLvl w:val="1"/>
        <w:rPr>
          <w:rFonts w:hint="eastAsia" w:ascii="宋体" w:hAnsi="宋体" w:eastAsia="宋体" w:cs="宋体"/>
          <w:sz w:val="24"/>
          <w:szCs w:val="24"/>
        </w:rPr>
      </w:pPr>
      <w:r>
        <w:rPr>
          <w:rFonts w:hint="eastAsia" w:ascii="宋体" w:hAnsi="宋体" w:eastAsia="宋体" w:cs="宋体"/>
          <w:sz w:val="24"/>
          <w:szCs w:val="24"/>
        </w:rPr>
        <w:t>供应商名称：XXXX（单位公章）</w:t>
      </w:r>
    </w:p>
    <w:p w14:paraId="7FF70C4F">
      <w:pPr>
        <w:widowControl/>
        <w:wordWrap/>
        <w:spacing w:line="360" w:lineRule="auto"/>
        <w:ind w:firstLine="470" w:firstLineChars="196"/>
        <w:jc w:val="right"/>
        <w:outlineLvl w:val="1"/>
        <w:rPr>
          <w:rFonts w:hint="eastAsia" w:ascii="宋体" w:hAnsi="宋体" w:eastAsia="宋体" w:cs="宋体"/>
          <w:sz w:val="24"/>
          <w:szCs w:val="24"/>
        </w:rPr>
      </w:pPr>
      <w:r>
        <w:rPr>
          <w:rFonts w:hint="eastAsia" w:ascii="宋体" w:hAnsi="宋体" w:eastAsia="宋体" w:cs="宋体"/>
          <w:sz w:val="24"/>
          <w:szCs w:val="24"/>
        </w:rPr>
        <w:t xml:space="preserve">日期：XXXX             </w:t>
      </w:r>
      <w:r>
        <w:rPr>
          <w:rFonts w:hint="eastAsia" w:ascii="宋体" w:hAnsi="宋体" w:eastAsia="宋体" w:cs="宋体"/>
          <w:sz w:val="24"/>
          <w:szCs w:val="24"/>
        </w:rPr>
        <w:br w:type="page"/>
      </w:r>
      <w:r>
        <w:rPr>
          <w:rFonts w:hint="eastAsia" w:ascii="宋体" w:hAnsi="宋体" w:eastAsia="宋体" w:cs="宋体"/>
          <w:b/>
          <w:bCs/>
          <w:sz w:val="24"/>
          <w:szCs w:val="24"/>
        </w:rPr>
        <w:t>格式1-4</w:t>
      </w:r>
    </w:p>
    <w:p w14:paraId="3950740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供应商资格、资质性及其他类似效力要求的相关证明材料</w:t>
      </w:r>
    </w:p>
    <w:p w14:paraId="27209E3C">
      <w:pPr>
        <w:spacing w:line="360" w:lineRule="auto"/>
        <w:rPr>
          <w:rFonts w:hint="eastAsia" w:ascii="宋体" w:hAnsi="宋体" w:eastAsia="宋体" w:cs="宋体"/>
          <w:sz w:val="24"/>
          <w:szCs w:val="24"/>
        </w:rPr>
      </w:pPr>
      <w:r>
        <w:rPr>
          <w:rFonts w:hint="eastAsia" w:ascii="宋体" w:hAnsi="宋体" w:eastAsia="宋体" w:cs="宋体"/>
          <w:sz w:val="24"/>
          <w:szCs w:val="24"/>
        </w:rPr>
        <w:t>注：供应商应按谈判文件第四章相关要求提供佐证材料，有格式要求的从其要求，无格式要求的格式自拟。</w:t>
      </w:r>
    </w:p>
    <w:p w14:paraId="79CC053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p>
    <w:p w14:paraId="53339177">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第二部分“施工响应文件”格式</w:t>
      </w:r>
    </w:p>
    <w:p w14:paraId="40C0286E">
      <w:pPr>
        <w:spacing w:line="360" w:lineRule="auto"/>
        <w:rPr>
          <w:rFonts w:hint="eastAsia" w:ascii="宋体" w:hAnsi="宋体" w:eastAsia="宋体" w:cs="宋体"/>
          <w:b/>
          <w:bCs/>
          <w:sz w:val="24"/>
          <w:szCs w:val="24"/>
        </w:rPr>
      </w:pPr>
    </w:p>
    <w:p w14:paraId="37BD84F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格式2-1</w:t>
      </w:r>
    </w:p>
    <w:p w14:paraId="4658A24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封面：</w:t>
      </w:r>
    </w:p>
    <w:p w14:paraId="73B53BE9">
      <w:pPr>
        <w:spacing w:line="360" w:lineRule="auto"/>
        <w:jc w:val="right"/>
        <w:rPr>
          <w:rFonts w:hint="eastAsia" w:ascii="宋体" w:hAnsi="宋体" w:eastAsia="宋体" w:cs="宋体"/>
          <w:b/>
          <w:bCs/>
          <w:sz w:val="24"/>
          <w:szCs w:val="24"/>
        </w:rPr>
      </w:pPr>
      <w:r>
        <w:rPr>
          <w:rFonts w:hint="eastAsia" w:ascii="宋体" w:hAnsi="宋体" w:eastAsia="宋体" w:cs="宋体"/>
          <w:b/>
          <w:bCs/>
          <w:sz w:val="24"/>
          <w:szCs w:val="24"/>
        </w:rPr>
        <w:t>（正本/副本）</w:t>
      </w:r>
    </w:p>
    <w:p w14:paraId="335FD1A4">
      <w:pPr>
        <w:spacing w:line="360" w:lineRule="auto"/>
        <w:rPr>
          <w:rFonts w:hint="eastAsia" w:ascii="宋体" w:hAnsi="宋体" w:eastAsia="宋体" w:cs="宋体"/>
          <w:b/>
          <w:bCs/>
          <w:sz w:val="24"/>
          <w:szCs w:val="24"/>
        </w:rPr>
      </w:pPr>
    </w:p>
    <w:p w14:paraId="3919504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XX项目</w:t>
      </w:r>
    </w:p>
    <w:p w14:paraId="4AD2EDA1">
      <w:pPr>
        <w:spacing w:line="360" w:lineRule="auto"/>
        <w:rPr>
          <w:rFonts w:hint="eastAsia" w:ascii="宋体" w:hAnsi="宋体" w:eastAsia="宋体" w:cs="宋体"/>
          <w:b/>
          <w:bCs/>
          <w:sz w:val="24"/>
          <w:szCs w:val="24"/>
        </w:rPr>
      </w:pPr>
    </w:p>
    <w:p w14:paraId="473665A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施工响应文件</w:t>
      </w:r>
    </w:p>
    <w:p w14:paraId="636E5967">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供应商名称：</w:t>
      </w:r>
    </w:p>
    <w:p w14:paraId="5B3EB808">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采购项目编号：</w:t>
      </w:r>
    </w:p>
    <w:p w14:paraId="7BFB1FFC">
      <w:pPr>
        <w:spacing w:line="360" w:lineRule="auto"/>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rPr>
        <w:t>包号：</w:t>
      </w:r>
    </w:p>
    <w:p w14:paraId="0503010E">
      <w:pPr>
        <w:spacing w:line="360" w:lineRule="auto"/>
        <w:ind w:firstLine="593" w:firstLineChars="246"/>
        <w:jc w:val="center"/>
        <w:rPr>
          <w:rFonts w:hint="eastAsia" w:ascii="宋体" w:hAnsi="宋体" w:eastAsia="宋体" w:cs="宋体"/>
          <w:b/>
          <w:bCs/>
          <w:sz w:val="24"/>
          <w:szCs w:val="24"/>
        </w:rPr>
      </w:pPr>
    </w:p>
    <w:p w14:paraId="5E013FE8">
      <w:pPr>
        <w:spacing w:line="360" w:lineRule="auto"/>
        <w:ind w:firstLine="593" w:firstLineChars="246"/>
        <w:jc w:val="center"/>
        <w:rPr>
          <w:rFonts w:hint="eastAsia" w:ascii="宋体" w:hAnsi="宋体" w:eastAsia="宋体" w:cs="宋体"/>
          <w:b/>
          <w:bCs/>
          <w:sz w:val="24"/>
          <w:szCs w:val="24"/>
        </w:rPr>
      </w:pPr>
      <w:r>
        <w:rPr>
          <w:rFonts w:hint="eastAsia" w:ascii="宋体" w:hAnsi="宋体" w:eastAsia="宋体" w:cs="宋体"/>
          <w:b/>
          <w:bCs/>
          <w:sz w:val="24"/>
          <w:szCs w:val="24"/>
        </w:rPr>
        <w:t>XX年XX月XX日</w:t>
      </w:r>
    </w:p>
    <w:p w14:paraId="1FB1EB5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格式2-2</w:t>
      </w:r>
    </w:p>
    <w:p w14:paraId="2C556D16">
      <w:pPr>
        <w:spacing w:line="360" w:lineRule="auto"/>
        <w:jc w:val="center"/>
        <w:rPr>
          <w:rFonts w:hint="eastAsia" w:ascii="宋体" w:hAnsi="宋体" w:eastAsia="宋体" w:cs="宋体"/>
          <w:b/>
          <w:bCs/>
          <w:sz w:val="24"/>
          <w:szCs w:val="24"/>
        </w:rPr>
      </w:pPr>
      <w:bookmarkStart w:id="94" w:name="_Toc308164824"/>
      <w:r>
        <w:rPr>
          <w:rFonts w:hint="eastAsia" w:ascii="宋体" w:hAnsi="宋体" w:eastAsia="宋体" w:cs="宋体"/>
          <w:b/>
          <w:bCs/>
          <w:sz w:val="24"/>
          <w:szCs w:val="24"/>
        </w:rPr>
        <w:t>一、报价函</w:t>
      </w:r>
    </w:p>
    <w:p w14:paraId="6AA0C7CA">
      <w:pPr>
        <w:spacing w:line="360" w:lineRule="auto"/>
        <w:rPr>
          <w:rFonts w:hint="eastAsia" w:ascii="宋体" w:hAnsi="宋体" w:eastAsia="宋体" w:cs="宋体"/>
          <w:sz w:val="24"/>
          <w:szCs w:val="24"/>
        </w:rPr>
      </w:pPr>
      <w:r>
        <w:rPr>
          <w:rFonts w:hint="eastAsia" w:ascii="宋体" w:hAnsi="宋体" w:eastAsia="宋体" w:cs="宋体"/>
          <w:sz w:val="24"/>
          <w:szCs w:val="24"/>
          <w:u w:val="single"/>
        </w:rPr>
        <w:t>XXXXXXX</w:t>
      </w:r>
      <w:r>
        <w:rPr>
          <w:rFonts w:hint="eastAsia" w:ascii="宋体" w:hAnsi="宋体" w:eastAsia="宋体" w:cs="宋体"/>
          <w:sz w:val="24"/>
          <w:szCs w:val="24"/>
        </w:rPr>
        <w:t xml:space="preserve">（采购代理机构名称）: </w:t>
      </w:r>
    </w:p>
    <w:p w14:paraId="2E115FA5">
      <w:pPr>
        <w:pStyle w:val="97"/>
        <w:numPr>
          <w:ilvl w:val="0"/>
          <w:numId w:val="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我方己仔细研究了（项目名称）谈判文件的全部内容，愿意以人民币（大写）</w:t>
      </w:r>
    </w:p>
    <w:p w14:paraId="0A5D06E2">
      <w:pPr>
        <w:pStyle w:val="97"/>
        <w:spacing w:line="360" w:lineRule="auto"/>
        <w:ind w:left="-44" w:leftChars="-21" w:firstLine="0" w:firstLineChars="0"/>
        <w:rPr>
          <w:rFonts w:hint="eastAsia" w:ascii="宋体" w:hAnsi="宋体" w:eastAsia="宋体" w:cs="宋体"/>
          <w:sz w:val="24"/>
          <w:szCs w:val="24"/>
        </w:rPr>
      </w:pPr>
      <w:r>
        <w:rPr>
          <w:rFonts w:hint="eastAsia" w:ascii="宋体" w:hAnsi="宋体" w:eastAsia="宋体" w:cs="宋体"/>
          <w:sz w:val="24"/>
          <w:szCs w:val="24"/>
          <w:u w:val="single"/>
        </w:rPr>
        <w:t>XX</w:t>
      </w:r>
      <w:r>
        <w:rPr>
          <w:rFonts w:hint="eastAsia" w:ascii="宋体" w:hAnsi="宋体" w:eastAsia="宋体" w:cs="宋体"/>
          <w:sz w:val="24"/>
          <w:szCs w:val="24"/>
        </w:rPr>
        <w:t>（￥）的总报价，工期</w:t>
      </w:r>
      <w:r>
        <w:rPr>
          <w:rFonts w:hint="eastAsia" w:ascii="宋体" w:hAnsi="宋体" w:eastAsia="宋体" w:cs="宋体"/>
          <w:sz w:val="24"/>
          <w:szCs w:val="24"/>
          <w:u w:val="single"/>
        </w:rPr>
        <w:t xml:space="preserve"> XX </w:t>
      </w:r>
      <w:r>
        <w:rPr>
          <w:rFonts w:hint="eastAsia" w:ascii="宋体" w:hAnsi="宋体" w:eastAsia="宋体" w:cs="宋体"/>
          <w:sz w:val="24"/>
          <w:szCs w:val="24"/>
        </w:rPr>
        <w:t>日历天，按合同约定实施和完成承包工程，工程质量达到规定要求标准。</w:t>
      </w:r>
    </w:p>
    <w:p w14:paraId="68706DF5">
      <w:pPr>
        <w:spacing w:line="360" w:lineRule="auto"/>
        <w:rPr>
          <w:rFonts w:hint="eastAsia" w:ascii="宋体" w:hAnsi="宋体" w:eastAsia="宋体" w:cs="宋体"/>
          <w:sz w:val="24"/>
          <w:szCs w:val="24"/>
        </w:rPr>
      </w:pPr>
      <w:r>
        <w:rPr>
          <w:rFonts w:hint="eastAsia" w:ascii="宋体" w:hAnsi="宋体" w:eastAsia="宋体" w:cs="宋体"/>
          <w:sz w:val="24"/>
          <w:szCs w:val="24"/>
        </w:rPr>
        <w:t>2．我方承诺在响应文件有效期</w:t>
      </w:r>
      <w:r>
        <w:rPr>
          <w:rFonts w:hint="eastAsia" w:ascii="宋体" w:hAnsi="宋体" w:cs="宋体"/>
          <w:sz w:val="24"/>
          <w:szCs w:val="24"/>
          <w:lang w:val="en-US" w:eastAsia="zh-CN"/>
        </w:rPr>
        <w:t>90</w:t>
      </w:r>
      <w:r>
        <w:rPr>
          <w:rFonts w:hint="eastAsia" w:ascii="宋体" w:hAnsi="宋体" w:eastAsia="宋体" w:cs="宋体"/>
          <w:sz w:val="24"/>
          <w:szCs w:val="24"/>
        </w:rPr>
        <w:t>天内不修改、撤销响应文件。</w:t>
      </w:r>
    </w:p>
    <w:p w14:paraId="1DC98150">
      <w:pPr>
        <w:spacing w:line="360" w:lineRule="auto"/>
        <w:rPr>
          <w:rFonts w:hint="eastAsia" w:ascii="宋体" w:hAnsi="宋体" w:eastAsia="宋体" w:cs="宋体"/>
          <w:sz w:val="24"/>
          <w:szCs w:val="24"/>
        </w:rPr>
      </w:pPr>
      <w:r>
        <w:rPr>
          <w:rFonts w:hint="eastAsia" w:ascii="宋体" w:hAnsi="宋体" w:eastAsia="宋体" w:cs="宋体"/>
          <w:sz w:val="24"/>
          <w:szCs w:val="24"/>
        </w:rPr>
        <w:t>3．如我方成交：</w:t>
      </w:r>
    </w:p>
    <w:p w14:paraId="71DD7093">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(l）我方承诺在收到成交通知书后，在规定的期限内与采购人签订合同。</w:t>
      </w:r>
    </w:p>
    <w:p w14:paraId="00CFC34C">
      <w:pPr>
        <w:spacing w:line="360" w:lineRule="auto"/>
        <w:rPr>
          <w:rFonts w:hint="eastAsia" w:ascii="宋体" w:hAnsi="宋体" w:eastAsia="宋体" w:cs="宋体"/>
          <w:sz w:val="24"/>
          <w:szCs w:val="24"/>
        </w:rPr>
      </w:pPr>
      <w:r>
        <w:rPr>
          <w:rFonts w:hint="eastAsia" w:ascii="宋体" w:hAnsi="宋体" w:eastAsia="宋体" w:cs="宋体"/>
          <w:sz w:val="24"/>
          <w:szCs w:val="24"/>
        </w:rPr>
        <w:t>（2）我方承诺按照谈判文件规定的金额和方式向采购人缴纳履约保证金。</w:t>
      </w:r>
    </w:p>
    <w:p w14:paraId="0F3EE611">
      <w:pPr>
        <w:spacing w:line="360" w:lineRule="auto"/>
        <w:rPr>
          <w:rFonts w:hint="eastAsia" w:ascii="宋体" w:hAnsi="宋体" w:eastAsia="宋体" w:cs="宋体"/>
          <w:sz w:val="24"/>
          <w:szCs w:val="24"/>
        </w:rPr>
      </w:pPr>
      <w:r>
        <w:rPr>
          <w:rFonts w:hint="eastAsia" w:ascii="宋体" w:hAnsi="宋体" w:eastAsia="宋体" w:cs="宋体"/>
          <w:sz w:val="24"/>
          <w:szCs w:val="24"/>
        </w:rPr>
        <w:t>（3）我方将严格履行政府采购合同规定的责任和义务。</w:t>
      </w:r>
    </w:p>
    <w:p w14:paraId="7D89C322">
      <w:pPr>
        <w:spacing w:line="360" w:lineRule="auto"/>
        <w:rPr>
          <w:rFonts w:hint="eastAsia" w:ascii="宋体" w:hAnsi="宋体" w:eastAsia="宋体" w:cs="宋体"/>
          <w:sz w:val="24"/>
          <w:szCs w:val="24"/>
        </w:rPr>
      </w:pPr>
      <w:r>
        <w:rPr>
          <w:rFonts w:hint="eastAsia" w:ascii="宋体" w:hAnsi="宋体" w:eastAsia="宋体" w:cs="宋体"/>
          <w:sz w:val="24"/>
          <w:szCs w:val="24"/>
        </w:rPr>
        <w:t>（4）我方同意本谈判文件依据《四川省公共资源交易领域严重失信联合惩戒实施办法》（川发改信用规〔2019〕405号）、《关于对政府采购领域严重违法失信主体开展联合惩戒的合作备忘录》（发改财金〔2018〕1614号）对我方可能存在的失信行为进行惩戒。</w:t>
      </w:r>
    </w:p>
    <w:p w14:paraId="46CE9BBA">
      <w:pPr>
        <w:spacing w:line="360" w:lineRule="auto"/>
        <w:rPr>
          <w:rFonts w:hint="eastAsia" w:ascii="宋体" w:hAnsi="宋体" w:eastAsia="宋体" w:cs="宋体"/>
          <w:sz w:val="24"/>
          <w:szCs w:val="24"/>
        </w:rPr>
      </w:pPr>
      <w:r>
        <w:rPr>
          <w:rFonts w:hint="eastAsia" w:ascii="宋体" w:hAnsi="宋体" w:eastAsia="宋体" w:cs="宋体"/>
          <w:sz w:val="24"/>
          <w:szCs w:val="24"/>
        </w:rPr>
        <w:t>（5）我方愿意提供贵单位可能另外要求的，与谈判报价有关的文件资料，并保证我方已提供和将要提供的文件资料是真实、准确的。</w:t>
      </w:r>
    </w:p>
    <w:p w14:paraId="181F163A">
      <w:pPr>
        <w:spacing w:line="360" w:lineRule="auto"/>
        <w:rPr>
          <w:rFonts w:hint="eastAsia" w:ascii="宋体" w:hAnsi="宋体" w:eastAsia="宋体" w:cs="宋体"/>
          <w:sz w:val="24"/>
          <w:szCs w:val="24"/>
        </w:rPr>
      </w:pPr>
      <w:r>
        <w:rPr>
          <w:rFonts w:hint="eastAsia" w:ascii="宋体" w:hAnsi="宋体" w:eastAsia="宋体" w:cs="宋体"/>
          <w:sz w:val="24"/>
          <w:szCs w:val="24"/>
        </w:rPr>
        <w:t>（6）我方自愿按照谈判文件规定的各项要求完成工程建设项目，最后报价以《最后报价表》为准，接受采购人按照政府采购合同约定金额支付采购资金。</w:t>
      </w:r>
    </w:p>
    <w:p w14:paraId="7F085EA9">
      <w:pPr>
        <w:spacing w:line="360" w:lineRule="auto"/>
        <w:rPr>
          <w:rFonts w:hint="eastAsia" w:ascii="宋体" w:hAnsi="宋体" w:eastAsia="宋体" w:cs="宋体"/>
          <w:sz w:val="24"/>
          <w:szCs w:val="24"/>
        </w:rPr>
      </w:pPr>
      <w:r>
        <w:rPr>
          <w:rFonts w:hint="eastAsia" w:ascii="宋体" w:hAnsi="宋体" w:eastAsia="宋体" w:cs="宋体"/>
          <w:sz w:val="24"/>
          <w:szCs w:val="24"/>
        </w:rPr>
        <w:t>（7）我方递交的响应文件有效期为</w:t>
      </w:r>
      <w:r>
        <w:rPr>
          <w:rFonts w:hint="eastAsia" w:ascii="宋体" w:hAnsi="宋体" w:cs="宋体"/>
          <w:sz w:val="24"/>
          <w:szCs w:val="24"/>
          <w:lang w:eastAsia="zh-CN"/>
        </w:rPr>
        <w:t>竞争性谈判</w:t>
      </w:r>
      <w:r>
        <w:rPr>
          <w:rFonts w:hint="eastAsia" w:ascii="宋体" w:hAnsi="宋体" w:eastAsia="宋体" w:cs="宋体"/>
          <w:sz w:val="24"/>
          <w:szCs w:val="24"/>
        </w:rPr>
        <w:t>文件规定起算之日起</w:t>
      </w:r>
      <w:r>
        <w:rPr>
          <w:rFonts w:hint="eastAsia" w:ascii="宋体" w:hAnsi="宋体" w:cs="宋体"/>
          <w:sz w:val="24"/>
          <w:szCs w:val="24"/>
          <w:lang w:val="en-US" w:eastAsia="zh-CN"/>
        </w:rPr>
        <w:t>90</w:t>
      </w:r>
      <w:r>
        <w:rPr>
          <w:rFonts w:hint="eastAsia" w:ascii="宋体" w:hAnsi="宋体" w:eastAsia="宋体" w:cs="宋体"/>
          <w:sz w:val="24"/>
          <w:szCs w:val="24"/>
        </w:rPr>
        <w:t>天。</w:t>
      </w:r>
    </w:p>
    <w:p w14:paraId="4FC51FA1">
      <w:pPr>
        <w:adjustRightInd w:val="0"/>
        <w:spacing w:line="360" w:lineRule="auto"/>
        <w:ind w:firstLine="480" w:firstLineChars="200"/>
        <w:jc w:val="left"/>
        <w:rPr>
          <w:rFonts w:hint="eastAsia" w:ascii="宋体" w:hAnsi="宋体" w:eastAsia="宋体" w:cs="宋体"/>
          <w:sz w:val="24"/>
          <w:szCs w:val="24"/>
        </w:rPr>
      </w:pPr>
    </w:p>
    <w:p w14:paraId="4D28BFF1">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14:paraId="10B920B4">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14:paraId="6B901405">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通讯地址：XXX</w:t>
      </w:r>
    </w:p>
    <w:p w14:paraId="2170F117">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邮政编码：XXX</w:t>
      </w:r>
    </w:p>
    <w:p w14:paraId="7FECE27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联系电话：XXX</w:t>
      </w:r>
    </w:p>
    <w:p w14:paraId="5C69E09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传真：XXX</w:t>
      </w:r>
    </w:p>
    <w:p w14:paraId="198C66AD">
      <w:pPr>
        <w:ind w:firstLine="480" w:firstLineChars="200"/>
        <w:rPr>
          <w:rFonts w:hint="eastAsia" w:ascii="宋体" w:hAnsi="宋体" w:eastAsia="宋体" w:cs="宋体"/>
          <w:b/>
          <w:bCs/>
          <w:sz w:val="24"/>
          <w:szCs w:val="24"/>
        </w:rPr>
      </w:pPr>
      <w:r>
        <w:rPr>
          <w:rFonts w:hint="eastAsia" w:ascii="宋体" w:hAnsi="宋体" w:eastAsia="宋体" w:cs="宋体"/>
          <w:sz w:val="24"/>
          <w:szCs w:val="24"/>
        </w:rPr>
        <w:t>日期：XXX年XXX月XXX日</w:t>
      </w:r>
      <w:r>
        <w:rPr>
          <w:rFonts w:hint="eastAsia" w:ascii="宋体" w:hAnsi="宋体" w:eastAsia="宋体" w:cs="宋体"/>
          <w:b/>
          <w:bCs/>
          <w:sz w:val="24"/>
          <w:szCs w:val="24"/>
        </w:rPr>
        <w:br w:type="page"/>
      </w:r>
      <w:r>
        <w:rPr>
          <w:rFonts w:hint="eastAsia" w:ascii="宋体" w:hAnsi="宋体" w:eastAsia="宋体" w:cs="宋体"/>
          <w:b/>
          <w:bCs/>
          <w:sz w:val="24"/>
          <w:szCs w:val="24"/>
        </w:rPr>
        <w:t>格式2-3</w:t>
      </w:r>
    </w:p>
    <w:p w14:paraId="0AFED55A">
      <w:pPr>
        <w:widowControl/>
        <w:jc w:val="center"/>
        <w:outlineLvl w:val="1"/>
        <w:rPr>
          <w:rFonts w:hint="eastAsia" w:ascii="宋体" w:hAnsi="宋体" w:eastAsia="宋体" w:cs="宋体"/>
          <w:b/>
          <w:bCs/>
          <w:sz w:val="24"/>
          <w:szCs w:val="24"/>
        </w:rPr>
      </w:pPr>
      <w:r>
        <w:rPr>
          <w:rFonts w:hint="eastAsia" w:ascii="宋体" w:hAnsi="宋体" w:eastAsia="宋体" w:cs="宋体"/>
          <w:b/>
          <w:bCs/>
          <w:sz w:val="24"/>
          <w:szCs w:val="24"/>
        </w:rPr>
        <w:t>二、承诺函（实质性要求）</w:t>
      </w:r>
    </w:p>
    <w:p w14:paraId="2FE1E3A0">
      <w:pPr>
        <w:widowControl/>
        <w:jc w:val="center"/>
        <w:outlineLvl w:val="1"/>
        <w:rPr>
          <w:rFonts w:hint="eastAsia" w:ascii="宋体" w:hAnsi="宋体" w:eastAsia="宋体" w:cs="宋体"/>
          <w:b/>
          <w:bCs/>
          <w:sz w:val="24"/>
          <w:szCs w:val="24"/>
        </w:rPr>
      </w:pPr>
    </w:p>
    <w:p w14:paraId="58BD68A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XXX（采购代理机构名称）：</w:t>
      </w:r>
    </w:p>
    <w:p w14:paraId="00C3E9E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我方作为本次采购项目的供应商，根据谈判文件要求，现郑重承诺如下：</w:t>
      </w:r>
    </w:p>
    <w:p w14:paraId="4C7F07D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一、我方已认真阅读并接受本项目</w:t>
      </w:r>
      <w:r>
        <w:rPr>
          <w:rFonts w:hint="eastAsia" w:ascii="宋体" w:hAnsi="宋体" w:cs="宋体"/>
          <w:sz w:val="24"/>
          <w:szCs w:val="24"/>
          <w:lang w:eastAsia="zh-CN"/>
        </w:rPr>
        <w:t>谈判</w:t>
      </w:r>
      <w:r>
        <w:rPr>
          <w:rFonts w:hint="eastAsia" w:ascii="宋体" w:hAnsi="宋体" w:eastAsia="宋体" w:cs="宋体"/>
          <w:sz w:val="24"/>
          <w:szCs w:val="24"/>
        </w:rPr>
        <w:t>文件的全部实质性要求。</w:t>
      </w:r>
    </w:p>
    <w:p w14:paraId="1A1E3F9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二、在参加本次采购活动中，不存在与单位负责人为同一人或者存在直接控股、管理关系的其他供应商参与同一合同项下的政府采购活动的行为。</w:t>
      </w:r>
    </w:p>
    <w:p w14:paraId="6A1A0BE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三、为采购项目提供整体设计、规范编制或者项目管理、监理、检测等服务的供应商，不得再参加该采购项目的其他采购活动，我方承诺不属于此类禁止参加本项目的供应商。</w:t>
      </w:r>
    </w:p>
    <w:p w14:paraId="2D8AAF7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四、在参加本次采购活动中，不存在和其他供应商在同一合同项下的采购项目中，同时委托同一个自然人、同一家庭的人员、同一单位的人员作为代理人的行为。</w:t>
      </w:r>
    </w:p>
    <w:p w14:paraId="64C8BFB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五、我方实际控制人或者中高级管理人员或者其他工作人员，不存在同时是采购代理机构工作人员的情形。</w:t>
      </w:r>
    </w:p>
    <w:p w14:paraId="626EAEB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六、不存在同一母公司的两家以上的子公司，以不同供应商身份同时参加本项目同一合同项下的采购活动的情形。</w:t>
      </w:r>
    </w:p>
    <w:p w14:paraId="5C4B339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七、我方与采购代理机构不存在关联关系，也不是采购代理机构的母公司或子公司。</w:t>
      </w:r>
    </w:p>
    <w:p w14:paraId="26636C4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八、如果有《四川省政府采购当事人诚信管理办法》（川财采[2015]33号）规定的记入诚信档案的失信行为，将在响应文件中全面如实反映。</w:t>
      </w:r>
    </w:p>
    <w:p w14:paraId="3779016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九、响应文件中提供的任何资料和技术、服务、商务等响应承诺情况都是真实的、有效的、合法的。</w:t>
      </w:r>
    </w:p>
    <w:p w14:paraId="0C34ECB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14:paraId="3CA0F12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十一、国家或行业主管部门对工程项目的技术标准、质量标准和资格资质条件等有强制性规定的，我方承诺符合其要求。</w:t>
      </w:r>
    </w:p>
    <w:p w14:paraId="5D81EA3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十二、参加本次采购活动，我方完全同意谈判文件第二章关于“谈判费用”、“合同分包”、“合同转包”、“履约保证金”的实质性要求，并承诺严格按照谈判文件要求履行。</w:t>
      </w:r>
    </w:p>
    <w:p w14:paraId="1581971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三、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A8DA1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十四、与我方存在直接控股关系的单位为：XXX；存在管理关系单位为：XXX。</w:t>
      </w:r>
    </w:p>
    <w:p w14:paraId="259D30D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我方对上述承诺的内容事项真实性负责。如经查实上述承诺的内容事项存在虚假，我方愿意接受以提供虚假材料谋取成交的法律责任。</w:t>
      </w:r>
    </w:p>
    <w:p w14:paraId="655D47FD">
      <w:pPr>
        <w:spacing w:line="440" w:lineRule="exact"/>
        <w:ind w:firstLine="480" w:firstLineChars="200"/>
        <w:rPr>
          <w:rFonts w:hint="eastAsia" w:ascii="宋体" w:hAnsi="宋体" w:eastAsia="宋体" w:cs="宋体"/>
          <w:sz w:val="24"/>
          <w:szCs w:val="24"/>
        </w:rPr>
      </w:pPr>
    </w:p>
    <w:p w14:paraId="6309A1E8">
      <w:pPr>
        <w:spacing w:line="440" w:lineRule="exact"/>
        <w:ind w:firstLine="480" w:firstLineChars="200"/>
        <w:rPr>
          <w:rFonts w:hint="eastAsia" w:ascii="宋体" w:hAnsi="宋体" w:eastAsia="宋体" w:cs="宋体"/>
          <w:sz w:val="24"/>
          <w:szCs w:val="24"/>
        </w:rPr>
      </w:pPr>
    </w:p>
    <w:p w14:paraId="7F5C605D">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14:paraId="44A81EB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供应商名称：XXXX（盖章）</w:t>
      </w:r>
    </w:p>
    <w:p w14:paraId="579B170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14:paraId="53B5AECE">
      <w:pPr>
        <w:spacing w:line="360" w:lineRule="auto"/>
        <w:ind w:firstLine="480" w:firstLineChars="200"/>
        <w:rPr>
          <w:rFonts w:hint="eastAsia" w:ascii="宋体" w:hAnsi="宋体" w:eastAsia="宋体" w:cs="宋体"/>
          <w:sz w:val="24"/>
          <w:szCs w:val="24"/>
        </w:rPr>
      </w:pPr>
    </w:p>
    <w:bookmarkEnd w:id="94"/>
    <w:p w14:paraId="47316DC0">
      <w:pPr>
        <w:pStyle w:val="97"/>
        <w:widowControl/>
        <w:numPr>
          <w:ilvl w:val="0"/>
          <w:numId w:val="0"/>
        </w:numPr>
        <w:spacing w:line="360" w:lineRule="auto"/>
        <w:ind w:leftChars="0"/>
        <w:outlineLvl w:val="1"/>
        <w:rPr>
          <w:rFonts w:hint="eastAsia" w:ascii="宋体" w:hAnsi="宋体" w:eastAsia="宋体" w:cs="宋体"/>
          <w:sz w:val="24"/>
          <w:szCs w:val="24"/>
          <w:lang w:val="en-US" w:eastAsia="zh-CN"/>
        </w:rPr>
      </w:pPr>
      <w:bookmarkStart w:id="95" w:name="_Toc217446087"/>
      <w:r>
        <w:rPr>
          <w:rFonts w:hint="eastAsia" w:ascii="宋体" w:hAnsi="宋体" w:eastAsia="宋体" w:cs="宋体"/>
          <w:sz w:val="24"/>
          <w:szCs w:val="24"/>
        </w:rPr>
        <w:br w:type="page"/>
      </w:r>
      <w:r>
        <w:rPr>
          <w:rFonts w:hint="eastAsia" w:ascii="宋体" w:hAnsi="宋体" w:eastAsia="宋体" w:cs="宋体"/>
          <w:b/>
          <w:bCs/>
          <w:sz w:val="24"/>
          <w:szCs w:val="24"/>
        </w:rPr>
        <w:t>格式2-</w:t>
      </w:r>
      <w:r>
        <w:rPr>
          <w:rFonts w:hint="eastAsia" w:ascii="宋体" w:hAnsi="宋体" w:cs="宋体"/>
          <w:b/>
          <w:bCs/>
          <w:sz w:val="24"/>
          <w:szCs w:val="24"/>
          <w:lang w:val="en-US" w:eastAsia="zh-CN"/>
        </w:rPr>
        <w:t>4</w:t>
      </w:r>
    </w:p>
    <w:p w14:paraId="711D0E19">
      <w:pPr>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、供应商基本情况表</w:t>
      </w:r>
    </w:p>
    <w:tbl>
      <w:tblPr>
        <w:tblStyle w:val="4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62D4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0E9A6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560" w:type="dxa"/>
            <w:gridSpan w:val="11"/>
            <w:vAlign w:val="center"/>
          </w:tcPr>
          <w:p w14:paraId="0B225603">
            <w:pPr>
              <w:spacing w:line="360" w:lineRule="auto"/>
              <w:jc w:val="center"/>
              <w:rPr>
                <w:rFonts w:hint="eastAsia" w:ascii="宋体" w:hAnsi="宋体" w:eastAsia="宋体" w:cs="宋体"/>
                <w:sz w:val="24"/>
                <w:szCs w:val="24"/>
              </w:rPr>
            </w:pPr>
          </w:p>
        </w:tc>
      </w:tr>
      <w:tr w14:paraId="79AC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70CD0B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4680" w:type="dxa"/>
            <w:gridSpan w:val="6"/>
            <w:vAlign w:val="center"/>
          </w:tcPr>
          <w:p w14:paraId="0445C815">
            <w:pPr>
              <w:spacing w:line="360" w:lineRule="auto"/>
              <w:jc w:val="center"/>
              <w:rPr>
                <w:rFonts w:hint="eastAsia" w:ascii="宋体" w:hAnsi="宋体" w:eastAsia="宋体" w:cs="宋体"/>
                <w:sz w:val="24"/>
                <w:szCs w:val="24"/>
              </w:rPr>
            </w:pPr>
          </w:p>
        </w:tc>
        <w:tc>
          <w:tcPr>
            <w:tcW w:w="1260" w:type="dxa"/>
            <w:gridSpan w:val="3"/>
            <w:vAlign w:val="center"/>
          </w:tcPr>
          <w:p w14:paraId="798B76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620" w:type="dxa"/>
            <w:gridSpan w:val="2"/>
            <w:vAlign w:val="center"/>
          </w:tcPr>
          <w:p w14:paraId="4DFFC76B">
            <w:pPr>
              <w:spacing w:line="360" w:lineRule="auto"/>
              <w:jc w:val="center"/>
              <w:rPr>
                <w:rFonts w:hint="eastAsia" w:ascii="宋体" w:hAnsi="宋体" w:eastAsia="宋体" w:cs="宋体"/>
                <w:sz w:val="24"/>
                <w:szCs w:val="24"/>
              </w:rPr>
            </w:pPr>
          </w:p>
        </w:tc>
      </w:tr>
      <w:tr w14:paraId="0AAB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7502AB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80" w:type="dxa"/>
            <w:vAlign w:val="center"/>
          </w:tcPr>
          <w:p w14:paraId="6A44997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3600" w:type="dxa"/>
            <w:gridSpan w:val="5"/>
            <w:vAlign w:val="center"/>
          </w:tcPr>
          <w:p w14:paraId="3D44A034">
            <w:pPr>
              <w:spacing w:line="360" w:lineRule="auto"/>
              <w:jc w:val="center"/>
              <w:rPr>
                <w:rFonts w:hint="eastAsia" w:ascii="宋体" w:hAnsi="宋体" w:eastAsia="宋体" w:cs="宋体"/>
                <w:sz w:val="24"/>
                <w:szCs w:val="24"/>
              </w:rPr>
            </w:pPr>
          </w:p>
        </w:tc>
        <w:tc>
          <w:tcPr>
            <w:tcW w:w="1260" w:type="dxa"/>
            <w:gridSpan w:val="3"/>
            <w:vAlign w:val="center"/>
          </w:tcPr>
          <w:p w14:paraId="72B93D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20" w:type="dxa"/>
            <w:gridSpan w:val="2"/>
            <w:vAlign w:val="center"/>
          </w:tcPr>
          <w:p w14:paraId="61083B52">
            <w:pPr>
              <w:spacing w:line="360" w:lineRule="auto"/>
              <w:jc w:val="center"/>
              <w:rPr>
                <w:rFonts w:hint="eastAsia" w:ascii="宋体" w:hAnsi="宋体" w:eastAsia="宋体" w:cs="宋体"/>
                <w:sz w:val="24"/>
                <w:szCs w:val="24"/>
              </w:rPr>
            </w:pPr>
          </w:p>
        </w:tc>
      </w:tr>
      <w:tr w14:paraId="6F61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C48CBC5">
            <w:pPr>
              <w:spacing w:line="360" w:lineRule="auto"/>
              <w:jc w:val="center"/>
              <w:rPr>
                <w:rFonts w:hint="eastAsia" w:ascii="宋体" w:hAnsi="宋体" w:eastAsia="宋体" w:cs="宋体"/>
                <w:sz w:val="24"/>
                <w:szCs w:val="24"/>
              </w:rPr>
            </w:pPr>
          </w:p>
        </w:tc>
        <w:tc>
          <w:tcPr>
            <w:tcW w:w="1080" w:type="dxa"/>
            <w:vAlign w:val="center"/>
          </w:tcPr>
          <w:p w14:paraId="3B1C7C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3600" w:type="dxa"/>
            <w:gridSpan w:val="5"/>
            <w:vAlign w:val="center"/>
          </w:tcPr>
          <w:p w14:paraId="6B91EA5E">
            <w:pPr>
              <w:spacing w:line="360" w:lineRule="auto"/>
              <w:jc w:val="center"/>
              <w:rPr>
                <w:rFonts w:hint="eastAsia" w:ascii="宋体" w:hAnsi="宋体" w:eastAsia="宋体" w:cs="宋体"/>
                <w:sz w:val="24"/>
                <w:szCs w:val="24"/>
              </w:rPr>
            </w:pPr>
          </w:p>
        </w:tc>
        <w:tc>
          <w:tcPr>
            <w:tcW w:w="1260" w:type="dxa"/>
            <w:gridSpan w:val="3"/>
            <w:vAlign w:val="center"/>
          </w:tcPr>
          <w:p w14:paraId="79E4B8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网址</w:t>
            </w:r>
          </w:p>
        </w:tc>
        <w:tc>
          <w:tcPr>
            <w:tcW w:w="1620" w:type="dxa"/>
            <w:gridSpan w:val="2"/>
            <w:vAlign w:val="center"/>
          </w:tcPr>
          <w:p w14:paraId="0BCEFF7F">
            <w:pPr>
              <w:spacing w:line="360" w:lineRule="auto"/>
              <w:jc w:val="center"/>
              <w:rPr>
                <w:rFonts w:hint="eastAsia" w:ascii="宋体" w:hAnsi="宋体" w:eastAsia="宋体" w:cs="宋体"/>
                <w:sz w:val="24"/>
                <w:szCs w:val="24"/>
              </w:rPr>
            </w:pPr>
          </w:p>
        </w:tc>
      </w:tr>
      <w:tr w14:paraId="46F6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3B1D0C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法定代表人/主要负责人</w:t>
            </w:r>
          </w:p>
        </w:tc>
        <w:tc>
          <w:tcPr>
            <w:tcW w:w="1260" w:type="dxa"/>
            <w:gridSpan w:val="2"/>
            <w:vAlign w:val="center"/>
          </w:tcPr>
          <w:p w14:paraId="07FA98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60" w:type="dxa"/>
            <w:vAlign w:val="center"/>
          </w:tcPr>
          <w:p w14:paraId="3E8157AC">
            <w:pPr>
              <w:spacing w:line="360" w:lineRule="auto"/>
              <w:jc w:val="center"/>
              <w:rPr>
                <w:rFonts w:hint="eastAsia" w:ascii="宋体" w:hAnsi="宋体" w:eastAsia="宋体" w:cs="宋体"/>
                <w:sz w:val="24"/>
                <w:szCs w:val="24"/>
              </w:rPr>
            </w:pPr>
          </w:p>
        </w:tc>
        <w:tc>
          <w:tcPr>
            <w:tcW w:w="1260" w:type="dxa"/>
            <w:vAlign w:val="center"/>
          </w:tcPr>
          <w:p w14:paraId="025949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260" w:type="dxa"/>
            <w:gridSpan w:val="3"/>
            <w:vAlign w:val="center"/>
          </w:tcPr>
          <w:p w14:paraId="1E7B4381">
            <w:pPr>
              <w:spacing w:line="360" w:lineRule="auto"/>
              <w:jc w:val="center"/>
              <w:rPr>
                <w:rFonts w:hint="eastAsia" w:ascii="宋体" w:hAnsi="宋体" w:eastAsia="宋体" w:cs="宋体"/>
                <w:sz w:val="24"/>
                <w:szCs w:val="24"/>
              </w:rPr>
            </w:pPr>
          </w:p>
        </w:tc>
        <w:tc>
          <w:tcPr>
            <w:tcW w:w="1260" w:type="dxa"/>
            <w:gridSpan w:val="3"/>
            <w:vAlign w:val="center"/>
          </w:tcPr>
          <w:p w14:paraId="3A13F1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dxa"/>
            <w:vAlign w:val="center"/>
          </w:tcPr>
          <w:p w14:paraId="100106D7">
            <w:pPr>
              <w:spacing w:line="360" w:lineRule="auto"/>
              <w:jc w:val="center"/>
              <w:rPr>
                <w:rFonts w:hint="eastAsia" w:ascii="宋体" w:hAnsi="宋体" w:eastAsia="宋体" w:cs="宋体"/>
                <w:sz w:val="24"/>
                <w:szCs w:val="24"/>
              </w:rPr>
            </w:pPr>
          </w:p>
        </w:tc>
      </w:tr>
      <w:tr w14:paraId="0AD1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266496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260" w:type="dxa"/>
            <w:gridSpan w:val="2"/>
            <w:vAlign w:val="center"/>
          </w:tcPr>
          <w:p w14:paraId="663587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60" w:type="dxa"/>
            <w:vAlign w:val="center"/>
          </w:tcPr>
          <w:p w14:paraId="74E6493F">
            <w:pPr>
              <w:spacing w:line="360" w:lineRule="auto"/>
              <w:jc w:val="center"/>
              <w:rPr>
                <w:rFonts w:hint="eastAsia" w:ascii="宋体" w:hAnsi="宋体" w:eastAsia="宋体" w:cs="宋体"/>
                <w:sz w:val="24"/>
                <w:szCs w:val="24"/>
              </w:rPr>
            </w:pPr>
          </w:p>
        </w:tc>
        <w:tc>
          <w:tcPr>
            <w:tcW w:w="1260" w:type="dxa"/>
            <w:vAlign w:val="center"/>
          </w:tcPr>
          <w:p w14:paraId="1B3657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260" w:type="dxa"/>
            <w:gridSpan w:val="3"/>
            <w:vAlign w:val="center"/>
          </w:tcPr>
          <w:p w14:paraId="7EED9D45">
            <w:pPr>
              <w:spacing w:line="360" w:lineRule="auto"/>
              <w:jc w:val="center"/>
              <w:rPr>
                <w:rFonts w:hint="eastAsia" w:ascii="宋体" w:hAnsi="宋体" w:eastAsia="宋体" w:cs="宋体"/>
                <w:sz w:val="24"/>
                <w:szCs w:val="24"/>
              </w:rPr>
            </w:pPr>
          </w:p>
        </w:tc>
        <w:tc>
          <w:tcPr>
            <w:tcW w:w="1260" w:type="dxa"/>
            <w:gridSpan w:val="3"/>
            <w:vAlign w:val="center"/>
          </w:tcPr>
          <w:p w14:paraId="72023A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dxa"/>
            <w:vAlign w:val="center"/>
          </w:tcPr>
          <w:p w14:paraId="00DEDFEE">
            <w:pPr>
              <w:spacing w:line="360" w:lineRule="auto"/>
              <w:jc w:val="center"/>
              <w:rPr>
                <w:rFonts w:hint="eastAsia" w:ascii="宋体" w:hAnsi="宋体" w:eastAsia="宋体" w:cs="宋体"/>
                <w:sz w:val="24"/>
                <w:szCs w:val="24"/>
              </w:rPr>
            </w:pPr>
          </w:p>
        </w:tc>
      </w:tr>
      <w:tr w14:paraId="0E47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3F9C97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520" w:type="dxa"/>
            <w:gridSpan w:val="3"/>
            <w:vAlign w:val="center"/>
          </w:tcPr>
          <w:p w14:paraId="6BF8C7F5">
            <w:pPr>
              <w:spacing w:line="360" w:lineRule="auto"/>
              <w:jc w:val="center"/>
              <w:rPr>
                <w:rFonts w:hint="eastAsia" w:ascii="宋体" w:hAnsi="宋体" w:eastAsia="宋体" w:cs="宋体"/>
                <w:sz w:val="24"/>
                <w:szCs w:val="24"/>
              </w:rPr>
            </w:pPr>
          </w:p>
        </w:tc>
        <w:tc>
          <w:tcPr>
            <w:tcW w:w="5040" w:type="dxa"/>
            <w:gridSpan w:val="8"/>
            <w:vAlign w:val="center"/>
          </w:tcPr>
          <w:p w14:paraId="6E187F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员工总人数：</w:t>
            </w:r>
          </w:p>
        </w:tc>
      </w:tr>
      <w:tr w14:paraId="3839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CFE6E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企业资质等级</w:t>
            </w:r>
          </w:p>
        </w:tc>
        <w:tc>
          <w:tcPr>
            <w:tcW w:w="2520" w:type="dxa"/>
            <w:gridSpan w:val="3"/>
            <w:vAlign w:val="center"/>
          </w:tcPr>
          <w:p w14:paraId="10CFDD20">
            <w:pPr>
              <w:spacing w:line="360" w:lineRule="auto"/>
              <w:jc w:val="center"/>
              <w:rPr>
                <w:rFonts w:hint="eastAsia" w:ascii="宋体" w:hAnsi="宋体" w:eastAsia="宋体" w:cs="宋体"/>
                <w:sz w:val="24"/>
                <w:szCs w:val="24"/>
              </w:rPr>
            </w:pPr>
          </w:p>
        </w:tc>
        <w:tc>
          <w:tcPr>
            <w:tcW w:w="1680" w:type="dxa"/>
            <w:gridSpan w:val="2"/>
            <w:vMerge w:val="restart"/>
            <w:vAlign w:val="center"/>
          </w:tcPr>
          <w:p w14:paraId="5A6282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1680" w:type="dxa"/>
            <w:gridSpan w:val="3"/>
            <w:vAlign w:val="center"/>
          </w:tcPr>
          <w:p w14:paraId="2B48B7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680" w:type="dxa"/>
            <w:gridSpan w:val="3"/>
            <w:vAlign w:val="center"/>
          </w:tcPr>
          <w:p w14:paraId="5F1D8712">
            <w:pPr>
              <w:spacing w:line="360" w:lineRule="auto"/>
              <w:jc w:val="center"/>
              <w:rPr>
                <w:rFonts w:hint="eastAsia" w:ascii="宋体" w:hAnsi="宋体" w:eastAsia="宋体" w:cs="宋体"/>
                <w:sz w:val="24"/>
                <w:szCs w:val="24"/>
              </w:rPr>
            </w:pPr>
          </w:p>
        </w:tc>
      </w:tr>
      <w:tr w14:paraId="2E01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AF71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520" w:type="dxa"/>
            <w:gridSpan w:val="3"/>
            <w:vAlign w:val="center"/>
          </w:tcPr>
          <w:p w14:paraId="4E4F2DEB">
            <w:pPr>
              <w:spacing w:line="360" w:lineRule="auto"/>
              <w:jc w:val="center"/>
              <w:rPr>
                <w:rFonts w:hint="eastAsia" w:ascii="宋体" w:hAnsi="宋体" w:eastAsia="宋体" w:cs="宋体"/>
                <w:sz w:val="24"/>
                <w:szCs w:val="24"/>
              </w:rPr>
            </w:pPr>
          </w:p>
        </w:tc>
        <w:tc>
          <w:tcPr>
            <w:tcW w:w="1680" w:type="dxa"/>
            <w:gridSpan w:val="2"/>
            <w:vMerge w:val="continue"/>
            <w:vAlign w:val="center"/>
          </w:tcPr>
          <w:p w14:paraId="7D12048D">
            <w:pPr>
              <w:spacing w:line="360" w:lineRule="auto"/>
              <w:jc w:val="center"/>
              <w:rPr>
                <w:rFonts w:hint="eastAsia" w:ascii="宋体" w:hAnsi="宋体" w:eastAsia="宋体" w:cs="宋体"/>
                <w:sz w:val="24"/>
                <w:szCs w:val="24"/>
              </w:rPr>
            </w:pPr>
          </w:p>
        </w:tc>
        <w:tc>
          <w:tcPr>
            <w:tcW w:w="1680" w:type="dxa"/>
            <w:gridSpan w:val="3"/>
            <w:vAlign w:val="center"/>
          </w:tcPr>
          <w:p w14:paraId="02B6F1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680" w:type="dxa"/>
            <w:gridSpan w:val="3"/>
            <w:vAlign w:val="center"/>
          </w:tcPr>
          <w:p w14:paraId="4CCF31A5">
            <w:pPr>
              <w:spacing w:line="360" w:lineRule="auto"/>
              <w:jc w:val="center"/>
              <w:rPr>
                <w:rFonts w:hint="eastAsia" w:ascii="宋体" w:hAnsi="宋体" w:eastAsia="宋体" w:cs="宋体"/>
                <w:sz w:val="24"/>
                <w:szCs w:val="24"/>
              </w:rPr>
            </w:pPr>
          </w:p>
        </w:tc>
      </w:tr>
      <w:tr w14:paraId="57F3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7CDA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520" w:type="dxa"/>
            <w:gridSpan w:val="3"/>
            <w:vAlign w:val="center"/>
          </w:tcPr>
          <w:p w14:paraId="0C256BD8">
            <w:pPr>
              <w:spacing w:line="360" w:lineRule="auto"/>
              <w:jc w:val="center"/>
              <w:rPr>
                <w:rFonts w:hint="eastAsia" w:ascii="宋体" w:hAnsi="宋体" w:eastAsia="宋体" w:cs="宋体"/>
                <w:sz w:val="24"/>
                <w:szCs w:val="24"/>
              </w:rPr>
            </w:pPr>
          </w:p>
        </w:tc>
        <w:tc>
          <w:tcPr>
            <w:tcW w:w="1680" w:type="dxa"/>
            <w:gridSpan w:val="2"/>
            <w:vMerge w:val="continue"/>
            <w:vAlign w:val="center"/>
          </w:tcPr>
          <w:p w14:paraId="513A07AE">
            <w:pPr>
              <w:spacing w:line="360" w:lineRule="auto"/>
              <w:jc w:val="center"/>
              <w:rPr>
                <w:rFonts w:hint="eastAsia" w:ascii="宋体" w:hAnsi="宋体" w:eastAsia="宋体" w:cs="宋体"/>
                <w:sz w:val="24"/>
                <w:szCs w:val="24"/>
              </w:rPr>
            </w:pPr>
          </w:p>
        </w:tc>
        <w:tc>
          <w:tcPr>
            <w:tcW w:w="1680" w:type="dxa"/>
            <w:gridSpan w:val="3"/>
            <w:vAlign w:val="center"/>
          </w:tcPr>
          <w:p w14:paraId="41DE0D5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680" w:type="dxa"/>
            <w:gridSpan w:val="3"/>
            <w:vAlign w:val="center"/>
          </w:tcPr>
          <w:p w14:paraId="5C98929F">
            <w:pPr>
              <w:spacing w:line="360" w:lineRule="auto"/>
              <w:jc w:val="center"/>
              <w:rPr>
                <w:rFonts w:hint="eastAsia" w:ascii="宋体" w:hAnsi="宋体" w:eastAsia="宋体" w:cs="宋体"/>
                <w:sz w:val="24"/>
                <w:szCs w:val="24"/>
              </w:rPr>
            </w:pPr>
          </w:p>
        </w:tc>
      </w:tr>
      <w:tr w14:paraId="0DF6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7C7BDD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520" w:type="dxa"/>
            <w:gridSpan w:val="3"/>
            <w:vAlign w:val="center"/>
          </w:tcPr>
          <w:p w14:paraId="2A0E62CE">
            <w:pPr>
              <w:spacing w:line="360" w:lineRule="auto"/>
              <w:jc w:val="center"/>
              <w:rPr>
                <w:rFonts w:hint="eastAsia" w:ascii="宋体" w:hAnsi="宋体" w:eastAsia="宋体" w:cs="宋体"/>
                <w:sz w:val="24"/>
                <w:szCs w:val="24"/>
              </w:rPr>
            </w:pPr>
          </w:p>
        </w:tc>
        <w:tc>
          <w:tcPr>
            <w:tcW w:w="1680" w:type="dxa"/>
            <w:gridSpan w:val="2"/>
            <w:vMerge w:val="continue"/>
            <w:vAlign w:val="center"/>
          </w:tcPr>
          <w:p w14:paraId="7D227F86">
            <w:pPr>
              <w:spacing w:line="360" w:lineRule="auto"/>
              <w:jc w:val="center"/>
              <w:rPr>
                <w:rFonts w:hint="eastAsia" w:ascii="宋体" w:hAnsi="宋体" w:eastAsia="宋体" w:cs="宋体"/>
                <w:sz w:val="24"/>
                <w:szCs w:val="24"/>
              </w:rPr>
            </w:pPr>
          </w:p>
        </w:tc>
        <w:tc>
          <w:tcPr>
            <w:tcW w:w="1680" w:type="dxa"/>
            <w:gridSpan w:val="3"/>
            <w:vAlign w:val="center"/>
          </w:tcPr>
          <w:p w14:paraId="3F56717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680" w:type="dxa"/>
            <w:gridSpan w:val="3"/>
            <w:vAlign w:val="center"/>
          </w:tcPr>
          <w:p w14:paraId="7FD9E7CA">
            <w:pPr>
              <w:spacing w:line="360" w:lineRule="auto"/>
              <w:jc w:val="center"/>
              <w:rPr>
                <w:rFonts w:hint="eastAsia" w:ascii="宋体" w:hAnsi="宋体" w:eastAsia="宋体" w:cs="宋体"/>
                <w:sz w:val="24"/>
                <w:szCs w:val="24"/>
              </w:rPr>
            </w:pPr>
          </w:p>
        </w:tc>
      </w:tr>
      <w:tr w14:paraId="3B83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AA54B0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2520" w:type="dxa"/>
            <w:gridSpan w:val="3"/>
            <w:vAlign w:val="center"/>
          </w:tcPr>
          <w:p w14:paraId="199C034E">
            <w:pPr>
              <w:spacing w:line="360" w:lineRule="auto"/>
              <w:jc w:val="center"/>
              <w:rPr>
                <w:rFonts w:hint="eastAsia" w:ascii="宋体" w:hAnsi="宋体" w:eastAsia="宋体" w:cs="宋体"/>
                <w:sz w:val="24"/>
                <w:szCs w:val="24"/>
              </w:rPr>
            </w:pPr>
          </w:p>
        </w:tc>
        <w:tc>
          <w:tcPr>
            <w:tcW w:w="1680" w:type="dxa"/>
            <w:gridSpan w:val="2"/>
            <w:vMerge w:val="continue"/>
            <w:vAlign w:val="center"/>
          </w:tcPr>
          <w:p w14:paraId="1E24D22A">
            <w:pPr>
              <w:spacing w:line="360" w:lineRule="auto"/>
              <w:jc w:val="center"/>
              <w:rPr>
                <w:rFonts w:hint="eastAsia" w:ascii="宋体" w:hAnsi="宋体" w:eastAsia="宋体" w:cs="宋体"/>
                <w:sz w:val="24"/>
                <w:szCs w:val="24"/>
              </w:rPr>
            </w:pPr>
          </w:p>
        </w:tc>
        <w:tc>
          <w:tcPr>
            <w:tcW w:w="1680" w:type="dxa"/>
            <w:gridSpan w:val="3"/>
            <w:vAlign w:val="center"/>
          </w:tcPr>
          <w:p w14:paraId="595DCC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技工</w:t>
            </w:r>
          </w:p>
        </w:tc>
        <w:tc>
          <w:tcPr>
            <w:tcW w:w="1680" w:type="dxa"/>
            <w:gridSpan w:val="3"/>
            <w:vAlign w:val="center"/>
          </w:tcPr>
          <w:p w14:paraId="2A4F2068">
            <w:pPr>
              <w:spacing w:line="360" w:lineRule="auto"/>
              <w:jc w:val="center"/>
              <w:rPr>
                <w:rFonts w:hint="eastAsia" w:ascii="宋体" w:hAnsi="宋体" w:eastAsia="宋体" w:cs="宋体"/>
                <w:sz w:val="24"/>
                <w:szCs w:val="24"/>
              </w:rPr>
            </w:pPr>
          </w:p>
        </w:tc>
      </w:tr>
      <w:tr w14:paraId="20A7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279A58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560" w:type="dxa"/>
            <w:gridSpan w:val="11"/>
            <w:vAlign w:val="center"/>
          </w:tcPr>
          <w:p w14:paraId="2D46BB37">
            <w:pPr>
              <w:spacing w:line="360" w:lineRule="auto"/>
              <w:jc w:val="center"/>
              <w:rPr>
                <w:rFonts w:hint="eastAsia" w:ascii="宋体" w:hAnsi="宋体" w:eastAsia="宋体" w:cs="宋体"/>
                <w:sz w:val="24"/>
                <w:szCs w:val="24"/>
              </w:rPr>
            </w:pPr>
          </w:p>
        </w:tc>
      </w:tr>
      <w:tr w14:paraId="07AF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36310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7560" w:type="dxa"/>
            <w:gridSpan w:val="11"/>
            <w:vAlign w:val="center"/>
          </w:tcPr>
          <w:p w14:paraId="6413F073">
            <w:pPr>
              <w:spacing w:line="360" w:lineRule="auto"/>
              <w:jc w:val="center"/>
              <w:rPr>
                <w:rFonts w:hint="eastAsia" w:ascii="宋体" w:hAnsi="宋体" w:eastAsia="宋体" w:cs="宋体"/>
                <w:sz w:val="24"/>
                <w:szCs w:val="24"/>
              </w:rPr>
            </w:pPr>
          </w:p>
        </w:tc>
      </w:tr>
    </w:tbl>
    <w:p w14:paraId="72B26148">
      <w:pPr>
        <w:adjustRightInd w:val="0"/>
        <w:spacing w:line="360" w:lineRule="auto"/>
        <w:jc w:val="left"/>
        <w:rPr>
          <w:rFonts w:hint="eastAsia" w:ascii="宋体" w:hAnsi="宋体" w:eastAsia="宋体" w:cs="宋体"/>
          <w:sz w:val="24"/>
          <w:szCs w:val="24"/>
        </w:rPr>
      </w:pPr>
    </w:p>
    <w:p w14:paraId="311FEAC3">
      <w:pPr>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14:paraId="6C4A8673">
      <w:pPr>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14:paraId="77E3A6B9">
      <w:pPr>
        <w:adjustRightInd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rPr>
        <w:t>日期：XXX年XXX月XXX日</w:t>
      </w:r>
      <w:r>
        <w:rPr>
          <w:rFonts w:hint="eastAsia" w:ascii="宋体" w:hAnsi="宋体" w:eastAsia="宋体" w:cs="宋体"/>
          <w:b/>
          <w:bCs/>
          <w:sz w:val="24"/>
          <w:szCs w:val="24"/>
        </w:rPr>
        <w:br w:type="page"/>
      </w:r>
      <w:r>
        <w:rPr>
          <w:rFonts w:hint="eastAsia" w:ascii="宋体" w:hAnsi="宋体" w:eastAsia="宋体" w:cs="宋体"/>
          <w:b/>
          <w:bCs/>
          <w:sz w:val="24"/>
          <w:szCs w:val="24"/>
        </w:rPr>
        <w:t>格式2-</w:t>
      </w:r>
      <w:r>
        <w:rPr>
          <w:rFonts w:hint="eastAsia" w:ascii="宋体" w:hAnsi="宋体" w:cs="宋体"/>
          <w:b/>
          <w:bCs/>
          <w:sz w:val="24"/>
          <w:szCs w:val="24"/>
          <w:lang w:val="en-US" w:eastAsia="zh-CN"/>
        </w:rPr>
        <w:t>5</w:t>
      </w:r>
    </w:p>
    <w:p w14:paraId="510C42BB">
      <w:pPr>
        <w:pStyle w:val="60"/>
        <w:rPr>
          <w:rFonts w:hint="eastAsia" w:ascii="宋体" w:hAnsi="宋体" w:eastAsia="宋体" w:cs="宋体"/>
          <w:b/>
          <w:bCs/>
          <w:sz w:val="24"/>
          <w:szCs w:val="24"/>
        </w:rPr>
      </w:pPr>
    </w:p>
    <w:p w14:paraId="0E27BDF8">
      <w:pPr>
        <w:pStyle w:val="60"/>
        <w:rPr>
          <w:rFonts w:hint="eastAsia" w:ascii="宋体" w:hAnsi="宋体" w:eastAsia="宋体" w:cs="宋体"/>
          <w:b/>
          <w:bCs/>
          <w:sz w:val="24"/>
          <w:szCs w:val="24"/>
        </w:rPr>
      </w:pPr>
    </w:p>
    <w:p w14:paraId="5662CFA8">
      <w:pPr>
        <w:keepNext w:val="0"/>
        <w:keepLines w:val="0"/>
        <w:widowControl/>
        <w:suppressLineNumbers w:val="0"/>
        <w:jc w:val="center"/>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四、</w:t>
      </w:r>
      <w:r>
        <w:rPr>
          <w:rFonts w:hint="eastAsia" w:ascii="宋体" w:hAnsi="宋体" w:eastAsia="宋体" w:cs="宋体"/>
          <w:b/>
          <w:bCs/>
          <w:color w:val="000000"/>
          <w:kern w:val="0"/>
          <w:sz w:val="24"/>
          <w:szCs w:val="24"/>
          <w:lang w:val="en-US" w:eastAsia="zh-CN" w:bidi="ar"/>
        </w:rPr>
        <w:t>中小企业声明函（工程、服务）</w:t>
      </w:r>
    </w:p>
    <w:p w14:paraId="18C8E370">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D6ACA1">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 xml:space="preserve">1. （标的名称） ，属于（采购文件中明确的所属行业）；承建（承接）企业为（企业名称），从业人员人，营业收入为 万元，资产总额为 万元，属于（中型企业、小型企业、微型企业）； 2. （标的名称） ，属于（采购文件中明确的所属行业）；承建（承接）企业为（企业名称），从业人员 人，营业收入为 万元，资产总额为 万元，属于（中型企业、小型企业、微型企业）； </w:t>
      </w:r>
    </w:p>
    <w:p w14:paraId="72AA2C25">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w:t>
      </w:r>
    </w:p>
    <w:p w14:paraId="438B45A6">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 xml:space="preserve">以上企业，不属于大企业的分支机构，不存在控股股东为大企业的情形，也不存在与大企业的负责人为同一人的情形。本企业对上述声明内容的真实性负责。如有虚假，将依法承担相应责任。 </w:t>
      </w:r>
    </w:p>
    <w:p w14:paraId="4CD5C6A1">
      <w:pPr>
        <w:spacing w:line="360" w:lineRule="auto"/>
        <w:ind w:firstLine="504" w:firstLineChars="200"/>
        <w:jc w:val="right"/>
        <w:rPr>
          <w:rFonts w:hint="eastAsia" w:ascii="宋体" w:hAnsi="宋体" w:eastAsia="宋体" w:cs="宋体"/>
          <w:spacing w:val="6"/>
          <w:sz w:val="24"/>
          <w:szCs w:val="24"/>
          <w:lang w:val="en-US" w:eastAsia="zh-CN"/>
        </w:rPr>
      </w:pPr>
    </w:p>
    <w:p w14:paraId="139E0E6E">
      <w:pPr>
        <w:spacing w:line="360" w:lineRule="auto"/>
        <w:ind w:firstLine="504" w:firstLineChars="200"/>
        <w:jc w:val="right"/>
        <w:rPr>
          <w:rFonts w:hint="eastAsia" w:ascii="宋体" w:hAnsi="宋体" w:eastAsia="宋体" w:cs="宋体"/>
          <w:spacing w:val="6"/>
          <w:sz w:val="24"/>
          <w:szCs w:val="24"/>
          <w:lang w:val="en-US" w:eastAsia="zh-CN"/>
        </w:rPr>
      </w:pPr>
    </w:p>
    <w:p w14:paraId="1B4E1966">
      <w:pPr>
        <w:spacing w:line="360" w:lineRule="auto"/>
        <w:ind w:firstLine="504" w:firstLineChars="200"/>
        <w:jc w:val="right"/>
        <w:rPr>
          <w:rFonts w:hint="eastAsia" w:ascii="宋体" w:hAnsi="宋体" w:eastAsia="宋体" w:cs="宋体"/>
          <w:spacing w:val="6"/>
          <w:sz w:val="24"/>
          <w:szCs w:val="24"/>
          <w:lang w:val="en-US" w:eastAsia="zh-CN"/>
        </w:rPr>
      </w:pPr>
    </w:p>
    <w:p w14:paraId="31CCD442">
      <w:pPr>
        <w:spacing w:line="360" w:lineRule="auto"/>
        <w:ind w:firstLine="504" w:firstLineChars="200"/>
        <w:jc w:val="right"/>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 xml:space="preserve">企业名称（盖章）： </w:t>
      </w:r>
    </w:p>
    <w:p w14:paraId="38D3862F">
      <w:pPr>
        <w:spacing w:line="360" w:lineRule="auto"/>
        <w:ind w:firstLine="504" w:firstLineChars="200"/>
        <w:jc w:val="right"/>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 xml:space="preserve">日 期： </w:t>
      </w:r>
    </w:p>
    <w:p w14:paraId="4C78E0B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54D611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65A9C9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92E2E3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A04584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E0AD28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D3E9DF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 从业人员、营业收入、资产总额填报上一年度数据，无上一年度数据的新成立企业可不填报。</w:t>
      </w:r>
    </w:p>
    <w:p w14:paraId="289DB409">
      <w:pPr>
        <w:spacing w:line="360" w:lineRule="auto"/>
        <w:rPr>
          <w:rFonts w:hint="eastAsia" w:ascii="宋体" w:hAnsi="宋体" w:eastAsia="宋体" w:cs="宋体"/>
          <w:b/>
          <w:bCs/>
          <w:sz w:val="24"/>
          <w:szCs w:val="24"/>
        </w:rPr>
      </w:pPr>
    </w:p>
    <w:p w14:paraId="6835FB9C">
      <w:pPr>
        <w:spacing w:line="360" w:lineRule="auto"/>
        <w:rPr>
          <w:rFonts w:hint="eastAsia" w:ascii="宋体" w:hAnsi="宋体" w:eastAsia="宋体" w:cs="宋体"/>
          <w:b/>
          <w:bCs/>
          <w:sz w:val="24"/>
          <w:szCs w:val="24"/>
        </w:rPr>
      </w:pPr>
    </w:p>
    <w:p w14:paraId="21F6AC20">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rPr>
        <w:t>格式2-</w:t>
      </w:r>
      <w:r>
        <w:rPr>
          <w:rFonts w:hint="eastAsia" w:ascii="宋体" w:hAnsi="宋体" w:cs="宋体"/>
          <w:b/>
          <w:bCs/>
          <w:sz w:val="24"/>
          <w:szCs w:val="24"/>
          <w:lang w:val="en-US" w:eastAsia="zh-CN"/>
        </w:rPr>
        <w:t>6</w:t>
      </w:r>
    </w:p>
    <w:p w14:paraId="34D27439">
      <w:pPr>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、残疾人福利性单位声明函</w:t>
      </w:r>
    </w:p>
    <w:p w14:paraId="67D4C497">
      <w:pPr>
        <w:spacing w:line="360" w:lineRule="auto"/>
        <w:rPr>
          <w:rFonts w:hint="eastAsia" w:ascii="宋体" w:hAnsi="宋体" w:eastAsia="宋体" w:cs="宋体"/>
          <w:b/>
          <w:bCs/>
          <w:spacing w:val="6"/>
          <w:sz w:val="24"/>
          <w:szCs w:val="24"/>
        </w:rPr>
      </w:pPr>
    </w:p>
    <w:p w14:paraId="0FBBF0A1">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14:paraId="567694FC">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73BAD0FA">
      <w:pPr>
        <w:spacing w:line="360" w:lineRule="auto"/>
        <w:rPr>
          <w:rFonts w:hint="eastAsia" w:ascii="宋体" w:hAnsi="宋体" w:eastAsia="宋体" w:cs="宋体"/>
          <w:spacing w:val="6"/>
          <w:sz w:val="24"/>
          <w:szCs w:val="24"/>
        </w:rPr>
      </w:pPr>
    </w:p>
    <w:p w14:paraId="50DBD712">
      <w:pPr>
        <w:spacing w:line="360" w:lineRule="auto"/>
        <w:rPr>
          <w:rFonts w:hint="eastAsia" w:ascii="宋体" w:hAnsi="宋体" w:eastAsia="宋体" w:cs="宋体"/>
          <w:spacing w:val="6"/>
          <w:sz w:val="24"/>
          <w:szCs w:val="24"/>
        </w:rPr>
      </w:pPr>
    </w:p>
    <w:p w14:paraId="6AD5347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单位名称：XXXX（盖单位公章）</w:t>
      </w:r>
    </w:p>
    <w:p w14:paraId="24455DB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法定代表人/单位负责人或授权代表（签字或加盖个人印章）：XXXX</w:t>
      </w:r>
    </w:p>
    <w:p w14:paraId="1E54A01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日期：XXXX</w:t>
      </w:r>
    </w:p>
    <w:p w14:paraId="3742E1D2">
      <w:pPr>
        <w:spacing w:line="360" w:lineRule="auto"/>
        <w:rPr>
          <w:rFonts w:hint="eastAsia" w:ascii="宋体" w:hAnsi="宋体" w:eastAsia="宋体" w:cs="宋体"/>
          <w:sz w:val="24"/>
          <w:szCs w:val="24"/>
        </w:rPr>
      </w:pPr>
    </w:p>
    <w:p w14:paraId="7DD5F565">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351D3F1F">
      <w:pPr>
        <w:numPr>
          <w:ilvl w:val="0"/>
          <w:numId w:val="8"/>
        </w:numPr>
        <w:spacing w:after="160" w:line="360" w:lineRule="auto"/>
        <w:rPr>
          <w:rFonts w:hint="eastAsia" w:ascii="宋体" w:hAnsi="宋体" w:eastAsia="宋体" w:cs="宋体"/>
          <w:sz w:val="24"/>
          <w:szCs w:val="24"/>
        </w:rPr>
      </w:pP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14:paraId="7857DF3F">
      <w:pPr>
        <w:numPr>
          <w:ilvl w:val="0"/>
          <w:numId w:val="8"/>
        </w:numPr>
        <w:spacing w:after="160" w:line="360" w:lineRule="auto"/>
        <w:rPr>
          <w:rFonts w:hint="eastAsia" w:ascii="宋体" w:hAnsi="宋体" w:eastAsia="宋体" w:cs="宋体"/>
          <w:sz w:val="24"/>
          <w:szCs w:val="24"/>
        </w:rPr>
      </w:pPr>
      <w:r>
        <w:rPr>
          <w:rFonts w:hint="eastAsia" w:ascii="宋体" w:hAnsi="宋体" w:eastAsia="宋体" w:cs="宋体"/>
          <w:sz w:val="24"/>
          <w:szCs w:val="24"/>
        </w:rPr>
        <w:t>供应商为非残疾人福利性单位的，不得提供此声明，提供此声明的，声明无效。</w:t>
      </w:r>
    </w:p>
    <w:p w14:paraId="06871BF0">
      <w:pPr>
        <w:widowControl/>
        <w:spacing w:line="360" w:lineRule="auto"/>
        <w:ind w:firstLine="470" w:firstLineChars="196"/>
        <w:jc w:val="left"/>
        <w:outlineLvl w:val="1"/>
        <w:rPr>
          <w:rFonts w:hint="eastAsia" w:ascii="宋体" w:hAnsi="宋体" w:eastAsia="宋体" w:cs="宋体"/>
          <w:sz w:val="24"/>
          <w:szCs w:val="24"/>
        </w:rPr>
      </w:pPr>
    </w:p>
    <w:p w14:paraId="77C8CBA0">
      <w:pPr>
        <w:widowControl/>
        <w:spacing w:line="360" w:lineRule="auto"/>
        <w:ind w:firstLine="470" w:firstLineChars="196"/>
        <w:jc w:val="left"/>
        <w:outlineLvl w:val="1"/>
        <w:rPr>
          <w:rFonts w:hint="eastAsia" w:ascii="宋体" w:hAnsi="宋体" w:eastAsia="宋体" w:cs="宋体"/>
          <w:sz w:val="24"/>
          <w:szCs w:val="24"/>
        </w:rPr>
      </w:pPr>
    </w:p>
    <w:p w14:paraId="0D3FB475">
      <w:pPr>
        <w:widowControl/>
        <w:spacing w:line="360" w:lineRule="auto"/>
        <w:ind w:firstLine="470" w:firstLineChars="196"/>
        <w:jc w:val="left"/>
        <w:outlineLvl w:val="1"/>
        <w:rPr>
          <w:rFonts w:hint="eastAsia" w:ascii="宋体" w:hAnsi="宋体" w:eastAsia="宋体" w:cs="宋体"/>
          <w:sz w:val="24"/>
          <w:szCs w:val="24"/>
        </w:rPr>
      </w:pPr>
    </w:p>
    <w:p w14:paraId="2909C067">
      <w:pPr>
        <w:widowControl/>
        <w:spacing w:line="360" w:lineRule="auto"/>
        <w:jc w:val="left"/>
        <w:outlineLvl w:val="1"/>
        <w:rPr>
          <w:rFonts w:hint="eastAsia" w:ascii="宋体" w:hAnsi="宋体" w:eastAsia="宋体" w:cs="宋体"/>
          <w:sz w:val="24"/>
          <w:szCs w:val="24"/>
        </w:rPr>
      </w:pPr>
    </w:p>
    <w:p w14:paraId="2236F0B4">
      <w:pPr>
        <w:spacing w:line="360" w:lineRule="auto"/>
        <w:rPr>
          <w:rFonts w:hint="eastAsia" w:ascii="宋体" w:hAnsi="宋体" w:eastAsia="宋体" w:cs="宋体"/>
          <w:b/>
          <w:bCs/>
          <w:sz w:val="24"/>
          <w:szCs w:val="24"/>
        </w:rPr>
        <w:sectPr>
          <w:headerReference r:id="rId5" w:type="default"/>
          <w:footerReference r:id="rId6" w:type="default"/>
          <w:pgSz w:w="11907" w:h="16840"/>
          <w:pgMar w:top="1440" w:right="1800" w:bottom="1440" w:left="1800" w:header="851" w:footer="992" w:gutter="0"/>
          <w:cols w:space="425" w:num="1"/>
          <w:docGrid w:linePitch="312" w:charSpace="0"/>
        </w:sectPr>
      </w:pPr>
    </w:p>
    <w:p w14:paraId="6BB340A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格式2-</w:t>
      </w:r>
      <w:r>
        <w:rPr>
          <w:rFonts w:hint="eastAsia" w:ascii="宋体" w:hAnsi="宋体" w:cs="宋体"/>
          <w:b/>
          <w:bCs/>
          <w:sz w:val="24"/>
          <w:szCs w:val="24"/>
          <w:lang w:val="en-US" w:eastAsia="zh-CN"/>
        </w:rPr>
        <w:t>7</w:t>
      </w:r>
    </w:p>
    <w:p w14:paraId="12A63DFF">
      <w:pPr>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、技术、服务、合同条款要求应答表</w:t>
      </w:r>
    </w:p>
    <w:tbl>
      <w:tblPr>
        <w:tblStyle w:val="44"/>
        <w:tblW w:w="8613" w:type="dxa"/>
        <w:tblInd w:w="2" w:type="dxa"/>
        <w:tblLayout w:type="fixed"/>
        <w:tblCellMar>
          <w:top w:w="0" w:type="dxa"/>
          <w:left w:w="108" w:type="dxa"/>
          <w:bottom w:w="0" w:type="dxa"/>
          <w:right w:w="108" w:type="dxa"/>
        </w:tblCellMar>
      </w:tblPr>
      <w:tblGrid>
        <w:gridCol w:w="877"/>
        <w:gridCol w:w="2990"/>
        <w:gridCol w:w="3452"/>
        <w:gridCol w:w="1294"/>
      </w:tblGrid>
      <w:tr w14:paraId="71071CE9">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6B7A652">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90" w:type="dxa"/>
            <w:tcBorders>
              <w:top w:val="single" w:color="auto" w:sz="4" w:space="0"/>
              <w:left w:val="nil"/>
              <w:bottom w:val="single" w:color="auto" w:sz="4" w:space="0"/>
              <w:right w:val="single" w:color="auto" w:sz="4" w:space="0"/>
            </w:tcBorders>
            <w:vAlign w:val="center"/>
          </w:tcPr>
          <w:p w14:paraId="1795B2AF">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项目</w:t>
            </w:r>
          </w:p>
        </w:tc>
        <w:tc>
          <w:tcPr>
            <w:tcW w:w="3452" w:type="dxa"/>
            <w:tcBorders>
              <w:top w:val="single" w:color="auto" w:sz="4" w:space="0"/>
              <w:left w:val="nil"/>
              <w:bottom w:val="single" w:color="auto" w:sz="4" w:space="0"/>
              <w:right w:val="single" w:color="auto" w:sz="4" w:space="0"/>
            </w:tcBorders>
            <w:vAlign w:val="center"/>
          </w:tcPr>
          <w:p w14:paraId="102FA70E">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响应内容</w:t>
            </w:r>
          </w:p>
        </w:tc>
        <w:tc>
          <w:tcPr>
            <w:tcW w:w="1294" w:type="dxa"/>
            <w:tcBorders>
              <w:top w:val="single" w:color="auto" w:sz="4" w:space="0"/>
              <w:left w:val="nil"/>
              <w:bottom w:val="single" w:color="auto" w:sz="4" w:space="0"/>
              <w:right w:val="single" w:color="auto" w:sz="4" w:space="0"/>
            </w:tcBorders>
            <w:vAlign w:val="center"/>
          </w:tcPr>
          <w:p w14:paraId="63FCBA80">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备注</w:t>
            </w:r>
          </w:p>
        </w:tc>
      </w:tr>
      <w:tr w14:paraId="24FFBED0">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66FEA84F">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1</w:t>
            </w:r>
          </w:p>
        </w:tc>
        <w:tc>
          <w:tcPr>
            <w:tcW w:w="2990" w:type="dxa"/>
            <w:tcBorders>
              <w:top w:val="single" w:color="auto" w:sz="4" w:space="0"/>
              <w:left w:val="nil"/>
              <w:bottom w:val="single" w:color="auto" w:sz="4" w:space="0"/>
              <w:right w:val="single" w:color="auto" w:sz="4" w:space="0"/>
            </w:tcBorders>
            <w:vAlign w:val="center"/>
          </w:tcPr>
          <w:p w14:paraId="163CC0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项目负责人（项目经理）</w:t>
            </w:r>
          </w:p>
        </w:tc>
        <w:tc>
          <w:tcPr>
            <w:tcW w:w="3452" w:type="dxa"/>
            <w:tcBorders>
              <w:top w:val="single" w:color="auto" w:sz="4" w:space="0"/>
              <w:left w:val="nil"/>
              <w:bottom w:val="single" w:color="auto" w:sz="4" w:space="0"/>
              <w:right w:val="single" w:color="auto" w:sz="4" w:space="0"/>
            </w:tcBorders>
            <w:vAlign w:val="center"/>
          </w:tcPr>
          <w:p w14:paraId="5BC99F32">
            <w:pPr>
              <w:spacing w:line="360" w:lineRule="auto"/>
              <w:ind w:right="21" w:rightChars="10"/>
              <w:jc w:val="left"/>
              <w:rPr>
                <w:rFonts w:hint="eastAsia" w:ascii="宋体" w:hAnsi="宋体" w:eastAsia="宋体" w:cs="宋体"/>
                <w:sz w:val="24"/>
                <w:szCs w:val="24"/>
              </w:rPr>
            </w:pPr>
            <w:r>
              <w:rPr>
                <w:rFonts w:hint="eastAsia" w:ascii="宋体" w:hAnsi="宋体" w:eastAsia="宋体" w:cs="宋体"/>
                <w:sz w:val="24"/>
                <w:szCs w:val="24"/>
              </w:rPr>
              <w:t>姓名：</w:t>
            </w:r>
          </w:p>
        </w:tc>
        <w:tc>
          <w:tcPr>
            <w:tcW w:w="1294" w:type="dxa"/>
            <w:tcBorders>
              <w:top w:val="single" w:color="auto" w:sz="4" w:space="0"/>
              <w:left w:val="nil"/>
              <w:bottom w:val="single" w:color="auto" w:sz="4" w:space="0"/>
              <w:right w:val="single" w:color="auto" w:sz="4" w:space="0"/>
            </w:tcBorders>
            <w:vAlign w:val="center"/>
          </w:tcPr>
          <w:p w14:paraId="03A6F9CF">
            <w:pPr>
              <w:spacing w:line="360" w:lineRule="auto"/>
              <w:ind w:right="21" w:rightChars="10"/>
              <w:jc w:val="center"/>
              <w:rPr>
                <w:rFonts w:hint="eastAsia" w:ascii="宋体" w:hAnsi="宋体" w:eastAsia="宋体" w:cs="宋体"/>
                <w:sz w:val="24"/>
                <w:szCs w:val="24"/>
              </w:rPr>
            </w:pPr>
          </w:p>
        </w:tc>
      </w:tr>
      <w:tr w14:paraId="160FBA36">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383ED6C3">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2</w:t>
            </w:r>
          </w:p>
        </w:tc>
        <w:tc>
          <w:tcPr>
            <w:tcW w:w="2990" w:type="dxa"/>
            <w:tcBorders>
              <w:top w:val="single" w:color="auto" w:sz="4" w:space="0"/>
              <w:left w:val="nil"/>
              <w:bottom w:val="single" w:color="auto" w:sz="4" w:space="0"/>
              <w:right w:val="single" w:color="auto" w:sz="4" w:space="0"/>
            </w:tcBorders>
            <w:vAlign w:val="center"/>
          </w:tcPr>
          <w:p w14:paraId="3EB9D9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3452" w:type="dxa"/>
            <w:tcBorders>
              <w:top w:val="single" w:color="auto" w:sz="4" w:space="0"/>
              <w:left w:val="nil"/>
              <w:bottom w:val="single" w:color="auto" w:sz="4" w:space="0"/>
              <w:right w:val="single" w:color="auto" w:sz="4" w:space="0"/>
            </w:tcBorders>
            <w:vAlign w:val="center"/>
          </w:tcPr>
          <w:p w14:paraId="4406D502">
            <w:pPr>
              <w:spacing w:line="360" w:lineRule="auto"/>
              <w:ind w:right="21" w:rightChars="10"/>
              <w:jc w:val="left"/>
              <w:rPr>
                <w:rFonts w:hint="eastAsia" w:ascii="宋体" w:hAnsi="宋体" w:eastAsia="宋体" w:cs="宋体"/>
                <w:sz w:val="24"/>
                <w:szCs w:val="24"/>
              </w:rPr>
            </w:pPr>
            <w:r>
              <w:rPr>
                <w:rFonts w:hint="eastAsia" w:ascii="宋体" w:hAnsi="宋体" w:eastAsia="宋体" w:cs="宋体"/>
                <w:sz w:val="24"/>
                <w:szCs w:val="24"/>
              </w:rPr>
              <w:t>姓名：</w:t>
            </w:r>
          </w:p>
        </w:tc>
        <w:tc>
          <w:tcPr>
            <w:tcW w:w="1294" w:type="dxa"/>
            <w:tcBorders>
              <w:top w:val="single" w:color="auto" w:sz="4" w:space="0"/>
              <w:left w:val="nil"/>
              <w:bottom w:val="single" w:color="auto" w:sz="4" w:space="0"/>
              <w:right w:val="single" w:color="auto" w:sz="4" w:space="0"/>
            </w:tcBorders>
            <w:vAlign w:val="center"/>
          </w:tcPr>
          <w:p w14:paraId="42F22ADC">
            <w:pPr>
              <w:spacing w:line="360" w:lineRule="auto"/>
              <w:ind w:right="21" w:rightChars="10"/>
              <w:jc w:val="center"/>
              <w:rPr>
                <w:rFonts w:hint="eastAsia" w:ascii="宋体" w:hAnsi="宋体" w:eastAsia="宋体" w:cs="宋体"/>
                <w:sz w:val="24"/>
                <w:szCs w:val="24"/>
              </w:rPr>
            </w:pPr>
          </w:p>
        </w:tc>
      </w:tr>
      <w:tr w14:paraId="1D14B710">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18B27C4F">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3</w:t>
            </w:r>
          </w:p>
        </w:tc>
        <w:tc>
          <w:tcPr>
            <w:tcW w:w="2990" w:type="dxa"/>
            <w:tcBorders>
              <w:top w:val="single" w:color="auto" w:sz="4" w:space="0"/>
              <w:left w:val="nil"/>
              <w:bottom w:val="single" w:color="auto" w:sz="4" w:space="0"/>
              <w:right w:val="single" w:color="auto" w:sz="4" w:space="0"/>
            </w:tcBorders>
            <w:vAlign w:val="center"/>
          </w:tcPr>
          <w:p w14:paraId="4D99FFFD">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工期</w:t>
            </w:r>
          </w:p>
        </w:tc>
        <w:tc>
          <w:tcPr>
            <w:tcW w:w="3452" w:type="dxa"/>
            <w:tcBorders>
              <w:top w:val="single" w:color="auto" w:sz="4" w:space="0"/>
              <w:left w:val="nil"/>
              <w:bottom w:val="single" w:color="auto" w:sz="4" w:space="0"/>
              <w:right w:val="single" w:color="auto" w:sz="4" w:space="0"/>
            </w:tcBorders>
            <w:vAlign w:val="center"/>
          </w:tcPr>
          <w:p w14:paraId="61D15132">
            <w:pPr>
              <w:spacing w:line="360" w:lineRule="auto"/>
              <w:ind w:right="-82" w:rightChars="-39"/>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vAlign w:val="center"/>
          </w:tcPr>
          <w:p w14:paraId="50D53F0E">
            <w:pPr>
              <w:spacing w:line="360" w:lineRule="auto"/>
              <w:ind w:right="21" w:rightChars="10"/>
              <w:jc w:val="center"/>
              <w:rPr>
                <w:rFonts w:hint="eastAsia" w:ascii="宋体" w:hAnsi="宋体" w:eastAsia="宋体" w:cs="宋体"/>
                <w:sz w:val="24"/>
                <w:szCs w:val="24"/>
              </w:rPr>
            </w:pPr>
          </w:p>
        </w:tc>
      </w:tr>
      <w:tr w14:paraId="005A7FD3">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E9B1E0A">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4</w:t>
            </w:r>
          </w:p>
        </w:tc>
        <w:tc>
          <w:tcPr>
            <w:tcW w:w="2990" w:type="dxa"/>
            <w:tcBorders>
              <w:top w:val="single" w:color="auto" w:sz="4" w:space="0"/>
              <w:left w:val="nil"/>
              <w:bottom w:val="single" w:color="auto" w:sz="4" w:space="0"/>
              <w:right w:val="single" w:color="auto" w:sz="4" w:space="0"/>
            </w:tcBorders>
            <w:vAlign w:val="center"/>
          </w:tcPr>
          <w:p w14:paraId="3DB8FA24">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缺陷责任期</w:t>
            </w:r>
          </w:p>
        </w:tc>
        <w:tc>
          <w:tcPr>
            <w:tcW w:w="3452" w:type="dxa"/>
            <w:tcBorders>
              <w:top w:val="single" w:color="auto" w:sz="4" w:space="0"/>
              <w:left w:val="nil"/>
              <w:bottom w:val="single" w:color="auto" w:sz="4" w:space="0"/>
              <w:right w:val="single" w:color="auto" w:sz="4" w:space="0"/>
            </w:tcBorders>
            <w:vAlign w:val="center"/>
          </w:tcPr>
          <w:p w14:paraId="30909F8F">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个月</w:t>
            </w:r>
          </w:p>
        </w:tc>
        <w:tc>
          <w:tcPr>
            <w:tcW w:w="1294" w:type="dxa"/>
            <w:tcBorders>
              <w:top w:val="single" w:color="auto" w:sz="4" w:space="0"/>
              <w:left w:val="nil"/>
              <w:bottom w:val="single" w:color="auto" w:sz="4" w:space="0"/>
              <w:right w:val="single" w:color="auto" w:sz="4" w:space="0"/>
            </w:tcBorders>
            <w:vAlign w:val="center"/>
          </w:tcPr>
          <w:p w14:paraId="4141BEF0">
            <w:pPr>
              <w:spacing w:line="360" w:lineRule="auto"/>
              <w:ind w:right="21" w:rightChars="10"/>
              <w:jc w:val="center"/>
              <w:rPr>
                <w:rFonts w:hint="eastAsia" w:ascii="宋体" w:hAnsi="宋体" w:eastAsia="宋体" w:cs="宋体"/>
                <w:sz w:val="24"/>
                <w:szCs w:val="24"/>
              </w:rPr>
            </w:pPr>
          </w:p>
        </w:tc>
      </w:tr>
      <w:tr w14:paraId="1EAA2452">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3E375E1F">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5</w:t>
            </w:r>
          </w:p>
        </w:tc>
        <w:tc>
          <w:tcPr>
            <w:tcW w:w="2990" w:type="dxa"/>
            <w:tcBorders>
              <w:top w:val="single" w:color="auto" w:sz="4" w:space="0"/>
              <w:left w:val="nil"/>
              <w:bottom w:val="single" w:color="auto" w:sz="4" w:space="0"/>
              <w:right w:val="single" w:color="auto" w:sz="4" w:space="0"/>
            </w:tcBorders>
            <w:vAlign w:val="center"/>
          </w:tcPr>
          <w:p w14:paraId="75A5BE56">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分包</w:t>
            </w:r>
          </w:p>
        </w:tc>
        <w:tc>
          <w:tcPr>
            <w:tcW w:w="3452" w:type="dxa"/>
            <w:tcBorders>
              <w:top w:val="single" w:color="auto" w:sz="4" w:space="0"/>
              <w:left w:val="nil"/>
              <w:bottom w:val="single" w:color="auto" w:sz="4" w:space="0"/>
              <w:right w:val="single" w:color="auto" w:sz="4" w:space="0"/>
            </w:tcBorders>
            <w:vAlign w:val="center"/>
          </w:tcPr>
          <w:p w14:paraId="2E2F0255">
            <w:pPr>
              <w:spacing w:line="360" w:lineRule="auto"/>
              <w:ind w:right="21" w:rightChars="10"/>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vAlign w:val="center"/>
          </w:tcPr>
          <w:p w14:paraId="2A873D88">
            <w:pPr>
              <w:spacing w:line="360" w:lineRule="auto"/>
              <w:ind w:right="21" w:rightChars="10"/>
              <w:jc w:val="center"/>
              <w:rPr>
                <w:rFonts w:hint="eastAsia" w:ascii="宋体" w:hAnsi="宋体" w:eastAsia="宋体" w:cs="宋体"/>
                <w:sz w:val="24"/>
                <w:szCs w:val="24"/>
              </w:rPr>
            </w:pPr>
          </w:p>
        </w:tc>
      </w:tr>
      <w:tr w14:paraId="00007E39">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767E3F30">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6</w:t>
            </w:r>
          </w:p>
        </w:tc>
        <w:tc>
          <w:tcPr>
            <w:tcW w:w="2990" w:type="dxa"/>
            <w:tcBorders>
              <w:top w:val="single" w:color="auto" w:sz="4" w:space="0"/>
              <w:left w:val="nil"/>
              <w:bottom w:val="single" w:color="auto" w:sz="4" w:space="0"/>
              <w:right w:val="single" w:color="auto" w:sz="4" w:space="0"/>
            </w:tcBorders>
            <w:vAlign w:val="center"/>
          </w:tcPr>
          <w:p w14:paraId="1218EB7A">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价格调整</w:t>
            </w:r>
          </w:p>
        </w:tc>
        <w:tc>
          <w:tcPr>
            <w:tcW w:w="3452" w:type="dxa"/>
            <w:tcBorders>
              <w:top w:val="single" w:color="auto" w:sz="4" w:space="0"/>
              <w:left w:val="nil"/>
              <w:bottom w:val="single" w:color="auto" w:sz="4" w:space="0"/>
              <w:right w:val="single" w:color="auto" w:sz="4" w:space="0"/>
            </w:tcBorders>
            <w:vAlign w:val="center"/>
          </w:tcPr>
          <w:p w14:paraId="0533FCF6">
            <w:pPr>
              <w:spacing w:line="360" w:lineRule="auto"/>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vAlign w:val="center"/>
          </w:tcPr>
          <w:p w14:paraId="6107B5C1">
            <w:pPr>
              <w:spacing w:line="360" w:lineRule="auto"/>
              <w:ind w:right="21" w:rightChars="10"/>
              <w:jc w:val="center"/>
              <w:rPr>
                <w:rFonts w:hint="eastAsia" w:ascii="宋体" w:hAnsi="宋体" w:eastAsia="宋体" w:cs="宋体"/>
                <w:sz w:val="24"/>
                <w:szCs w:val="24"/>
              </w:rPr>
            </w:pPr>
          </w:p>
        </w:tc>
      </w:tr>
      <w:tr w14:paraId="15BB7A5F">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FEA2BA1">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7</w:t>
            </w:r>
          </w:p>
        </w:tc>
        <w:tc>
          <w:tcPr>
            <w:tcW w:w="2990" w:type="dxa"/>
            <w:tcBorders>
              <w:top w:val="single" w:color="auto" w:sz="4" w:space="0"/>
              <w:left w:val="nil"/>
              <w:bottom w:val="single" w:color="auto" w:sz="4" w:space="0"/>
              <w:right w:val="single" w:color="auto" w:sz="4" w:space="0"/>
            </w:tcBorders>
            <w:vAlign w:val="center"/>
          </w:tcPr>
          <w:p w14:paraId="0A372DAE">
            <w:pPr>
              <w:spacing w:line="360" w:lineRule="auto"/>
              <w:ind w:right="21" w:rightChars="10"/>
              <w:jc w:val="center"/>
              <w:rPr>
                <w:rFonts w:hint="eastAsia" w:ascii="宋体" w:hAnsi="宋体" w:eastAsia="宋体" w:cs="宋体"/>
                <w:kern w:val="0"/>
                <w:sz w:val="24"/>
                <w:szCs w:val="24"/>
              </w:rPr>
            </w:pPr>
            <w:r>
              <w:rPr>
                <w:rFonts w:hint="eastAsia" w:ascii="宋体" w:hAnsi="宋体" w:eastAsia="宋体" w:cs="宋体"/>
                <w:kern w:val="0"/>
                <w:sz w:val="24"/>
                <w:szCs w:val="24"/>
              </w:rPr>
              <w:t>履约保证金</w:t>
            </w:r>
          </w:p>
        </w:tc>
        <w:tc>
          <w:tcPr>
            <w:tcW w:w="3452" w:type="dxa"/>
            <w:tcBorders>
              <w:top w:val="single" w:color="auto" w:sz="4" w:space="0"/>
              <w:left w:val="nil"/>
              <w:bottom w:val="single" w:color="auto" w:sz="4" w:space="0"/>
              <w:right w:val="single" w:color="auto" w:sz="4" w:space="0"/>
            </w:tcBorders>
            <w:vAlign w:val="center"/>
          </w:tcPr>
          <w:p w14:paraId="12BBF149">
            <w:pPr>
              <w:spacing w:line="360" w:lineRule="auto"/>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vAlign w:val="center"/>
          </w:tcPr>
          <w:p w14:paraId="64B925AB">
            <w:pPr>
              <w:spacing w:line="360" w:lineRule="auto"/>
              <w:ind w:right="21" w:rightChars="10"/>
              <w:jc w:val="center"/>
              <w:rPr>
                <w:rFonts w:hint="eastAsia" w:ascii="宋体" w:hAnsi="宋体" w:eastAsia="宋体" w:cs="宋体"/>
                <w:sz w:val="24"/>
                <w:szCs w:val="24"/>
              </w:rPr>
            </w:pPr>
          </w:p>
        </w:tc>
      </w:tr>
      <w:tr w14:paraId="56A7865F">
        <w:tblPrEx>
          <w:tblCellMar>
            <w:top w:w="0" w:type="dxa"/>
            <w:left w:w="108" w:type="dxa"/>
            <w:bottom w:w="0" w:type="dxa"/>
            <w:right w:w="108" w:type="dxa"/>
          </w:tblCellMar>
        </w:tblPrEx>
        <w:trPr>
          <w:trHeight w:val="562" w:hRule="atLeast"/>
        </w:trPr>
        <w:tc>
          <w:tcPr>
            <w:tcW w:w="877" w:type="dxa"/>
            <w:tcBorders>
              <w:top w:val="single" w:color="auto" w:sz="4" w:space="0"/>
              <w:left w:val="single" w:color="auto" w:sz="4" w:space="0"/>
              <w:bottom w:val="single" w:color="auto" w:sz="4" w:space="0"/>
              <w:right w:val="single" w:color="auto" w:sz="4" w:space="0"/>
            </w:tcBorders>
            <w:vAlign w:val="center"/>
          </w:tcPr>
          <w:p w14:paraId="1C41CC92">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8</w:t>
            </w:r>
          </w:p>
        </w:tc>
        <w:tc>
          <w:tcPr>
            <w:tcW w:w="2990" w:type="dxa"/>
            <w:tcBorders>
              <w:top w:val="single" w:color="auto" w:sz="4" w:space="0"/>
              <w:left w:val="nil"/>
              <w:bottom w:val="single" w:color="auto" w:sz="4" w:space="0"/>
              <w:right w:val="single" w:color="auto" w:sz="4" w:space="0"/>
            </w:tcBorders>
            <w:vAlign w:val="center"/>
          </w:tcPr>
          <w:p w14:paraId="1B8A4F2E">
            <w:pPr>
              <w:spacing w:line="360" w:lineRule="auto"/>
              <w:ind w:right="21" w:rightChars="1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3452" w:type="dxa"/>
            <w:tcBorders>
              <w:top w:val="single" w:color="auto" w:sz="4" w:space="0"/>
              <w:left w:val="nil"/>
              <w:bottom w:val="single" w:color="auto" w:sz="4" w:space="0"/>
              <w:right w:val="single" w:color="auto" w:sz="4" w:space="0"/>
            </w:tcBorders>
            <w:vAlign w:val="center"/>
          </w:tcPr>
          <w:p w14:paraId="1F2D91E8">
            <w:pPr>
              <w:spacing w:line="360" w:lineRule="auto"/>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vAlign w:val="center"/>
          </w:tcPr>
          <w:p w14:paraId="148004A6">
            <w:pPr>
              <w:spacing w:line="360" w:lineRule="auto"/>
              <w:ind w:right="21" w:rightChars="10"/>
              <w:jc w:val="center"/>
              <w:rPr>
                <w:rFonts w:hint="eastAsia" w:ascii="宋体" w:hAnsi="宋体" w:eastAsia="宋体" w:cs="宋体"/>
                <w:sz w:val="24"/>
                <w:szCs w:val="24"/>
              </w:rPr>
            </w:pPr>
          </w:p>
        </w:tc>
      </w:tr>
      <w:tr w14:paraId="29567D4D">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14:paraId="55DA1A4B">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w:t>
            </w:r>
          </w:p>
        </w:tc>
        <w:tc>
          <w:tcPr>
            <w:tcW w:w="2990" w:type="dxa"/>
            <w:tcBorders>
              <w:top w:val="single" w:color="auto" w:sz="4" w:space="0"/>
              <w:left w:val="nil"/>
              <w:bottom w:val="single" w:color="auto" w:sz="4" w:space="0"/>
              <w:right w:val="single" w:color="auto" w:sz="4" w:space="0"/>
            </w:tcBorders>
            <w:vAlign w:val="center"/>
          </w:tcPr>
          <w:p w14:paraId="3E00E94B">
            <w:pPr>
              <w:spacing w:line="360" w:lineRule="auto"/>
              <w:ind w:right="21" w:rightChars="10"/>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452" w:type="dxa"/>
            <w:tcBorders>
              <w:top w:val="single" w:color="auto" w:sz="4" w:space="0"/>
              <w:left w:val="nil"/>
              <w:bottom w:val="single" w:color="auto" w:sz="4" w:space="0"/>
              <w:right w:val="single" w:color="auto" w:sz="4" w:space="0"/>
            </w:tcBorders>
            <w:vAlign w:val="center"/>
          </w:tcPr>
          <w:p w14:paraId="041682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294" w:type="dxa"/>
            <w:tcBorders>
              <w:top w:val="single" w:color="auto" w:sz="4" w:space="0"/>
              <w:left w:val="nil"/>
              <w:bottom w:val="single" w:color="auto" w:sz="4" w:space="0"/>
              <w:right w:val="single" w:color="auto" w:sz="4" w:space="0"/>
            </w:tcBorders>
            <w:vAlign w:val="center"/>
          </w:tcPr>
          <w:p w14:paraId="50249ADE">
            <w:pPr>
              <w:spacing w:line="360" w:lineRule="auto"/>
              <w:ind w:right="21" w:rightChars="10"/>
              <w:jc w:val="center"/>
              <w:rPr>
                <w:rFonts w:hint="eastAsia" w:ascii="宋体" w:hAnsi="宋体" w:eastAsia="宋体" w:cs="宋体"/>
                <w:sz w:val="24"/>
                <w:szCs w:val="24"/>
              </w:rPr>
            </w:pPr>
            <w:r>
              <w:rPr>
                <w:rFonts w:hint="eastAsia" w:ascii="宋体" w:hAnsi="宋体" w:eastAsia="宋体" w:cs="宋体"/>
                <w:sz w:val="24"/>
                <w:szCs w:val="24"/>
              </w:rPr>
              <w:t>…</w:t>
            </w:r>
          </w:p>
        </w:tc>
      </w:tr>
    </w:tbl>
    <w:p w14:paraId="255C0322">
      <w:pPr>
        <w:spacing w:line="360" w:lineRule="auto"/>
        <w:ind w:firstLine="482" w:firstLineChars="200"/>
        <w:rPr>
          <w:rFonts w:hint="eastAsia" w:ascii="宋体" w:hAnsi="宋体" w:eastAsia="宋体" w:cs="宋体"/>
          <w:b/>
          <w:bCs/>
          <w:sz w:val="24"/>
          <w:szCs w:val="24"/>
        </w:rPr>
      </w:pPr>
    </w:p>
    <w:p w14:paraId="0F7541A6">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注：供应商必须根据谈判文件要求据实逐条填写，不得虚假陈述，否则，其响应文件无效并按规定追究其相关责任。</w:t>
      </w:r>
    </w:p>
    <w:p w14:paraId="03938B68">
      <w:pPr>
        <w:adjustRightInd w:val="0"/>
        <w:spacing w:line="360" w:lineRule="auto"/>
        <w:ind w:firstLine="480" w:firstLineChars="200"/>
        <w:jc w:val="left"/>
        <w:rPr>
          <w:rFonts w:hint="eastAsia" w:ascii="宋体" w:hAnsi="宋体" w:eastAsia="宋体" w:cs="宋体"/>
          <w:sz w:val="24"/>
          <w:szCs w:val="24"/>
        </w:rPr>
      </w:pPr>
    </w:p>
    <w:p w14:paraId="4B836176">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14:paraId="61119E85">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14:paraId="7D6EA69C">
      <w:pPr>
        <w:adjustRightInd w:val="0"/>
        <w:spacing w:line="360" w:lineRule="auto"/>
        <w:ind w:firstLine="540" w:firstLineChars="225"/>
        <w:jc w:val="left"/>
        <w:rPr>
          <w:rFonts w:hint="eastAsia" w:ascii="宋体" w:hAnsi="宋体" w:eastAsia="宋体" w:cs="宋体"/>
          <w:sz w:val="24"/>
          <w:szCs w:val="24"/>
        </w:rPr>
      </w:pPr>
      <w:r>
        <w:rPr>
          <w:rFonts w:hint="eastAsia" w:ascii="宋体" w:hAnsi="宋体" w:eastAsia="宋体" w:cs="宋体"/>
          <w:sz w:val="24"/>
          <w:szCs w:val="24"/>
        </w:rPr>
        <w:t>日期：XXX年XXX月XXX日</w:t>
      </w:r>
    </w:p>
    <w:p w14:paraId="59602D5B">
      <w:pPr>
        <w:spacing w:line="360" w:lineRule="auto"/>
        <w:rPr>
          <w:rFonts w:hint="eastAsia" w:ascii="宋体" w:hAnsi="宋体" w:eastAsia="宋体" w:cs="宋体"/>
          <w:b/>
          <w:bCs/>
          <w:sz w:val="24"/>
          <w:szCs w:val="24"/>
        </w:rPr>
      </w:pPr>
    </w:p>
    <w:p w14:paraId="4663FE1F">
      <w:pPr>
        <w:pStyle w:val="60"/>
        <w:rPr>
          <w:rFonts w:hint="eastAsia" w:ascii="宋体" w:hAnsi="宋体" w:eastAsia="宋体" w:cs="宋体"/>
          <w:b/>
          <w:bCs/>
          <w:sz w:val="24"/>
          <w:szCs w:val="24"/>
        </w:rPr>
      </w:pPr>
    </w:p>
    <w:p w14:paraId="5F3AD4B4">
      <w:pPr>
        <w:pStyle w:val="60"/>
        <w:rPr>
          <w:rFonts w:hint="eastAsia" w:ascii="宋体" w:hAnsi="宋体" w:eastAsia="宋体" w:cs="宋体"/>
          <w:b/>
          <w:bCs/>
          <w:sz w:val="24"/>
          <w:szCs w:val="24"/>
        </w:rPr>
      </w:pPr>
    </w:p>
    <w:p w14:paraId="188AE469">
      <w:pPr>
        <w:spacing w:line="360" w:lineRule="auto"/>
        <w:rPr>
          <w:rFonts w:hint="eastAsia" w:ascii="宋体" w:hAnsi="宋体" w:eastAsia="宋体" w:cs="宋体"/>
          <w:b/>
          <w:bCs/>
          <w:sz w:val="24"/>
          <w:szCs w:val="24"/>
        </w:rPr>
      </w:pPr>
    </w:p>
    <w:p w14:paraId="6B8418D9">
      <w:pPr>
        <w:spacing w:line="360" w:lineRule="auto"/>
        <w:rPr>
          <w:rFonts w:hint="eastAsia" w:ascii="宋体" w:hAnsi="宋体" w:eastAsia="宋体" w:cs="宋体"/>
          <w:b/>
          <w:bCs/>
          <w:sz w:val="24"/>
          <w:szCs w:val="24"/>
        </w:rPr>
      </w:pPr>
    </w:p>
    <w:p w14:paraId="649C681D">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格式2-</w:t>
      </w:r>
      <w:r>
        <w:rPr>
          <w:rFonts w:hint="eastAsia" w:ascii="宋体" w:hAnsi="宋体" w:cs="宋体"/>
          <w:b/>
          <w:bCs/>
          <w:sz w:val="24"/>
          <w:szCs w:val="24"/>
          <w:lang w:val="en-US" w:eastAsia="zh-CN"/>
        </w:rPr>
        <w:t>8</w:t>
      </w:r>
    </w:p>
    <w:p w14:paraId="29BD4BEF">
      <w:pPr>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、供应商类似项目业绩一览表</w:t>
      </w:r>
    </w:p>
    <w:p w14:paraId="01A95C30">
      <w:pPr>
        <w:spacing w:line="360" w:lineRule="auto"/>
        <w:rPr>
          <w:rFonts w:hint="eastAsia" w:ascii="宋体" w:hAnsi="宋体" w:eastAsia="宋体" w:cs="宋体"/>
          <w:sz w:val="24"/>
          <w:szCs w:val="24"/>
        </w:rPr>
      </w:pPr>
    </w:p>
    <w:tbl>
      <w:tblPr>
        <w:tblStyle w:val="44"/>
        <w:tblW w:w="10476" w:type="dxa"/>
        <w:jc w:val="center"/>
        <w:tblLayout w:type="fixed"/>
        <w:tblCellMar>
          <w:top w:w="0" w:type="dxa"/>
          <w:left w:w="108" w:type="dxa"/>
          <w:bottom w:w="0" w:type="dxa"/>
          <w:right w:w="108" w:type="dxa"/>
        </w:tblCellMar>
      </w:tblPr>
      <w:tblGrid>
        <w:gridCol w:w="656"/>
        <w:gridCol w:w="1413"/>
        <w:gridCol w:w="1554"/>
        <w:gridCol w:w="1272"/>
        <w:gridCol w:w="1414"/>
        <w:gridCol w:w="1130"/>
        <w:gridCol w:w="1129"/>
        <w:gridCol w:w="1220"/>
        <w:gridCol w:w="688"/>
      </w:tblGrid>
      <w:tr w14:paraId="39B8C1ED">
        <w:tblPrEx>
          <w:tblCellMar>
            <w:top w:w="0" w:type="dxa"/>
            <w:left w:w="108" w:type="dxa"/>
            <w:bottom w:w="0" w:type="dxa"/>
            <w:right w:w="108" w:type="dxa"/>
          </w:tblCellMar>
        </w:tblPrEx>
        <w:trPr>
          <w:trHeight w:val="111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371C8CF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13" w:type="dxa"/>
            <w:tcBorders>
              <w:top w:val="single" w:color="auto" w:sz="4" w:space="0"/>
              <w:left w:val="nil"/>
              <w:bottom w:val="single" w:color="auto" w:sz="4" w:space="0"/>
              <w:right w:val="single" w:color="auto" w:sz="4" w:space="0"/>
            </w:tcBorders>
            <w:vAlign w:val="center"/>
          </w:tcPr>
          <w:p w14:paraId="251517CC">
            <w:pPr>
              <w:widowControl/>
              <w:spacing w:line="360" w:lineRule="auto"/>
              <w:ind w:left="-69" w:leftChars="-33"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rPr>
              <w:t>项目业主</w:t>
            </w:r>
          </w:p>
        </w:tc>
        <w:tc>
          <w:tcPr>
            <w:tcW w:w="1554" w:type="dxa"/>
            <w:tcBorders>
              <w:top w:val="single" w:color="auto" w:sz="4" w:space="0"/>
              <w:left w:val="nil"/>
              <w:bottom w:val="single" w:color="auto" w:sz="4" w:space="0"/>
              <w:right w:val="single" w:color="auto" w:sz="4" w:space="0"/>
            </w:tcBorders>
            <w:vAlign w:val="center"/>
          </w:tcPr>
          <w:p w14:paraId="50FC174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272" w:type="dxa"/>
            <w:tcBorders>
              <w:top w:val="single" w:color="auto" w:sz="4" w:space="0"/>
              <w:left w:val="nil"/>
              <w:bottom w:val="single" w:color="auto" w:sz="4" w:space="0"/>
              <w:right w:val="single" w:color="auto" w:sz="4" w:space="0"/>
            </w:tcBorders>
            <w:vAlign w:val="center"/>
          </w:tcPr>
          <w:p w14:paraId="29E3C77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工程类别</w:t>
            </w:r>
          </w:p>
        </w:tc>
        <w:tc>
          <w:tcPr>
            <w:tcW w:w="1414" w:type="dxa"/>
            <w:tcBorders>
              <w:top w:val="single" w:color="auto" w:sz="4" w:space="0"/>
              <w:left w:val="nil"/>
              <w:bottom w:val="single" w:color="auto" w:sz="4" w:space="0"/>
              <w:right w:val="single" w:color="auto" w:sz="4" w:space="0"/>
            </w:tcBorders>
            <w:vAlign w:val="center"/>
          </w:tcPr>
          <w:p w14:paraId="3EF3024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开工日期</w:t>
            </w:r>
          </w:p>
        </w:tc>
        <w:tc>
          <w:tcPr>
            <w:tcW w:w="1130" w:type="dxa"/>
            <w:tcBorders>
              <w:top w:val="single" w:color="auto" w:sz="4" w:space="0"/>
              <w:left w:val="nil"/>
              <w:bottom w:val="single" w:color="auto" w:sz="4" w:space="0"/>
              <w:right w:val="single" w:color="auto" w:sz="4" w:space="0"/>
            </w:tcBorders>
            <w:vAlign w:val="center"/>
          </w:tcPr>
          <w:p w14:paraId="1EF9769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竣工日期</w:t>
            </w:r>
          </w:p>
        </w:tc>
        <w:tc>
          <w:tcPr>
            <w:tcW w:w="1129" w:type="dxa"/>
            <w:tcBorders>
              <w:top w:val="single" w:color="auto" w:sz="4" w:space="0"/>
              <w:left w:val="nil"/>
              <w:bottom w:val="single" w:color="auto" w:sz="4" w:space="0"/>
              <w:right w:val="single" w:color="auto" w:sz="4" w:space="0"/>
            </w:tcBorders>
            <w:vAlign w:val="center"/>
          </w:tcPr>
          <w:p w14:paraId="0B953C8D">
            <w:pPr>
              <w:widowControl/>
              <w:spacing w:line="360" w:lineRule="auto"/>
              <w:ind w:left="28" w:leftChars="-44" w:right="-94" w:rightChars="-45" w:hanging="120" w:hangingChars="50"/>
              <w:jc w:val="center"/>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220" w:type="dxa"/>
            <w:tcBorders>
              <w:top w:val="single" w:color="auto" w:sz="4" w:space="0"/>
              <w:left w:val="nil"/>
              <w:bottom w:val="single" w:color="auto" w:sz="4" w:space="0"/>
              <w:right w:val="single" w:color="auto" w:sz="4" w:space="0"/>
            </w:tcBorders>
            <w:vAlign w:val="center"/>
          </w:tcPr>
          <w:p w14:paraId="4224E6BB">
            <w:pPr>
              <w:widowControl/>
              <w:spacing w:line="360" w:lineRule="auto"/>
              <w:ind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rPr>
              <w:t>合同价格（元）</w:t>
            </w:r>
          </w:p>
        </w:tc>
        <w:tc>
          <w:tcPr>
            <w:tcW w:w="688" w:type="dxa"/>
            <w:tcBorders>
              <w:top w:val="single" w:color="auto" w:sz="4" w:space="0"/>
              <w:left w:val="nil"/>
              <w:bottom w:val="single" w:color="auto" w:sz="4" w:space="0"/>
              <w:right w:val="single" w:color="auto" w:sz="4" w:space="0"/>
            </w:tcBorders>
            <w:vAlign w:val="center"/>
          </w:tcPr>
          <w:p w14:paraId="1E6ED099">
            <w:pPr>
              <w:widowControl/>
              <w:spacing w:line="360" w:lineRule="auto"/>
              <w:ind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293DCA6D">
        <w:tblPrEx>
          <w:tblCellMar>
            <w:top w:w="0" w:type="dxa"/>
            <w:left w:w="108" w:type="dxa"/>
            <w:bottom w:w="0" w:type="dxa"/>
            <w:right w:w="108" w:type="dxa"/>
          </w:tblCellMar>
        </w:tblPrEx>
        <w:trPr>
          <w:trHeight w:val="72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0DB73A40">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13" w:type="dxa"/>
            <w:tcBorders>
              <w:top w:val="single" w:color="auto" w:sz="4" w:space="0"/>
              <w:left w:val="nil"/>
              <w:bottom w:val="single" w:color="auto" w:sz="4" w:space="0"/>
              <w:right w:val="single" w:color="auto" w:sz="4" w:space="0"/>
            </w:tcBorders>
            <w:vAlign w:val="center"/>
          </w:tcPr>
          <w:p w14:paraId="3AF16670">
            <w:pPr>
              <w:widowControl/>
              <w:spacing w:line="360" w:lineRule="auto"/>
              <w:jc w:val="center"/>
              <w:rPr>
                <w:rFonts w:hint="eastAsia" w:ascii="宋体" w:hAnsi="宋体" w:eastAsia="宋体" w:cs="宋体"/>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4179BF5D">
            <w:pPr>
              <w:widowControl/>
              <w:spacing w:line="360" w:lineRule="auto"/>
              <w:jc w:val="center"/>
              <w:rPr>
                <w:rFonts w:hint="eastAsia" w:ascii="宋体" w:hAnsi="宋体" w:eastAsia="宋体" w:cs="宋体"/>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22CF59BA">
            <w:pPr>
              <w:widowControl/>
              <w:spacing w:line="360" w:lineRule="auto"/>
              <w:jc w:val="center"/>
              <w:rPr>
                <w:rFonts w:hint="eastAsia" w:ascii="宋体" w:hAnsi="宋体" w:eastAsia="宋体" w:cs="宋体"/>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5F04C206">
            <w:pPr>
              <w:widowControl/>
              <w:spacing w:line="360" w:lineRule="auto"/>
              <w:jc w:val="center"/>
              <w:rPr>
                <w:rFonts w:hint="eastAsia" w:ascii="宋体" w:hAnsi="宋体" w:eastAsia="宋体" w:cs="宋体"/>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202C5324">
            <w:pPr>
              <w:widowControl/>
              <w:spacing w:line="360" w:lineRule="auto"/>
              <w:jc w:val="center"/>
              <w:rPr>
                <w:rFonts w:hint="eastAsia" w:ascii="宋体" w:hAnsi="宋体" w:eastAsia="宋体" w:cs="宋体"/>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6D8C1981">
            <w:pPr>
              <w:widowControl/>
              <w:spacing w:line="360" w:lineRule="auto"/>
              <w:jc w:val="center"/>
              <w:rPr>
                <w:rFonts w:hint="eastAsia" w:ascii="宋体" w:hAnsi="宋体" w:eastAsia="宋体" w:cs="宋体"/>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2E5D6C6F">
            <w:pPr>
              <w:widowControl/>
              <w:spacing w:line="360" w:lineRule="auto"/>
              <w:jc w:val="center"/>
              <w:rPr>
                <w:rFonts w:hint="eastAsia" w:ascii="宋体" w:hAnsi="宋体" w:eastAsia="宋体" w:cs="宋体"/>
                <w:kern w:val="0"/>
                <w:sz w:val="24"/>
                <w:szCs w:val="24"/>
              </w:rPr>
            </w:pPr>
          </w:p>
        </w:tc>
        <w:tc>
          <w:tcPr>
            <w:tcW w:w="688" w:type="dxa"/>
            <w:tcBorders>
              <w:top w:val="single" w:color="auto" w:sz="4" w:space="0"/>
              <w:left w:val="nil"/>
              <w:bottom w:val="single" w:color="auto" w:sz="4" w:space="0"/>
              <w:right w:val="single" w:color="auto" w:sz="4" w:space="0"/>
            </w:tcBorders>
          </w:tcPr>
          <w:p w14:paraId="6C44B710">
            <w:pPr>
              <w:widowControl/>
              <w:spacing w:line="360" w:lineRule="auto"/>
              <w:jc w:val="center"/>
              <w:rPr>
                <w:rFonts w:hint="eastAsia" w:ascii="宋体" w:hAnsi="宋体" w:eastAsia="宋体" w:cs="宋体"/>
                <w:kern w:val="0"/>
                <w:sz w:val="24"/>
                <w:szCs w:val="24"/>
              </w:rPr>
            </w:pPr>
          </w:p>
        </w:tc>
      </w:tr>
      <w:tr w14:paraId="7F6037F8">
        <w:tblPrEx>
          <w:tblCellMar>
            <w:top w:w="0" w:type="dxa"/>
            <w:left w:w="108" w:type="dxa"/>
            <w:bottom w:w="0" w:type="dxa"/>
            <w:right w:w="108" w:type="dxa"/>
          </w:tblCellMar>
        </w:tblPrEx>
        <w:trPr>
          <w:trHeight w:val="64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3E45FCE2">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13" w:type="dxa"/>
            <w:tcBorders>
              <w:top w:val="single" w:color="auto" w:sz="4" w:space="0"/>
              <w:left w:val="nil"/>
              <w:bottom w:val="single" w:color="auto" w:sz="4" w:space="0"/>
              <w:right w:val="single" w:color="auto" w:sz="4" w:space="0"/>
            </w:tcBorders>
            <w:vAlign w:val="center"/>
          </w:tcPr>
          <w:p w14:paraId="65B5FD1A">
            <w:pPr>
              <w:widowControl/>
              <w:spacing w:line="360" w:lineRule="auto"/>
              <w:jc w:val="center"/>
              <w:rPr>
                <w:rFonts w:hint="eastAsia" w:ascii="宋体" w:hAnsi="宋体" w:eastAsia="宋体" w:cs="宋体"/>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481E89E3">
            <w:pPr>
              <w:widowControl/>
              <w:spacing w:line="360" w:lineRule="auto"/>
              <w:jc w:val="center"/>
              <w:rPr>
                <w:rFonts w:hint="eastAsia" w:ascii="宋体" w:hAnsi="宋体" w:eastAsia="宋体" w:cs="宋体"/>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5BD10687">
            <w:pPr>
              <w:widowControl/>
              <w:spacing w:line="360" w:lineRule="auto"/>
              <w:jc w:val="center"/>
              <w:rPr>
                <w:rFonts w:hint="eastAsia" w:ascii="宋体" w:hAnsi="宋体" w:eastAsia="宋体" w:cs="宋体"/>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40E3CA7A">
            <w:pPr>
              <w:widowControl/>
              <w:spacing w:line="360" w:lineRule="auto"/>
              <w:jc w:val="center"/>
              <w:rPr>
                <w:rFonts w:hint="eastAsia" w:ascii="宋体" w:hAnsi="宋体" w:eastAsia="宋体" w:cs="宋体"/>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4BFF5410">
            <w:pPr>
              <w:widowControl/>
              <w:spacing w:line="360" w:lineRule="auto"/>
              <w:jc w:val="center"/>
              <w:rPr>
                <w:rFonts w:hint="eastAsia" w:ascii="宋体" w:hAnsi="宋体" w:eastAsia="宋体" w:cs="宋体"/>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12BA8BF9">
            <w:pPr>
              <w:widowControl/>
              <w:spacing w:line="360" w:lineRule="auto"/>
              <w:jc w:val="center"/>
              <w:rPr>
                <w:rFonts w:hint="eastAsia" w:ascii="宋体" w:hAnsi="宋体" w:eastAsia="宋体" w:cs="宋体"/>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7454CABE">
            <w:pPr>
              <w:widowControl/>
              <w:spacing w:line="360" w:lineRule="auto"/>
              <w:jc w:val="center"/>
              <w:rPr>
                <w:rFonts w:hint="eastAsia" w:ascii="宋体" w:hAnsi="宋体" w:eastAsia="宋体" w:cs="宋体"/>
                <w:kern w:val="0"/>
                <w:sz w:val="24"/>
                <w:szCs w:val="24"/>
              </w:rPr>
            </w:pPr>
          </w:p>
        </w:tc>
        <w:tc>
          <w:tcPr>
            <w:tcW w:w="688" w:type="dxa"/>
            <w:tcBorders>
              <w:top w:val="single" w:color="auto" w:sz="4" w:space="0"/>
              <w:left w:val="nil"/>
              <w:bottom w:val="single" w:color="auto" w:sz="4" w:space="0"/>
              <w:right w:val="single" w:color="auto" w:sz="4" w:space="0"/>
            </w:tcBorders>
          </w:tcPr>
          <w:p w14:paraId="10C870D9">
            <w:pPr>
              <w:widowControl/>
              <w:spacing w:line="360" w:lineRule="auto"/>
              <w:jc w:val="center"/>
              <w:rPr>
                <w:rFonts w:hint="eastAsia" w:ascii="宋体" w:hAnsi="宋体" w:eastAsia="宋体" w:cs="宋体"/>
                <w:kern w:val="0"/>
                <w:sz w:val="24"/>
                <w:szCs w:val="24"/>
              </w:rPr>
            </w:pPr>
          </w:p>
        </w:tc>
      </w:tr>
      <w:tr w14:paraId="25144A79">
        <w:tblPrEx>
          <w:tblCellMar>
            <w:top w:w="0" w:type="dxa"/>
            <w:left w:w="108" w:type="dxa"/>
            <w:bottom w:w="0" w:type="dxa"/>
            <w:right w:w="108" w:type="dxa"/>
          </w:tblCellMar>
        </w:tblPrEx>
        <w:trPr>
          <w:trHeight w:val="64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AD5EB9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13" w:type="dxa"/>
            <w:tcBorders>
              <w:top w:val="single" w:color="auto" w:sz="4" w:space="0"/>
              <w:left w:val="nil"/>
              <w:bottom w:val="single" w:color="auto" w:sz="4" w:space="0"/>
              <w:right w:val="single" w:color="auto" w:sz="4" w:space="0"/>
            </w:tcBorders>
            <w:vAlign w:val="center"/>
          </w:tcPr>
          <w:p w14:paraId="05B09ECC">
            <w:pPr>
              <w:widowControl/>
              <w:spacing w:line="360" w:lineRule="auto"/>
              <w:jc w:val="center"/>
              <w:rPr>
                <w:rFonts w:hint="eastAsia" w:ascii="宋体" w:hAnsi="宋体" w:eastAsia="宋体" w:cs="宋体"/>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023E0F16">
            <w:pPr>
              <w:widowControl/>
              <w:spacing w:line="360" w:lineRule="auto"/>
              <w:jc w:val="center"/>
              <w:rPr>
                <w:rFonts w:hint="eastAsia" w:ascii="宋体" w:hAnsi="宋体" w:eastAsia="宋体" w:cs="宋体"/>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2439FF53">
            <w:pPr>
              <w:widowControl/>
              <w:spacing w:line="360" w:lineRule="auto"/>
              <w:jc w:val="center"/>
              <w:rPr>
                <w:rFonts w:hint="eastAsia" w:ascii="宋体" w:hAnsi="宋体" w:eastAsia="宋体" w:cs="宋体"/>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1915B4D0">
            <w:pPr>
              <w:widowControl/>
              <w:spacing w:line="360" w:lineRule="auto"/>
              <w:jc w:val="center"/>
              <w:rPr>
                <w:rFonts w:hint="eastAsia" w:ascii="宋体" w:hAnsi="宋体" w:eastAsia="宋体" w:cs="宋体"/>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4F45FF07">
            <w:pPr>
              <w:widowControl/>
              <w:spacing w:line="360" w:lineRule="auto"/>
              <w:jc w:val="center"/>
              <w:rPr>
                <w:rFonts w:hint="eastAsia" w:ascii="宋体" w:hAnsi="宋体" w:eastAsia="宋体" w:cs="宋体"/>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5BB454EA">
            <w:pPr>
              <w:widowControl/>
              <w:spacing w:line="360" w:lineRule="auto"/>
              <w:jc w:val="center"/>
              <w:rPr>
                <w:rFonts w:hint="eastAsia" w:ascii="宋体" w:hAnsi="宋体" w:eastAsia="宋体" w:cs="宋体"/>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3B89183A">
            <w:pPr>
              <w:widowControl/>
              <w:spacing w:line="360" w:lineRule="auto"/>
              <w:jc w:val="center"/>
              <w:rPr>
                <w:rFonts w:hint="eastAsia" w:ascii="宋体" w:hAnsi="宋体" w:eastAsia="宋体" w:cs="宋体"/>
                <w:kern w:val="0"/>
                <w:sz w:val="24"/>
                <w:szCs w:val="24"/>
              </w:rPr>
            </w:pPr>
          </w:p>
        </w:tc>
        <w:tc>
          <w:tcPr>
            <w:tcW w:w="688" w:type="dxa"/>
            <w:tcBorders>
              <w:top w:val="single" w:color="auto" w:sz="4" w:space="0"/>
              <w:left w:val="nil"/>
              <w:bottom w:val="single" w:color="auto" w:sz="4" w:space="0"/>
              <w:right w:val="single" w:color="auto" w:sz="4" w:space="0"/>
            </w:tcBorders>
          </w:tcPr>
          <w:p w14:paraId="110CFA58">
            <w:pPr>
              <w:widowControl/>
              <w:spacing w:line="360" w:lineRule="auto"/>
              <w:jc w:val="center"/>
              <w:rPr>
                <w:rFonts w:hint="eastAsia" w:ascii="宋体" w:hAnsi="宋体" w:eastAsia="宋体" w:cs="宋体"/>
                <w:kern w:val="0"/>
                <w:sz w:val="24"/>
                <w:szCs w:val="24"/>
              </w:rPr>
            </w:pPr>
          </w:p>
        </w:tc>
      </w:tr>
      <w:tr w14:paraId="7030B582">
        <w:tblPrEx>
          <w:tblCellMar>
            <w:top w:w="0" w:type="dxa"/>
            <w:left w:w="108" w:type="dxa"/>
            <w:bottom w:w="0" w:type="dxa"/>
            <w:right w:w="108" w:type="dxa"/>
          </w:tblCellMar>
        </w:tblPrEx>
        <w:trPr>
          <w:trHeight w:val="66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68A56FC">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413" w:type="dxa"/>
            <w:tcBorders>
              <w:top w:val="single" w:color="auto" w:sz="4" w:space="0"/>
              <w:left w:val="nil"/>
              <w:bottom w:val="single" w:color="auto" w:sz="4" w:space="0"/>
              <w:right w:val="single" w:color="auto" w:sz="4" w:space="0"/>
            </w:tcBorders>
            <w:vAlign w:val="center"/>
          </w:tcPr>
          <w:p w14:paraId="0ABA63CC">
            <w:pPr>
              <w:widowControl/>
              <w:spacing w:line="360" w:lineRule="auto"/>
              <w:jc w:val="center"/>
              <w:rPr>
                <w:rFonts w:hint="eastAsia" w:ascii="宋体" w:hAnsi="宋体" w:eastAsia="宋体" w:cs="宋体"/>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598F6444">
            <w:pPr>
              <w:widowControl/>
              <w:spacing w:line="360" w:lineRule="auto"/>
              <w:jc w:val="center"/>
              <w:rPr>
                <w:rFonts w:hint="eastAsia" w:ascii="宋体" w:hAnsi="宋体" w:eastAsia="宋体" w:cs="宋体"/>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4709EEC8">
            <w:pPr>
              <w:widowControl/>
              <w:spacing w:line="360" w:lineRule="auto"/>
              <w:jc w:val="center"/>
              <w:rPr>
                <w:rFonts w:hint="eastAsia" w:ascii="宋体" w:hAnsi="宋体" w:eastAsia="宋体" w:cs="宋体"/>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0011D0F1">
            <w:pPr>
              <w:widowControl/>
              <w:spacing w:line="360" w:lineRule="auto"/>
              <w:jc w:val="center"/>
              <w:rPr>
                <w:rFonts w:hint="eastAsia" w:ascii="宋体" w:hAnsi="宋体" w:eastAsia="宋体" w:cs="宋体"/>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24C56308">
            <w:pPr>
              <w:widowControl/>
              <w:spacing w:line="360" w:lineRule="auto"/>
              <w:jc w:val="center"/>
              <w:rPr>
                <w:rFonts w:hint="eastAsia" w:ascii="宋体" w:hAnsi="宋体" w:eastAsia="宋体" w:cs="宋体"/>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2FA84783">
            <w:pPr>
              <w:widowControl/>
              <w:spacing w:line="360" w:lineRule="auto"/>
              <w:jc w:val="center"/>
              <w:rPr>
                <w:rFonts w:hint="eastAsia" w:ascii="宋体" w:hAnsi="宋体" w:eastAsia="宋体" w:cs="宋体"/>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1CE48C75">
            <w:pPr>
              <w:widowControl/>
              <w:spacing w:line="360" w:lineRule="auto"/>
              <w:jc w:val="center"/>
              <w:rPr>
                <w:rFonts w:hint="eastAsia" w:ascii="宋体" w:hAnsi="宋体" w:eastAsia="宋体" w:cs="宋体"/>
                <w:kern w:val="0"/>
                <w:sz w:val="24"/>
                <w:szCs w:val="24"/>
              </w:rPr>
            </w:pPr>
          </w:p>
        </w:tc>
        <w:tc>
          <w:tcPr>
            <w:tcW w:w="688" w:type="dxa"/>
            <w:tcBorders>
              <w:top w:val="single" w:color="auto" w:sz="4" w:space="0"/>
              <w:left w:val="nil"/>
              <w:bottom w:val="single" w:color="auto" w:sz="4" w:space="0"/>
              <w:right w:val="single" w:color="auto" w:sz="4" w:space="0"/>
            </w:tcBorders>
          </w:tcPr>
          <w:p w14:paraId="16F42141">
            <w:pPr>
              <w:widowControl/>
              <w:spacing w:line="360" w:lineRule="auto"/>
              <w:jc w:val="center"/>
              <w:rPr>
                <w:rFonts w:hint="eastAsia" w:ascii="宋体" w:hAnsi="宋体" w:eastAsia="宋体" w:cs="宋体"/>
                <w:kern w:val="0"/>
                <w:sz w:val="24"/>
                <w:szCs w:val="24"/>
              </w:rPr>
            </w:pPr>
          </w:p>
        </w:tc>
      </w:tr>
    </w:tbl>
    <w:p w14:paraId="26EEFD80">
      <w:pPr>
        <w:spacing w:line="360" w:lineRule="auto"/>
        <w:rPr>
          <w:rFonts w:hint="eastAsia" w:ascii="宋体" w:hAnsi="宋体" w:eastAsia="宋体" w:cs="宋体"/>
          <w:sz w:val="24"/>
          <w:szCs w:val="24"/>
        </w:rPr>
      </w:pPr>
    </w:p>
    <w:p w14:paraId="58CB2342">
      <w:pPr>
        <w:spacing w:line="360" w:lineRule="auto"/>
        <w:rPr>
          <w:rFonts w:hint="eastAsia" w:ascii="宋体" w:hAnsi="宋体" w:eastAsia="宋体" w:cs="宋体"/>
          <w:sz w:val="24"/>
          <w:szCs w:val="24"/>
        </w:rPr>
      </w:pPr>
    </w:p>
    <w:p w14:paraId="771200EB">
      <w:pPr>
        <w:spacing w:line="360" w:lineRule="auto"/>
        <w:ind w:left="360"/>
        <w:jc w:val="center"/>
        <w:rPr>
          <w:rFonts w:hint="eastAsia" w:ascii="宋体" w:hAnsi="宋体" w:eastAsia="宋体" w:cs="宋体"/>
          <w:sz w:val="24"/>
          <w:szCs w:val="24"/>
        </w:rPr>
      </w:pPr>
    </w:p>
    <w:p w14:paraId="795BC36E">
      <w:pPr>
        <w:spacing w:line="360" w:lineRule="auto"/>
        <w:jc w:val="left"/>
        <w:rPr>
          <w:rFonts w:hint="eastAsia" w:ascii="宋体" w:hAnsi="宋体" w:eastAsia="宋体" w:cs="宋体"/>
          <w:sz w:val="24"/>
          <w:szCs w:val="24"/>
        </w:rPr>
      </w:pPr>
    </w:p>
    <w:p w14:paraId="2EC317B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供应商名称：XXXX（盖单位公章）</w:t>
      </w:r>
    </w:p>
    <w:p w14:paraId="093B03F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 XXXX</w:t>
      </w:r>
    </w:p>
    <w:p w14:paraId="1765A94D">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0A3DB38F">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格式2-</w:t>
      </w:r>
      <w:r>
        <w:rPr>
          <w:rFonts w:hint="eastAsia" w:ascii="宋体" w:hAnsi="宋体" w:cs="宋体"/>
          <w:b/>
          <w:bCs/>
          <w:sz w:val="24"/>
          <w:szCs w:val="24"/>
          <w:lang w:val="en-US" w:eastAsia="zh-CN"/>
        </w:rPr>
        <w:t>9</w:t>
      </w:r>
    </w:p>
    <w:p w14:paraId="6168AAE6">
      <w:pPr>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、供应商类似项目业绩情况表</w:t>
      </w:r>
    </w:p>
    <w:p w14:paraId="2BE040FD">
      <w:pPr>
        <w:spacing w:line="360" w:lineRule="auto"/>
        <w:rPr>
          <w:rFonts w:hint="eastAsia" w:ascii="宋体" w:hAnsi="宋体" w:eastAsia="宋体" w:cs="宋体"/>
          <w:sz w:val="24"/>
          <w:szCs w:val="24"/>
        </w:rPr>
      </w:pPr>
    </w:p>
    <w:tbl>
      <w:tblPr>
        <w:tblStyle w:val="44"/>
        <w:tblW w:w="9530" w:type="dxa"/>
        <w:jc w:val="center"/>
        <w:tblLayout w:type="fixed"/>
        <w:tblCellMar>
          <w:top w:w="0" w:type="dxa"/>
          <w:left w:w="108" w:type="dxa"/>
          <w:bottom w:w="0" w:type="dxa"/>
          <w:right w:w="108" w:type="dxa"/>
        </w:tblCellMar>
      </w:tblPr>
      <w:tblGrid>
        <w:gridCol w:w="677"/>
        <w:gridCol w:w="8853"/>
      </w:tblGrid>
      <w:tr w14:paraId="2C973960">
        <w:tblPrEx>
          <w:tblCellMar>
            <w:top w:w="0" w:type="dxa"/>
            <w:left w:w="108" w:type="dxa"/>
            <w:bottom w:w="0" w:type="dxa"/>
            <w:right w:w="108" w:type="dxa"/>
          </w:tblCellMar>
        </w:tblPrEx>
        <w:trPr>
          <w:cantSplit/>
          <w:trHeight w:val="638"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14:paraId="2E1BE717">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8853" w:type="dxa"/>
            <w:tcBorders>
              <w:top w:val="single" w:color="auto" w:sz="4" w:space="0"/>
              <w:left w:val="nil"/>
              <w:bottom w:val="single" w:color="auto" w:sz="4" w:space="0"/>
              <w:right w:val="single" w:color="auto" w:sz="4" w:space="0"/>
            </w:tcBorders>
            <w:vAlign w:val="center"/>
          </w:tcPr>
          <w:p w14:paraId="46E14263">
            <w:pPr>
              <w:spacing w:line="360" w:lineRule="auto"/>
              <w:rPr>
                <w:rFonts w:hint="eastAsia" w:ascii="宋体" w:hAnsi="宋体" w:eastAsia="宋体" w:cs="宋体"/>
                <w:sz w:val="24"/>
                <w:szCs w:val="24"/>
              </w:rPr>
            </w:pPr>
            <w:r>
              <w:rPr>
                <w:rFonts w:hint="eastAsia" w:ascii="宋体" w:hAnsi="宋体" w:eastAsia="宋体" w:cs="宋体"/>
                <w:sz w:val="24"/>
                <w:szCs w:val="24"/>
              </w:rPr>
              <w:t>合同名称：</w:t>
            </w:r>
          </w:p>
        </w:tc>
      </w:tr>
      <w:tr w14:paraId="2A7F91B7">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4D03920D">
            <w:pPr>
              <w:widowControl/>
              <w:spacing w:line="360" w:lineRule="auto"/>
              <w:jc w:val="left"/>
              <w:rPr>
                <w:rFonts w:hint="eastAsia" w:ascii="宋体" w:hAnsi="宋体" w:eastAsia="宋体" w:cs="宋体"/>
                <w:sz w:val="24"/>
                <w:szCs w:val="24"/>
              </w:rPr>
            </w:pPr>
          </w:p>
        </w:tc>
        <w:tc>
          <w:tcPr>
            <w:tcW w:w="8853" w:type="dxa"/>
            <w:tcBorders>
              <w:top w:val="single" w:color="auto" w:sz="4" w:space="0"/>
              <w:left w:val="nil"/>
              <w:bottom w:val="single" w:color="auto" w:sz="4" w:space="0"/>
              <w:right w:val="single" w:color="auto" w:sz="4" w:space="0"/>
            </w:tcBorders>
            <w:vAlign w:val="center"/>
          </w:tcPr>
          <w:p w14:paraId="6B2CED57">
            <w:pPr>
              <w:spacing w:line="360" w:lineRule="auto"/>
              <w:rPr>
                <w:rFonts w:hint="eastAsia" w:ascii="宋体" w:hAnsi="宋体" w:eastAsia="宋体" w:cs="宋体"/>
                <w:sz w:val="24"/>
                <w:szCs w:val="24"/>
              </w:rPr>
            </w:pPr>
            <w:r>
              <w:rPr>
                <w:rFonts w:hint="eastAsia" w:ascii="宋体" w:hAnsi="宋体" w:eastAsia="宋体" w:cs="宋体"/>
                <w:sz w:val="24"/>
                <w:szCs w:val="24"/>
              </w:rPr>
              <w:t>业主名称：</w:t>
            </w:r>
          </w:p>
        </w:tc>
      </w:tr>
      <w:tr w14:paraId="351B2A7A">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1E7A0DA7">
            <w:pPr>
              <w:widowControl/>
              <w:spacing w:line="360" w:lineRule="auto"/>
              <w:jc w:val="left"/>
              <w:rPr>
                <w:rFonts w:hint="eastAsia" w:ascii="宋体" w:hAnsi="宋体" w:eastAsia="宋体" w:cs="宋体"/>
                <w:sz w:val="24"/>
                <w:szCs w:val="24"/>
              </w:rPr>
            </w:pPr>
          </w:p>
        </w:tc>
        <w:tc>
          <w:tcPr>
            <w:tcW w:w="8853" w:type="dxa"/>
            <w:tcBorders>
              <w:top w:val="single" w:color="auto" w:sz="4" w:space="0"/>
              <w:left w:val="nil"/>
              <w:bottom w:val="single" w:color="auto" w:sz="4" w:space="0"/>
              <w:right w:val="single" w:color="auto" w:sz="4" w:space="0"/>
            </w:tcBorders>
            <w:vAlign w:val="center"/>
          </w:tcPr>
          <w:p w14:paraId="6613BD14">
            <w:pPr>
              <w:spacing w:line="360" w:lineRule="auto"/>
              <w:rPr>
                <w:rFonts w:hint="eastAsia" w:ascii="宋体" w:hAnsi="宋体" w:eastAsia="宋体" w:cs="宋体"/>
                <w:sz w:val="24"/>
                <w:szCs w:val="24"/>
              </w:rPr>
            </w:pPr>
            <w:r>
              <w:rPr>
                <w:rFonts w:hint="eastAsia" w:ascii="宋体" w:hAnsi="宋体" w:eastAsia="宋体" w:cs="宋体"/>
                <w:sz w:val="24"/>
                <w:szCs w:val="24"/>
              </w:rPr>
              <w:t>合同价格：</w:t>
            </w:r>
          </w:p>
        </w:tc>
      </w:tr>
      <w:tr w14:paraId="27E9D562">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716788D2">
            <w:pPr>
              <w:widowControl/>
              <w:spacing w:line="360" w:lineRule="auto"/>
              <w:jc w:val="left"/>
              <w:rPr>
                <w:rFonts w:hint="eastAsia" w:ascii="宋体" w:hAnsi="宋体" w:eastAsia="宋体" w:cs="宋体"/>
                <w:sz w:val="24"/>
                <w:szCs w:val="24"/>
              </w:rPr>
            </w:pPr>
          </w:p>
        </w:tc>
        <w:tc>
          <w:tcPr>
            <w:tcW w:w="8853" w:type="dxa"/>
            <w:tcBorders>
              <w:top w:val="single" w:color="auto" w:sz="4" w:space="0"/>
              <w:left w:val="nil"/>
              <w:bottom w:val="single" w:color="auto" w:sz="4" w:space="0"/>
              <w:right w:val="single" w:color="auto" w:sz="4" w:space="0"/>
            </w:tcBorders>
            <w:vAlign w:val="center"/>
          </w:tcPr>
          <w:p w14:paraId="2B5DBC96">
            <w:pPr>
              <w:spacing w:line="360" w:lineRule="auto"/>
              <w:ind w:left="7" w:leftChars="-10" w:hanging="28" w:hangingChars="12"/>
              <w:rPr>
                <w:rFonts w:hint="eastAsia" w:ascii="宋体" w:hAnsi="宋体" w:eastAsia="宋体" w:cs="宋体"/>
                <w:sz w:val="24"/>
                <w:szCs w:val="24"/>
              </w:rPr>
            </w:pPr>
            <w:r>
              <w:rPr>
                <w:rFonts w:hint="eastAsia" w:ascii="宋体" w:hAnsi="宋体" w:eastAsia="宋体" w:cs="宋体"/>
                <w:sz w:val="24"/>
                <w:szCs w:val="24"/>
              </w:rPr>
              <w:t>工程地址：</w:t>
            </w:r>
          </w:p>
        </w:tc>
      </w:tr>
      <w:tr w14:paraId="1AD16D3F">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827A7F1">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8853" w:type="dxa"/>
            <w:tcBorders>
              <w:top w:val="single" w:color="auto" w:sz="4" w:space="0"/>
              <w:left w:val="nil"/>
              <w:bottom w:val="single" w:color="auto" w:sz="4" w:space="0"/>
              <w:right w:val="single" w:color="auto" w:sz="4" w:space="0"/>
            </w:tcBorders>
            <w:vAlign w:val="center"/>
          </w:tcPr>
          <w:p w14:paraId="1C0E54E7">
            <w:pPr>
              <w:pStyle w:val="103"/>
              <w:spacing w:line="360" w:lineRule="auto"/>
              <w:rPr>
                <w:rFonts w:hint="eastAsia" w:ascii="宋体" w:hAnsi="宋体" w:eastAsia="宋体" w:cs="宋体"/>
                <w:sz w:val="24"/>
                <w:szCs w:val="24"/>
              </w:rPr>
            </w:pPr>
            <w:r>
              <w:rPr>
                <w:rFonts w:hint="eastAsia" w:ascii="宋体" w:hAnsi="宋体" w:eastAsia="宋体" w:cs="宋体"/>
                <w:sz w:val="24"/>
                <w:szCs w:val="24"/>
              </w:rPr>
              <w:t>所承担合同的主要内容：</w:t>
            </w:r>
          </w:p>
        </w:tc>
      </w:tr>
      <w:tr w14:paraId="1616F323">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2F45FA97">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8853" w:type="dxa"/>
            <w:tcBorders>
              <w:top w:val="single" w:color="auto" w:sz="4" w:space="0"/>
              <w:left w:val="nil"/>
              <w:bottom w:val="single" w:color="auto" w:sz="4" w:space="0"/>
              <w:right w:val="single" w:color="auto" w:sz="4" w:space="0"/>
            </w:tcBorders>
            <w:vAlign w:val="center"/>
          </w:tcPr>
          <w:p w14:paraId="03395EE9">
            <w:pPr>
              <w:pStyle w:val="103"/>
              <w:spacing w:line="360" w:lineRule="auto"/>
              <w:rPr>
                <w:rFonts w:hint="eastAsia" w:ascii="宋体" w:hAnsi="宋体" w:eastAsia="宋体" w:cs="宋体"/>
                <w:sz w:val="24"/>
                <w:szCs w:val="24"/>
              </w:rPr>
            </w:pPr>
            <w:r>
              <w:rPr>
                <w:rFonts w:hint="eastAsia" w:ascii="宋体" w:hAnsi="宋体" w:eastAsia="宋体" w:cs="宋体"/>
                <w:sz w:val="24"/>
                <w:szCs w:val="24"/>
              </w:rPr>
              <w:t>工程类别：</w:t>
            </w:r>
          </w:p>
        </w:tc>
      </w:tr>
      <w:tr w14:paraId="093A60DA">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1612827">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8853" w:type="dxa"/>
            <w:tcBorders>
              <w:top w:val="single" w:color="auto" w:sz="4" w:space="0"/>
              <w:left w:val="nil"/>
              <w:bottom w:val="single" w:color="auto" w:sz="4" w:space="0"/>
              <w:right w:val="single" w:color="auto" w:sz="4" w:space="0"/>
            </w:tcBorders>
            <w:vAlign w:val="center"/>
          </w:tcPr>
          <w:p w14:paraId="225A20B3">
            <w:pPr>
              <w:pStyle w:val="103"/>
              <w:spacing w:line="360" w:lineRule="auto"/>
              <w:rPr>
                <w:rFonts w:hint="eastAsia" w:ascii="宋体" w:hAnsi="宋体" w:eastAsia="宋体" w:cs="宋体"/>
                <w:sz w:val="24"/>
                <w:szCs w:val="24"/>
              </w:rPr>
            </w:pPr>
            <w:r>
              <w:rPr>
                <w:rFonts w:hint="eastAsia" w:ascii="宋体" w:hAnsi="宋体" w:eastAsia="宋体" w:cs="宋体"/>
                <w:sz w:val="24"/>
                <w:szCs w:val="24"/>
              </w:rPr>
              <w:t>建设规模：</w:t>
            </w:r>
          </w:p>
        </w:tc>
      </w:tr>
      <w:tr w14:paraId="7BD33462">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31A0972D">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8853" w:type="dxa"/>
            <w:tcBorders>
              <w:top w:val="single" w:color="auto" w:sz="4" w:space="0"/>
              <w:left w:val="nil"/>
              <w:bottom w:val="single" w:color="auto" w:sz="4" w:space="0"/>
              <w:right w:val="single" w:color="auto" w:sz="4" w:space="0"/>
            </w:tcBorders>
            <w:vAlign w:val="center"/>
          </w:tcPr>
          <w:p w14:paraId="74FE4ADE">
            <w:pPr>
              <w:pStyle w:val="103"/>
              <w:spacing w:line="360" w:lineRule="auto"/>
              <w:rPr>
                <w:rFonts w:hint="eastAsia" w:ascii="宋体" w:hAnsi="宋体" w:eastAsia="宋体" w:cs="宋体"/>
                <w:sz w:val="24"/>
                <w:szCs w:val="24"/>
              </w:rPr>
            </w:pPr>
            <w:r>
              <w:rPr>
                <w:rFonts w:hint="eastAsia" w:ascii="宋体" w:hAnsi="宋体" w:eastAsia="宋体" w:cs="宋体"/>
                <w:sz w:val="24"/>
                <w:szCs w:val="24"/>
              </w:rPr>
              <w:t>项目负责人：</w:t>
            </w:r>
          </w:p>
        </w:tc>
      </w:tr>
      <w:tr w14:paraId="24D9246B">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5825B0CF">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8853" w:type="dxa"/>
            <w:tcBorders>
              <w:top w:val="single" w:color="auto" w:sz="4" w:space="0"/>
              <w:left w:val="nil"/>
              <w:bottom w:val="single" w:color="auto" w:sz="4" w:space="0"/>
              <w:right w:val="single" w:color="auto" w:sz="4" w:space="0"/>
            </w:tcBorders>
            <w:vAlign w:val="center"/>
          </w:tcPr>
          <w:p w14:paraId="5F77438D">
            <w:pPr>
              <w:pStyle w:val="103"/>
              <w:spacing w:line="360" w:lineRule="auto"/>
              <w:rPr>
                <w:rFonts w:hint="eastAsia" w:ascii="宋体" w:hAnsi="宋体" w:eastAsia="宋体" w:cs="宋体"/>
                <w:sz w:val="24"/>
                <w:szCs w:val="24"/>
              </w:rPr>
            </w:pPr>
            <w:r>
              <w:rPr>
                <w:rFonts w:hint="eastAsia" w:ascii="宋体" w:hAnsi="宋体" w:eastAsia="宋体" w:cs="宋体"/>
                <w:sz w:val="24"/>
                <w:szCs w:val="24"/>
              </w:rPr>
              <w:t>开工日期：</w:t>
            </w:r>
          </w:p>
        </w:tc>
      </w:tr>
      <w:tr w14:paraId="57EB86D1">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6C7556E">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8853" w:type="dxa"/>
            <w:tcBorders>
              <w:top w:val="single" w:color="auto" w:sz="4" w:space="0"/>
              <w:left w:val="nil"/>
              <w:bottom w:val="single" w:color="auto" w:sz="4" w:space="0"/>
              <w:right w:val="single" w:color="auto" w:sz="4" w:space="0"/>
            </w:tcBorders>
            <w:vAlign w:val="center"/>
          </w:tcPr>
          <w:p w14:paraId="3F42E125">
            <w:pPr>
              <w:pStyle w:val="103"/>
              <w:spacing w:line="360" w:lineRule="auto"/>
              <w:rPr>
                <w:rFonts w:hint="eastAsia" w:ascii="宋体" w:hAnsi="宋体" w:eastAsia="宋体" w:cs="宋体"/>
                <w:sz w:val="24"/>
                <w:szCs w:val="24"/>
              </w:rPr>
            </w:pPr>
            <w:r>
              <w:rPr>
                <w:rFonts w:hint="eastAsia" w:ascii="宋体" w:hAnsi="宋体" w:eastAsia="宋体" w:cs="宋体"/>
                <w:sz w:val="24"/>
                <w:szCs w:val="24"/>
              </w:rPr>
              <w:t>竣工日期（或计划竣工日期）：</w:t>
            </w:r>
          </w:p>
        </w:tc>
      </w:tr>
      <w:tr w14:paraId="7D256FAB">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BFAF43A">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8</w:t>
            </w:r>
          </w:p>
        </w:tc>
        <w:tc>
          <w:tcPr>
            <w:tcW w:w="8853" w:type="dxa"/>
            <w:tcBorders>
              <w:top w:val="single" w:color="auto" w:sz="4" w:space="0"/>
              <w:left w:val="nil"/>
              <w:bottom w:val="single" w:color="auto" w:sz="4" w:space="0"/>
              <w:right w:val="single" w:color="auto" w:sz="4" w:space="0"/>
            </w:tcBorders>
            <w:vAlign w:val="center"/>
          </w:tcPr>
          <w:p w14:paraId="101A13CF">
            <w:pPr>
              <w:spacing w:line="360" w:lineRule="auto"/>
              <w:ind w:left="7" w:leftChars="-10" w:hanging="28" w:hangingChars="12"/>
              <w:rPr>
                <w:rFonts w:hint="eastAsia" w:ascii="宋体" w:hAnsi="宋体" w:eastAsia="宋体" w:cs="宋体"/>
                <w:sz w:val="24"/>
                <w:szCs w:val="24"/>
              </w:rPr>
            </w:pPr>
            <w:r>
              <w:rPr>
                <w:rFonts w:hint="eastAsia" w:ascii="宋体" w:hAnsi="宋体" w:eastAsia="宋体" w:cs="宋体"/>
                <w:sz w:val="24"/>
                <w:szCs w:val="24"/>
              </w:rPr>
              <w:t>项目描述：</w:t>
            </w:r>
          </w:p>
        </w:tc>
      </w:tr>
      <w:tr w14:paraId="050727DD">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90CBA35">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9</w:t>
            </w:r>
          </w:p>
        </w:tc>
        <w:tc>
          <w:tcPr>
            <w:tcW w:w="8853" w:type="dxa"/>
            <w:tcBorders>
              <w:top w:val="single" w:color="auto" w:sz="4" w:space="0"/>
              <w:left w:val="nil"/>
              <w:bottom w:val="single" w:color="auto" w:sz="4" w:space="0"/>
              <w:right w:val="single" w:color="auto" w:sz="4" w:space="0"/>
            </w:tcBorders>
            <w:vAlign w:val="center"/>
          </w:tcPr>
          <w:p w14:paraId="6CFCDB70">
            <w:pPr>
              <w:spacing w:line="360" w:lineRule="auto"/>
              <w:ind w:left="7" w:leftChars="-10" w:hanging="28" w:hangingChars="12"/>
              <w:rPr>
                <w:rFonts w:hint="eastAsia" w:ascii="宋体" w:hAnsi="宋体" w:eastAsia="宋体" w:cs="宋体"/>
                <w:sz w:val="24"/>
                <w:szCs w:val="24"/>
              </w:rPr>
            </w:pPr>
            <w:r>
              <w:rPr>
                <w:rFonts w:hint="eastAsia" w:ascii="宋体" w:hAnsi="宋体" w:eastAsia="宋体" w:cs="宋体"/>
                <w:sz w:val="24"/>
                <w:szCs w:val="24"/>
              </w:rPr>
              <w:t>其他：</w:t>
            </w:r>
          </w:p>
        </w:tc>
      </w:tr>
    </w:tbl>
    <w:p w14:paraId="22370868">
      <w:pPr>
        <w:autoSpaceDE w:val="0"/>
        <w:autoSpaceDN w:val="0"/>
        <w:adjustRightInd w:val="0"/>
        <w:snapToGrid w:val="0"/>
        <w:spacing w:line="360" w:lineRule="auto"/>
        <w:jc w:val="left"/>
        <w:rPr>
          <w:rFonts w:hint="eastAsia" w:ascii="宋体" w:hAnsi="宋体" w:eastAsia="宋体" w:cs="宋体"/>
          <w:sz w:val="24"/>
          <w:szCs w:val="24"/>
        </w:rPr>
      </w:pPr>
    </w:p>
    <w:p w14:paraId="6DEA4CCF">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注：1、每个业绩项目单独填表并编号，应按要求填报工程业绩表并附相关有效证明材料，盖章方式不作要求。</w:t>
      </w:r>
    </w:p>
    <w:p w14:paraId="4A977B28">
      <w:pPr>
        <w:spacing w:line="360" w:lineRule="auto"/>
        <w:ind w:firstLine="840" w:firstLineChars="350"/>
        <w:jc w:val="left"/>
        <w:rPr>
          <w:rFonts w:hint="eastAsia" w:ascii="宋体" w:hAnsi="宋体" w:eastAsia="宋体" w:cs="宋体"/>
          <w:sz w:val="24"/>
          <w:szCs w:val="24"/>
        </w:rPr>
      </w:pPr>
      <w:r>
        <w:rPr>
          <w:rFonts w:hint="eastAsia" w:ascii="宋体" w:hAnsi="宋体" w:eastAsia="宋体" w:cs="宋体"/>
          <w:sz w:val="24"/>
          <w:szCs w:val="24"/>
        </w:rPr>
        <w:t>2、表中所有空格内容均须填写，如确实不须填写或无法填写，应在空格中填写“无”。</w:t>
      </w:r>
    </w:p>
    <w:p w14:paraId="50A95592">
      <w:pPr>
        <w:widowControl/>
        <w:jc w:val="left"/>
        <w:rPr>
          <w:rFonts w:hint="default" w:ascii="宋体" w:hAnsi="宋体" w:eastAsia="宋体" w:cs="宋体"/>
          <w:b/>
          <w:bCs/>
          <w:sz w:val="24"/>
          <w:szCs w:val="24"/>
          <w:lang w:val="en-US" w:eastAsia="zh-CN"/>
        </w:rPr>
      </w:pPr>
      <w:r>
        <w:rPr>
          <w:rFonts w:hint="eastAsia" w:ascii="宋体" w:hAnsi="宋体" w:eastAsia="宋体" w:cs="宋体"/>
          <w:b/>
          <w:bCs/>
          <w:sz w:val="24"/>
          <w:szCs w:val="24"/>
        </w:rPr>
        <w:br w:type="page"/>
      </w:r>
      <w:r>
        <w:rPr>
          <w:rFonts w:hint="eastAsia" w:ascii="宋体" w:hAnsi="宋体" w:eastAsia="宋体" w:cs="宋体"/>
          <w:b/>
          <w:bCs/>
          <w:sz w:val="24"/>
          <w:szCs w:val="24"/>
        </w:rPr>
        <w:t>格式2-</w:t>
      </w:r>
      <w:r>
        <w:rPr>
          <w:rFonts w:hint="eastAsia" w:ascii="宋体" w:hAnsi="宋体" w:cs="宋体"/>
          <w:b/>
          <w:bCs/>
          <w:sz w:val="24"/>
          <w:szCs w:val="24"/>
          <w:lang w:val="en-US" w:eastAsia="zh-CN"/>
        </w:rPr>
        <w:t>10</w:t>
      </w:r>
    </w:p>
    <w:p w14:paraId="1C2DD130">
      <w:pPr>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、项目管理机构</w:t>
      </w:r>
    </w:p>
    <w:p w14:paraId="68DF0131">
      <w:pPr>
        <w:spacing w:line="360" w:lineRule="auto"/>
        <w:rPr>
          <w:rFonts w:hint="eastAsia" w:ascii="宋体" w:hAnsi="宋体" w:eastAsia="宋体" w:cs="宋体"/>
          <w:sz w:val="24"/>
          <w:szCs w:val="24"/>
        </w:rPr>
      </w:pPr>
    </w:p>
    <w:p w14:paraId="52432C4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 xml:space="preserve"> (一)项目管理机构组成表</w:t>
      </w:r>
    </w:p>
    <w:p w14:paraId="2F002AF7">
      <w:pPr>
        <w:autoSpaceDE w:val="0"/>
        <w:autoSpaceDN w:val="0"/>
        <w:adjustRightInd w:val="0"/>
        <w:spacing w:line="360" w:lineRule="auto"/>
        <w:ind w:left="220" w:right="-20"/>
        <w:jc w:val="center"/>
        <w:rPr>
          <w:rFonts w:hint="eastAsia" w:ascii="宋体" w:hAnsi="宋体" w:eastAsia="宋体" w:cs="宋体"/>
          <w:b/>
          <w:bCs/>
          <w:sz w:val="24"/>
          <w:szCs w:val="24"/>
        </w:rPr>
      </w:pPr>
    </w:p>
    <w:tbl>
      <w:tblPr>
        <w:tblStyle w:val="44"/>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34F7B1FC">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508DB6B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95" w:type="dxa"/>
            <w:vMerge w:val="restart"/>
            <w:tcBorders>
              <w:top w:val="single" w:color="auto" w:sz="4" w:space="0"/>
              <w:left w:val="nil"/>
              <w:right w:val="single" w:color="auto" w:sz="4" w:space="0"/>
            </w:tcBorders>
            <w:vAlign w:val="center"/>
          </w:tcPr>
          <w:p w14:paraId="50E5C7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1423" w:type="dxa"/>
            <w:vMerge w:val="restart"/>
            <w:tcBorders>
              <w:top w:val="single" w:color="auto" w:sz="4" w:space="0"/>
              <w:left w:val="nil"/>
              <w:right w:val="single" w:color="auto" w:sz="4" w:space="0"/>
            </w:tcBorders>
            <w:vAlign w:val="center"/>
          </w:tcPr>
          <w:p w14:paraId="4D538B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577" w:type="dxa"/>
            <w:gridSpan w:val="2"/>
            <w:tcBorders>
              <w:top w:val="single" w:color="auto" w:sz="4" w:space="0"/>
              <w:left w:val="nil"/>
              <w:bottom w:val="single" w:color="auto" w:sz="4" w:space="0"/>
              <w:right w:val="single" w:color="auto" w:sz="4" w:space="0"/>
            </w:tcBorders>
            <w:vAlign w:val="center"/>
          </w:tcPr>
          <w:p w14:paraId="3CC0AD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w:t>
            </w:r>
          </w:p>
        </w:tc>
        <w:tc>
          <w:tcPr>
            <w:tcW w:w="2814" w:type="dxa"/>
            <w:gridSpan w:val="2"/>
            <w:tcBorders>
              <w:top w:val="single" w:color="auto" w:sz="4" w:space="0"/>
              <w:left w:val="nil"/>
              <w:bottom w:val="single" w:color="auto" w:sz="4" w:space="0"/>
              <w:right w:val="single" w:color="auto" w:sz="4" w:space="0"/>
            </w:tcBorders>
            <w:vAlign w:val="center"/>
          </w:tcPr>
          <w:p w14:paraId="20E7F2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tc>
      </w:tr>
      <w:tr w14:paraId="618F866B">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214C5F03">
            <w:pPr>
              <w:spacing w:line="360" w:lineRule="auto"/>
              <w:jc w:val="center"/>
              <w:rPr>
                <w:rFonts w:hint="eastAsia" w:ascii="宋体" w:hAnsi="宋体" w:eastAsia="宋体" w:cs="宋体"/>
                <w:sz w:val="24"/>
                <w:szCs w:val="24"/>
              </w:rPr>
            </w:pPr>
          </w:p>
        </w:tc>
        <w:tc>
          <w:tcPr>
            <w:tcW w:w="1695" w:type="dxa"/>
            <w:vMerge w:val="continue"/>
            <w:tcBorders>
              <w:left w:val="nil"/>
              <w:bottom w:val="single" w:color="auto" w:sz="4" w:space="0"/>
              <w:right w:val="single" w:color="auto" w:sz="4" w:space="0"/>
            </w:tcBorders>
            <w:vAlign w:val="center"/>
          </w:tcPr>
          <w:p w14:paraId="5AFA3361">
            <w:pPr>
              <w:spacing w:line="360" w:lineRule="auto"/>
              <w:jc w:val="center"/>
              <w:rPr>
                <w:rFonts w:hint="eastAsia" w:ascii="宋体" w:hAnsi="宋体" w:eastAsia="宋体" w:cs="宋体"/>
                <w:sz w:val="24"/>
                <w:szCs w:val="24"/>
              </w:rPr>
            </w:pPr>
          </w:p>
        </w:tc>
        <w:tc>
          <w:tcPr>
            <w:tcW w:w="1423" w:type="dxa"/>
            <w:vMerge w:val="continue"/>
            <w:tcBorders>
              <w:left w:val="nil"/>
              <w:bottom w:val="single" w:color="auto" w:sz="4" w:space="0"/>
              <w:right w:val="single" w:color="auto" w:sz="4" w:space="0"/>
            </w:tcBorders>
            <w:vAlign w:val="center"/>
          </w:tcPr>
          <w:p w14:paraId="36228822">
            <w:pPr>
              <w:spacing w:line="360" w:lineRule="auto"/>
              <w:jc w:val="center"/>
              <w:rPr>
                <w:rFonts w:hint="eastAsia"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vAlign w:val="center"/>
          </w:tcPr>
          <w:p w14:paraId="22DFDB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01" w:type="dxa"/>
            <w:tcBorders>
              <w:top w:val="single" w:color="auto" w:sz="4" w:space="0"/>
              <w:left w:val="nil"/>
              <w:bottom w:val="single" w:color="auto" w:sz="4" w:space="0"/>
              <w:right w:val="single" w:color="auto" w:sz="4" w:space="0"/>
            </w:tcBorders>
            <w:vAlign w:val="center"/>
          </w:tcPr>
          <w:p w14:paraId="6BF47A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证书编号</w:t>
            </w:r>
          </w:p>
        </w:tc>
        <w:tc>
          <w:tcPr>
            <w:tcW w:w="1134" w:type="dxa"/>
            <w:tcBorders>
              <w:top w:val="single" w:color="auto" w:sz="4" w:space="0"/>
              <w:left w:val="nil"/>
              <w:bottom w:val="single" w:color="auto" w:sz="4" w:space="0"/>
              <w:right w:val="single" w:color="auto" w:sz="4" w:space="0"/>
            </w:tcBorders>
            <w:vAlign w:val="center"/>
          </w:tcPr>
          <w:p w14:paraId="406245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职称专业</w:t>
            </w:r>
          </w:p>
        </w:tc>
        <w:tc>
          <w:tcPr>
            <w:tcW w:w="1680" w:type="dxa"/>
            <w:tcBorders>
              <w:top w:val="single" w:color="auto" w:sz="4" w:space="0"/>
              <w:left w:val="nil"/>
              <w:bottom w:val="single" w:color="auto" w:sz="4" w:space="0"/>
              <w:right w:val="single" w:color="auto" w:sz="4" w:space="0"/>
            </w:tcBorders>
            <w:vAlign w:val="center"/>
          </w:tcPr>
          <w:p w14:paraId="13B686C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级别</w:t>
            </w:r>
          </w:p>
        </w:tc>
      </w:tr>
      <w:tr w14:paraId="6E6F5A66">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029B3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695" w:type="dxa"/>
            <w:tcBorders>
              <w:top w:val="single" w:color="auto" w:sz="4" w:space="0"/>
              <w:left w:val="nil"/>
              <w:bottom w:val="single" w:color="auto" w:sz="4" w:space="0"/>
              <w:right w:val="single" w:color="auto" w:sz="4" w:space="0"/>
            </w:tcBorders>
            <w:vAlign w:val="center"/>
          </w:tcPr>
          <w:p w14:paraId="4BA087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p w14:paraId="3C4344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423" w:type="dxa"/>
            <w:tcBorders>
              <w:top w:val="single" w:color="auto" w:sz="4" w:space="0"/>
              <w:left w:val="nil"/>
              <w:bottom w:val="single" w:color="auto" w:sz="4" w:space="0"/>
              <w:right w:val="single" w:color="auto" w:sz="4" w:space="0"/>
            </w:tcBorders>
            <w:vAlign w:val="center"/>
          </w:tcPr>
          <w:p w14:paraId="479D5048">
            <w:pPr>
              <w:spacing w:line="360" w:lineRule="auto"/>
              <w:jc w:val="center"/>
              <w:rPr>
                <w:rFonts w:hint="eastAsia"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vAlign w:val="center"/>
          </w:tcPr>
          <w:p w14:paraId="60EBD5E7">
            <w:pPr>
              <w:spacing w:line="360" w:lineRule="auto"/>
              <w:jc w:val="center"/>
              <w:rPr>
                <w:rFonts w:hint="eastAsia" w:ascii="宋体" w:hAnsi="宋体" w:eastAsia="宋体" w:cs="宋体"/>
                <w:sz w:val="24"/>
                <w:szCs w:val="24"/>
              </w:rPr>
            </w:pPr>
          </w:p>
        </w:tc>
        <w:tc>
          <w:tcPr>
            <w:tcW w:w="1301" w:type="dxa"/>
            <w:tcBorders>
              <w:top w:val="single" w:color="auto" w:sz="4" w:space="0"/>
              <w:left w:val="nil"/>
              <w:bottom w:val="single" w:color="auto" w:sz="4" w:space="0"/>
              <w:right w:val="single" w:color="auto" w:sz="4" w:space="0"/>
            </w:tcBorders>
            <w:vAlign w:val="center"/>
          </w:tcPr>
          <w:p w14:paraId="141746B7">
            <w:pPr>
              <w:spacing w:line="360" w:lineRule="auto"/>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540F4281">
            <w:pPr>
              <w:spacing w:line="360" w:lineRule="auto"/>
              <w:jc w:val="center"/>
              <w:rPr>
                <w:rFonts w:hint="eastAsia" w:ascii="宋体" w:hAnsi="宋体" w:eastAsia="宋体" w:cs="宋体"/>
                <w:sz w:val="24"/>
                <w:szCs w:val="24"/>
              </w:rPr>
            </w:pPr>
          </w:p>
        </w:tc>
        <w:tc>
          <w:tcPr>
            <w:tcW w:w="1680" w:type="dxa"/>
            <w:tcBorders>
              <w:top w:val="single" w:color="auto" w:sz="4" w:space="0"/>
              <w:left w:val="nil"/>
              <w:bottom w:val="single" w:color="auto" w:sz="4" w:space="0"/>
              <w:right w:val="single" w:color="auto" w:sz="4" w:space="0"/>
            </w:tcBorders>
          </w:tcPr>
          <w:p w14:paraId="1D13EF3A">
            <w:pPr>
              <w:spacing w:line="360" w:lineRule="auto"/>
              <w:jc w:val="center"/>
              <w:rPr>
                <w:rFonts w:hint="eastAsia" w:ascii="宋体" w:hAnsi="宋体" w:eastAsia="宋体" w:cs="宋体"/>
                <w:sz w:val="24"/>
                <w:szCs w:val="24"/>
              </w:rPr>
            </w:pPr>
          </w:p>
        </w:tc>
      </w:tr>
      <w:tr w14:paraId="32456EF6">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66B15F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695" w:type="dxa"/>
            <w:tcBorders>
              <w:top w:val="single" w:color="auto" w:sz="4" w:space="0"/>
              <w:left w:val="nil"/>
              <w:bottom w:val="single" w:color="auto" w:sz="4" w:space="0"/>
              <w:right w:val="single" w:color="auto" w:sz="4" w:space="0"/>
            </w:tcBorders>
            <w:vAlign w:val="center"/>
          </w:tcPr>
          <w:p w14:paraId="5214799B">
            <w:pPr>
              <w:spacing w:line="360" w:lineRule="auto"/>
              <w:jc w:val="left"/>
              <w:rPr>
                <w:rFonts w:hint="eastAsia" w:ascii="宋体" w:hAnsi="宋体" w:eastAsia="宋体" w:cs="宋体"/>
                <w:sz w:val="24"/>
                <w:szCs w:val="24"/>
              </w:rPr>
            </w:pPr>
            <w:r>
              <w:rPr>
                <w:rFonts w:hint="eastAsia" w:ascii="宋体" w:hAnsi="宋体" w:eastAsia="宋体" w:cs="宋体"/>
                <w:sz w:val="24"/>
                <w:szCs w:val="24"/>
              </w:rPr>
              <w:t>项目技术负责人</w:t>
            </w:r>
          </w:p>
        </w:tc>
        <w:tc>
          <w:tcPr>
            <w:tcW w:w="1423" w:type="dxa"/>
            <w:tcBorders>
              <w:top w:val="single" w:color="auto" w:sz="4" w:space="0"/>
              <w:left w:val="nil"/>
              <w:bottom w:val="single" w:color="auto" w:sz="4" w:space="0"/>
              <w:right w:val="single" w:color="auto" w:sz="4" w:space="0"/>
            </w:tcBorders>
            <w:vAlign w:val="center"/>
          </w:tcPr>
          <w:p w14:paraId="159DB37F">
            <w:pPr>
              <w:spacing w:line="360" w:lineRule="auto"/>
              <w:jc w:val="center"/>
              <w:rPr>
                <w:rFonts w:hint="eastAsia"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vAlign w:val="center"/>
          </w:tcPr>
          <w:p w14:paraId="459D0FC7">
            <w:pPr>
              <w:spacing w:line="360" w:lineRule="auto"/>
              <w:jc w:val="center"/>
              <w:rPr>
                <w:rFonts w:hint="eastAsia" w:ascii="宋体" w:hAnsi="宋体" w:eastAsia="宋体" w:cs="宋体"/>
                <w:sz w:val="24"/>
                <w:szCs w:val="24"/>
              </w:rPr>
            </w:pPr>
          </w:p>
        </w:tc>
        <w:tc>
          <w:tcPr>
            <w:tcW w:w="1301" w:type="dxa"/>
            <w:tcBorders>
              <w:top w:val="single" w:color="auto" w:sz="4" w:space="0"/>
              <w:left w:val="nil"/>
              <w:bottom w:val="single" w:color="auto" w:sz="4" w:space="0"/>
              <w:right w:val="single" w:color="auto" w:sz="4" w:space="0"/>
            </w:tcBorders>
            <w:vAlign w:val="center"/>
          </w:tcPr>
          <w:p w14:paraId="369FC7C1">
            <w:pPr>
              <w:spacing w:line="360" w:lineRule="auto"/>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57022021">
            <w:pPr>
              <w:spacing w:line="360" w:lineRule="auto"/>
              <w:jc w:val="center"/>
              <w:rPr>
                <w:rFonts w:hint="eastAsia" w:ascii="宋体" w:hAnsi="宋体" w:eastAsia="宋体" w:cs="宋体"/>
                <w:sz w:val="24"/>
                <w:szCs w:val="24"/>
              </w:rPr>
            </w:pPr>
          </w:p>
        </w:tc>
        <w:tc>
          <w:tcPr>
            <w:tcW w:w="1680" w:type="dxa"/>
            <w:tcBorders>
              <w:top w:val="single" w:color="auto" w:sz="4" w:space="0"/>
              <w:left w:val="nil"/>
              <w:bottom w:val="single" w:color="auto" w:sz="4" w:space="0"/>
              <w:right w:val="single" w:color="auto" w:sz="4" w:space="0"/>
            </w:tcBorders>
          </w:tcPr>
          <w:p w14:paraId="21D69193">
            <w:pPr>
              <w:spacing w:line="360" w:lineRule="auto"/>
              <w:jc w:val="center"/>
              <w:rPr>
                <w:rFonts w:hint="eastAsia" w:ascii="宋体" w:hAnsi="宋体" w:eastAsia="宋体" w:cs="宋体"/>
                <w:sz w:val="24"/>
                <w:szCs w:val="24"/>
              </w:rPr>
            </w:pPr>
          </w:p>
        </w:tc>
      </w:tr>
      <w:tr w14:paraId="07FD8E3A">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5B958C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695" w:type="dxa"/>
            <w:tcBorders>
              <w:top w:val="single" w:color="auto" w:sz="4" w:space="0"/>
              <w:left w:val="nil"/>
              <w:bottom w:val="single" w:color="auto" w:sz="4" w:space="0"/>
              <w:right w:val="single" w:color="auto" w:sz="4" w:space="0"/>
            </w:tcBorders>
            <w:vAlign w:val="center"/>
          </w:tcPr>
          <w:p w14:paraId="66EF754A">
            <w:pPr>
              <w:spacing w:line="360" w:lineRule="auto"/>
              <w:jc w:val="center"/>
              <w:rPr>
                <w:rFonts w:hint="eastAsia" w:ascii="宋体" w:hAnsi="宋体" w:eastAsia="宋体" w:cs="宋体"/>
                <w:sz w:val="24"/>
                <w:szCs w:val="24"/>
                <w:lang w:eastAsia="zh-CN"/>
              </w:rPr>
            </w:pPr>
          </w:p>
        </w:tc>
        <w:tc>
          <w:tcPr>
            <w:tcW w:w="1423" w:type="dxa"/>
            <w:tcBorders>
              <w:top w:val="single" w:color="auto" w:sz="4" w:space="0"/>
              <w:left w:val="nil"/>
              <w:bottom w:val="single" w:color="auto" w:sz="4" w:space="0"/>
              <w:right w:val="single" w:color="auto" w:sz="4" w:space="0"/>
            </w:tcBorders>
            <w:vAlign w:val="center"/>
          </w:tcPr>
          <w:p w14:paraId="3FEF2981">
            <w:pPr>
              <w:spacing w:line="360" w:lineRule="auto"/>
              <w:jc w:val="center"/>
              <w:rPr>
                <w:rFonts w:hint="eastAsia"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vAlign w:val="center"/>
          </w:tcPr>
          <w:p w14:paraId="1BFFB210">
            <w:pPr>
              <w:spacing w:line="360" w:lineRule="auto"/>
              <w:jc w:val="center"/>
              <w:rPr>
                <w:rFonts w:hint="eastAsia" w:ascii="宋体" w:hAnsi="宋体" w:eastAsia="宋体" w:cs="宋体"/>
                <w:sz w:val="24"/>
                <w:szCs w:val="24"/>
              </w:rPr>
            </w:pPr>
          </w:p>
        </w:tc>
        <w:tc>
          <w:tcPr>
            <w:tcW w:w="1301" w:type="dxa"/>
            <w:tcBorders>
              <w:top w:val="single" w:color="auto" w:sz="4" w:space="0"/>
              <w:left w:val="nil"/>
              <w:bottom w:val="single" w:color="auto" w:sz="4" w:space="0"/>
              <w:right w:val="single" w:color="auto" w:sz="4" w:space="0"/>
            </w:tcBorders>
            <w:vAlign w:val="center"/>
          </w:tcPr>
          <w:p w14:paraId="26FAAEC9">
            <w:pPr>
              <w:spacing w:line="360" w:lineRule="auto"/>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327A3616">
            <w:pPr>
              <w:spacing w:line="360" w:lineRule="auto"/>
              <w:jc w:val="center"/>
              <w:rPr>
                <w:rFonts w:hint="eastAsia" w:ascii="宋体" w:hAnsi="宋体" w:eastAsia="宋体" w:cs="宋体"/>
                <w:sz w:val="24"/>
                <w:szCs w:val="24"/>
              </w:rPr>
            </w:pPr>
          </w:p>
        </w:tc>
        <w:tc>
          <w:tcPr>
            <w:tcW w:w="1680" w:type="dxa"/>
            <w:tcBorders>
              <w:top w:val="single" w:color="auto" w:sz="4" w:space="0"/>
              <w:left w:val="nil"/>
              <w:bottom w:val="single" w:color="auto" w:sz="4" w:space="0"/>
              <w:right w:val="single" w:color="auto" w:sz="4" w:space="0"/>
            </w:tcBorders>
          </w:tcPr>
          <w:p w14:paraId="5216628F">
            <w:pPr>
              <w:spacing w:line="360" w:lineRule="auto"/>
              <w:jc w:val="center"/>
              <w:rPr>
                <w:rFonts w:hint="eastAsia" w:ascii="宋体" w:hAnsi="宋体" w:eastAsia="宋体" w:cs="宋体"/>
                <w:sz w:val="24"/>
                <w:szCs w:val="24"/>
              </w:rPr>
            </w:pPr>
          </w:p>
        </w:tc>
      </w:tr>
      <w:tr w14:paraId="53533549">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B3670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695" w:type="dxa"/>
            <w:tcBorders>
              <w:top w:val="single" w:color="auto" w:sz="4" w:space="0"/>
              <w:left w:val="nil"/>
              <w:bottom w:val="single" w:color="auto" w:sz="4" w:space="0"/>
              <w:right w:val="single" w:color="auto" w:sz="4" w:space="0"/>
            </w:tcBorders>
            <w:vAlign w:val="center"/>
          </w:tcPr>
          <w:p w14:paraId="087FBCC0">
            <w:pPr>
              <w:spacing w:line="360" w:lineRule="auto"/>
              <w:jc w:val="center"/>
              <w:rPr>
                <w:rFonts w:hint="eastAsia" w:ascii="宋体" w:hAnsi="宋体" w:eastAsia="宋体" w:cs="宋体"/>
                <w:sz w:val="24"/>
                <w:szCs w:val="24"/>
              </w:rPr>
            </w:pPr>
          </w:p>
        </w:tc>
        <w:tc>
          <w:tcPr>
            <w:tcW w:w="1423" w:type="dxa"/>
            <w:tcBorders>
              <w:top w:val="single" w:color="auto" w:sz="4" w:space="0"/>
              <w:left w:val="nil"/>
              <w:bottom w:val="single" w:color="auto" w:sz="4" w:space="0"/>
              <w:right w:val="single" w:color="auto" w:sz="4" w:space="0"/>
            </w:tcBorders>
            <w:vAlign w:val="center"/>
          </w:tcPr>
          <w:p w14:paraId="1617D353">
            <w:pPr>
              <w:spacing w:line="360" w:lineRule="auto"/>
              <w:jc w:val="center"/>
              <w:rPr>
                <w:rFonts w:hint="eastAsia"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vAlign w:val="center"/>
          </w:tcPr>
          <w:p w14:paraId="495C2518">
            <w:pPr>
              <w:spacing w:line="360" w:lineRule="auto"/>
              <w:jc w:val="center"/>
              <w:rPr>
                <w:rFonts w:hint="eastAsia" w:ascii="宋体" w:hAnsi="宋体" w:eastAsia="宋体" w:cs="宋体"/>
                <w:sz w:val="24"/>
                <w:szCs w:val="24"/>
              </w:rPr>
            </w:pPr>
          </w:p>
        </w:tc>
        <w:tc>
          <w:tcPr>
            <w:tcW w:w="1301" w:type="dxa"/>
            <w:tcBorders>
              <w:top w:val="single" w:color="auto" w:sz="4" w:space="0"/>
              <w:left w:val="nil"/>
              <w:bottom w:val="single" w:color="auto" w:sz="4" w:space="0"/>
              <w:right w:val="single" w:color="auto" w:sz="4" w:space="0"/>
            </w:tcBorders>
            <w:vAlign w:val="center"/>
          </w:tcPr>
          <w:p w14:paraId="331BE259">
            <w:pPr>
              <w:spacing w:line="360" w:lineRule="auto"/>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6AD5EC32">
            <w:pPr>
              <w:spacing w:line="360" w:lineRule="auto"/>
              <w:jc w:val="center"/>
              <w:rPr>
                <w:rFonts w:hint="eastAsia" w:ascii="宋体" w:hAnsi="宋体" w:eastAsia="宋体" w:cs="宋体"/>
                <w:sz w:val="24"/>
                <w:szCs w:val="24"/>
              </w:rPr>
            </w:pPr>
          </w:p>
        </w:tc>
        <w:tc>
          <w:tcPr>
            <w:tcW w:w="1680" w:type="dxa"/>
            <w:tcBorders>
              <w:top w:val="single" w:color="auto" w:sz="4" w:space="0"/>
              <w:left w:val="nil"/>
              <w:bottom w:val="single" w:color="auto" w:sz="4" w:space="0"/>
              <w:right w:val="single" w:color="auto" w:sz="4" w:space="0"/>
            </w:tcBorders>
          </w:tcPr>
          <w:p w14:paraId="4308538C">
            <w:pPr>
              <w:spacing w:line="360" w:lineRule="auto"/>
              <w:jc w:val="center"/>
              <w:rPr>
                <w:rFonts w:hint="eastAsia" w:ascii="宋体" w:hAnsi="宋体" w:eastAsia="宋体" w:cs="宋体"/>
                <w:sz w:val="24"/>
                <w:szCs w:val="24"/>
              </w:rPr>
            </w:pPr>
          </w:p>
        </w:tc>
      </w:tr>
      <w:tr w14:paraId="786D754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10F96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695" w:type="dxa"/>
            <w:tcBorders>
              <w:top w:val="single" w:color="auto" w:sz="4" w:space="0"/>
              <w:left w:val="nil"/>
              <w:bottom w:val="single" w:color="auto" w:sz="4" w:space="0"/>
              <w:right w:val="single" w:color="auto" w:sz="4" w:space="0"/>
            </w:tcBorders>
            <w:vAlign w:val="center"/>
          </w:tcPr>
          <w:p w14:paraId="4BE53C77">
            <w:pPr>
              <w:spacing w:line="360" w:lineRule="auto"/>
              <w:jc w:val="center"/>
              <w:rPr>
                <w:rFonts w:hint="eastAsia" w:ascii="宋体" w:hAnsi="宋体" w:eastAsia="宋体" w:cs="宋体"/>
                <w:sz w:val="24"/>
                <w:szCs w:val="24"/>
              </w:rPr>
            </w:pPr>
          </w:p>
        </w:tc>
        <w:tc>
          <w:tcPr>
            <w:tcW w:w="1423" w:type="dxa"/>
            <w:tcBorders>
              <w:top w:val="single" w:color="auto" w:sz="4" w:space="0"/>
              <w:left w:val="nil"/>
              <w:bottom w:val="single" w:color="auto" w:sz="4" w:space="0"/>
              <w:right w:val="single" w:color="auto" w:sz="4" w:space="0"/>
            </w:tcBorders>
            <w:vAlign w:val="center"/>
          </w:tcPr>
          <w:p w14:paraId="2B9770D2">
            <w:pPr>
              <w:spacing w:line="360" w:lineRule="auto"/>
              <w:jc w:val="center"/>
              <w:rPr>
                <w:rFonts w:hint="eastAsia"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vAlign w:val="center"/>
          </w:tcPr>
          <w:p w14:paraId="46A21924">
            <w:pPr>
              <w:spacing w:line="360" w:lineRule="auto"/>
              <w:jc w:val="center"/>
              <w:rPr>
                <w:rFonts w:hint="eastAsia" w:ascii="宋体" w:hAnsi="宋体" w:eastAsia="宋体" w:cs="宋体"/>
                <w:sz w:val="24"/>
                <w:szCs w:val="24"/>
              </w:rPr>
            </w:pPr>
          </w:p>
        </w:tc>
        <w:tc>
          <w:tcPr>
            <w:tcW w:w="1301" w:type="dxa"/>
            <w:tcBorders>
              <w:top w:val="single" w:color="auto" w:sz="4" w:space="0"/>
              <w:left w:val="nil"/>
              <w:bottom w:val="single" w:color="auto" w:sz="4" w:space="0"/>
              <w:right w:val="single" w:color="auto" w:sz="4" w:space="0"/>
            </w:tcBorders>
            <w:vAlign w:val="center"/>
          </w:tcPr>
          <w:p w14:paraId="3984B5B7">
            <w:pPr>
              <w:spacing w:line="360" w:lineRule="auto"/>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4F8D79F2">
            <w:pPr>
              <w:spacing w:line="360" w:lineRule="auto"/>
              <w:jc w:val="center"/>
              <w:rPr>
                <w:rFonts w:hint="eastAsia" w:ascii="宋体" w:hAnsi="宋体" w:eastAsia="宋体" w:cs="宋体"/>
                <w:sz w:val="24"/>
                <w:szCs w:val="24"/>
              </w:rPr>
            </w:pPr>
          </w:p>
        </w:tc>
        <w:tc>
          <w:tcPr>
            <w:tcW w:w="1680" w:type="dxa"/>
            <w:tcBorders>
              <w:top w:val="single" w:color="auto" w:sz="4" w:space="0"/>
              <w:left w:val="nil"/>
              <w:bottom w:val="single" w:color="auto" w:sz="4" w:space="0"/>
              <w:right w:val="single" w:color="auto" w:sz="4" w:space="0"/>
            </w:tcBorders>
          </w:tcPr>
          <w:p w14:paraId="2184EE58">
            <w:pPr>
              <w:spacing w:line="360" w:lineRule="auto"/>
              <w:jc w:val="center"/>
              <w:rPr>
                <w:rFonts w:hint="eastAsia" w:ascii="宋体" w:hAnsi="宋体" w:eastAsia="宋体" w:cs="宋体"/>
                <w:sz w:val="24"/>
                <w:szCs w:val="24"/>
              </w:rPr>
            </w:pPr>
          </w:p>
        </w:tc>
      </w:tr>
      <w:tr w14:paraId="1FF5559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AB5710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695" w:type="dxa"/>
            <w:tcBorders>
              <w:top w:val="single" w:color="auto" w:sz="4" w:space="0"/>
              <w:left w:val="nil"/>
              <w:bottom w:val="single" w:color="auto" w:sz="4" w:space="0"/>
              <w:right w:val="single" w:color="auto" w:sz="4" w:space="0"/>
            </w:tcBorders>
            <w:vAlign w:val="center"/>
          </w:tcPr>
          <w:p w14:paraId="23466E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423" w:type="dxa"/>
            <w:tcBorders>
              <w:top w:val="single" w:color="auto" w:sz="4" w:space="0"/>
              <w:left w:val="nil"/>
              <w:bottom w:val="single" w:color="auto" w:sz="4" w:space="0"/>
              <w:right w:val="single" w:color="auto" w:sz="4" w:space="0"/>
            </w:tcBorders>
            <w:vAlign w:val="center"/>
          </w:tcPr>
          <w:p w14:paraId="0F268B85">
            <w:pPr>
              <w:spacing w:line="360" w:lineRule="auto"/>
              <w:jc w:val="center"/>
              <w:rPr>
                <w:rFonts w:hint="eastAsia"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vAlign w:val="center"/>
          </w:tcPr>
          <w:p w14:paraId="266F17B3">
            <w:pPr>
              <w:spacing w:line="360" w:lineRule="auto"/>
              <w:jc w:val="center"/>
              <w:rPr>
                <w:rFonts w:hint="eastAsia" w:ascii="宋体" w:hAnsi="宋体" w:eastAsia="宋体" w:cs="宋体"/>
                <w:sz w:val="24"/>
                <w:szCs w:val="24"/>
              </w:rPr>
            </w:pPr>
          </w:p>
        </w:tc>
        <w:tc>
          <w:tcPr>
            <w:tcW w:w="1301" w:type="dxa"/>
            <w:tcBorders>
              <w:top w:val="single" w:color="auto" w:sz="4" w:space="0"/>
              <w:left w:val="nil"/>
              <w:bottom w:val="single" w:color="auto" w:sz="4" w:space="0"/>
              <w:right w:val="single" w:color="auto" w:sz="4" w:space="0"/>
            </w:tcBorders>
            <w:vAlign w:val="center"/>
          </w:tcPr>
          <w:p w14:paraId="7962DAC1">
            <w:pPr>
              <w:spacing w:line="360" w:lineRule="auto"/>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66092215">
            <w:pPr>
              <w:spacing w:line="360" w:lineRule="auto"/>
              <w:jc w:val="center"/>
              <w:rPr>
                <w:rFonts w:hint="eastAsia" w:ascii="宋体" w:hAnsi="宋体" w:eastAsia="宋体" w:cs="宋体"/>
                <w:sz w:val="24"/>
                <w:szCs w:val="24"/>
              </w:rPr>
            </w:pPr>
          </w:p>
        </w:tc>
        <w:tc>
          <w:tcPr>
            <w:tcW w:w="1680" w:type="dxa"/>
            <w:tcBorders>
              <w:top w:val="single" w:color="auto" w:sz="4" w:space="0"/>
              <w:left w:val="nil"/>
              <w:bottom w:val="single" w:color="auto" w:sz="4" w:space="0"/>
              <w:right w:val="single" w:color="auto" w:sz="4" w:space="0"/>
            </w:tcBorders>
          </w:tcPr>
          <w:p w14:paraId="31F57A0D">
            <w:pPr>
              <w:spacing w:line="360" w:lineRule="auto"/>
              <w:jc w:val="center"/>
              <w:rPr>
                <w:rFonts w:hint="eastAsia" w:ascii="宋体" w:hAnsi="宋体" w:eastAsia="宋体" w:cs="宋体"/>
                <w:sz w:val="24"/>
                <w:szCs w:val="24"/>
              </w:rPr>
            </w:pPr>
          </w:p>
        </w:tc>
      </w:tr>
    </w:tbl>
    <w:p w14:paraId="3F4B987E">
      <w:pPr>
        <w:spacing w:line="360" w:lineRule="auto"/>
        <w:rPr>
          <w:rFonts w:hint="eastAsia" w:ascii="宋体" w:hAnsi="宋体" w:eastAsia="宋体" w:cs="宋体"/>
          <w:sz w:val="24"/>
          <w:szCs w:val="24"/>
        </w:rPr>
      </w:pPr>
    </w:p>
    <w:p w14:paraId="640D4E8F">
      <w:pPr>
        <w:spacing w:line="360" w:lineRule="auto"/>
        <w:ind w:left="359" w:leftChars="171"/>
        <w:rPr>
          <w:rFonts w:hint="eastAsia" w:ascii="宋体" w:hAnsi="宋体" w:eastAsia="宋体" w:cs="宋体"/>
          <w:sz w:val="24"/>
          <w:szCs w:val="24"/>
        </w:rPr>
      </w:pPr>
    </w:p>
    <w:p w14:paraId="4D588C4A">
      <w:pPr>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14:paraId="7CEBE00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14:paraId="414B837C">
      <w:pPr>
        <w:spacing w:line="360" w:lineRule="auto"/>
        <w:rPr>
          <w:rFonts w:hint="eastAsia" w:ascii="宋体" w:hAnsi="宋体" w:eastAsia="宋体" w:cs="宋体"/>
          <w:sz w:val="24"/>
          <w:szCs w:val="24"/>
        </w:rPr>
      </w:pPr>
      <w:r>
        <w:rPr>
          <w:rFonts w:hint="eastAsia" w:ascii="宋体" w:hAnsi="宋体" w:eastAsia="宋体" w:cs="宋体"/>
          <w:sz w:val="24"/>
          <w:szCs w:val="24"/>
        </w:rPr>
        <w:t>日期：XXX</w:t>
      </w:r>
    </w:p>
    <w:p w14:paraId="6F21045B">
      <w:pPr>
        <w:spacing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p>
    <w:bookmarkEnd w:id="95"/>
    <w:p w14:paraId="6A6CAFA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格式2-1</w:t>
      </w:r>
      <w:r>
        <w:rPr>
          <w:rFonts w:hint="eastAsia" w:ascii="宋体" w:hAnsi="宋体" w:cs="宋体"/>
          <w:b/>
          <w:bCs/>
          <w:sz w:val="24"/>
          <w:szCs w:val="24"/>
          <w:lang w:val="en-US" w:eastAsia="zh-CN"/>
        </w:rPr>
        <w:t>1</w:t>
      </w:r>
    </w:p>
    <w:p w14:paraId="16A48A0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十、供应商诚信情况承诺函</w:t>
      </w:r>
    </w:p>
    <w:p w14:paraId="7B12BF56">
      <w:pPr>
        <w:spacing w:line="360" w:lineRule="auto"/>
        <w:rPr>
          <w:rFonts w:hint="eastAsia" w:ascii="宋体" w:hAnsi="宋体" w:eastAsia="宋体" w:cs="宋体"/>
          <w:sz w:val="24"/>
          <w:szCs w:val="24"/>
        </w:rPr>
      </w:pPr>
    </w:p>
    <w:p w14:paraId="605E1FDC">
      <w:pPr>
        <w:spacing w:line="360" w:lineRule="auto"/>
        <w:rPr>
          <w:rFonts w:hint="eastAsia" w:ascii="宋体" w:hAnsi="宋体" w:eastAsia="宋体" w:cs="宋体"/>
          <w:sz w:val="24"/>
          <w:szCs w:val="24"/>
        </w:rPr>
      </w:pPr>
      <w:r>
        <w:rPr>
          <w:rFonts w:hint="eastAsia" w:ascii="宋体" w:hAnsi="宋体" w:eastAsia="宋体" w:cs="宋体"/>
          <w:sz w:val="24"/>
          <w:szCs w:val="24"/>
        </w:rPr>
        <w:t>致（采购代理机构）：</w:t>
      </w:r>
    </w:p>
    <w:p w14:paraId="2CB113FA">
      <w:pPr>
        <w:spacing w:line="360" w:lineRule="auto"/>
        <w:rPr>
          <w:rFonts w:hint="eastAsia" w:ascii="宋体" w:hAnsi="宋体" w:eastAsia="宋体" w:cs="宋体"/>
          <w:sz w:val="24"/>
          <w:szCs w:val="24"/>
        </w:rPr>
      </w:pPr>
      <w:r>
        <w:rPr>
          <w:rFonts w:hint="eastAsia" w:ascii="宋体" w:hAnsi="宋体" w:eastAsia="宋体" w:cs="宋体"/>
          <w:sz w:val="24"/>
          <w:szCs w:val="24"/>
        </w:rPr>
        <w:t>本单位</w:t>
      </w:r>
      <w:r>
        <w:rPr>
          <w:rFonts w:hint="eastAsia" w:ascii="宋体" w:hAnsi="宋体" w:eastAsia="宋体" w:cs="宋体"/>
          <w:sz w:val="24"/>
          <w:szCs w:val="24"/>
          <w:u w:val="single"/>
        </w:rPr>
        <w:t>XXXX（供应商名称）</w:t>
      </w:r>
      <w:r>
        <w:rPr>
          <w:rFonts w:hint="eastAsia" w:ascii="宋体" w:hAnsi="宋体" w:eastAsia="宋体" w:cs="宋体"/>
          <w:sz w:val="24"/>
          <w:szCs w:val="24"/>
        </w:rPr>
        <w:t>参加</w:t>
      </w:r>
      <w:r>
        <w:rPr>
          <w:rFonts w:hint="eastAsia" w:ascii="宋体" w:hAnsi="宋体" w:eastAsia="宋体" w:cs="宋体"/>
          <w:sz w:val="24"/>
          <w:szCs w:val="24"/>
          <w:u w:val="single"/>
        </w:rPr>
        <w:t>XXXX（项目名称及采购编号）</w:t>
      </w:r>
      <w:r>
        <w:rPr>
          <w:rFonts w:hint="eastAsia" w:ascii="宋体" w:hAnsi="宋体" w:eastAsia="宋体" w:cs="宋体"/>
          <w:sz w:val="24"/>
          <w:szCs w:val="24"/>
        </w:rPr>
        <w:t>的政府采购活动，现根据《四川省公共资源交易领域严重失信联合惩戒实施办法》（川发改信用规〔2019〕405号）、《关于对政府采购领域严重违法失信主体开展联合惩戒的合作备忘录》（发改财金〔2018〕1614号）的相关规定，针对本单位的诚信情况作出以下承诺：</w:t>
      </w:r>
    </w:p>
    <w:p w14:paraId="46CDB572">
      <w:pPr>
        <w:spacing w:line="360" w:lineRule="auto"/>
        <w:ind w:firstLine="480" w:firstLineChars="200"/>
        <w:rPr>
          <w:rFonts w:hint="eastAsia" w:ascii="宋体" w:hAnsi="宋体" w:eastAsia="宋体" w:cs="宋体"/>
          <w:sz w:val="24"/>
          <w:szCs w:val="24"/>
        </w:rPr>
      </w:pPr>
    </w:p>
    <w:p w14:paraId="77B0D7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具有《四川省公共资源交易领域严重失信联合惩戒实施办法》（川发改信用规〔2019〕405号）、《关于对政府采购领域严重违法失信主体开展联合惩戒的合作备忘录》（发改财金〔2018〕1614号）所规定的失信行为</w:t>
      </w:r>
      <w:r>
        <w:rPr>
          <w:rFonts w:hint="eastAsia" w:ascii="宋体" w:hAnsi="宋体" w:eastAsia="宋体" w:cs="宋体"/>
          <w:sz w:val="24"/>
          <w:szCs w:val="24"/>
          <w:u w:val="single"/>
        </w:rPr>
        <w:t>XXXX</w:t>
      </w:r>
      <w:r>
        <w:rPr>
          <w:rFonts w:hint="eastAsia" w:ascii="宋体" w:hAnsi="宋体" w:eastAsia="宋体" w:cs="宋体"/>
          <w:sz w:val="24"/>
          <w:szCs w:val="24"/>
        </w:rPr>
        <w:t>次（填写失信行为的次数时，建议使用大写数字，如零、壹、贰、叁、肆等。）；（仅限递交响应文件截止当日仍在有效期的次数）</w:t>
      </w:r>
    </w:p>
    <w:p w14:paraId="37568B26">
      <w:pPr>
        <w:spacing w:line="360" w:lineRule="auto"/>
        <w:ind w:firstLine="480" w:firstLineChars="200"/>
        <w:rPr>
          <w:rFonts w:hint="eastAsia" w:ascii="宋体" w:hAnsi="宋体" w:eastAsia="宋体" w:cs="宋体"/>
          <w:sz w:val="24"/>
          <w:szCs w:val="24"/>
        </w:rPr>
      </w:pPr>
    </w:p>
    <w:p w14:paraId="2D6477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我单位对以上填写信息的真实性负责。如有不实，本单位愿承担由此产生的一切法律责任和后果。</w:t>
      </w:r>
    </w:p>
    <w:p w14:paraId="711B2201">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供应商名称：XXXX（单位盖章）。</w:t>
      </w:r>
    </w:p>
    <w:p w14:paraId="7AF004A8">
      <w:pPr>
        <w:widowControl/>
        <w:spacing w:line="360" w:lineRule="auto"/>
        <w:ind w:firstLine="470" w:firstLineChars="196"/>
        <w:jc w:val="left"/>
        <w:outlineLvl w:val="1"/>
        <w:rPr>
          <w:rFonts w:hint="eastAsia" w:ascii="宋体" w:hAnsi="宋体" w:eastAsia="宋体" w:cs="宋体"/>
          <w:sz w:val="24"/>
          <w:szCs w:val="24"/>
        </w:rPr>
      </w:pPr>
      <w:r>
        <w:rPr>
          <w:rFonts w:hint="eastAsia" w:ascii="宋体" w:hAnsi="宋体" w:eastAsia="宋体" w:cs="宋体"/>
          <w:sz w:val="24"/>
          <w:szCs w:val="24"/>
        </w:rPr>
        <w:t>递交响应文件截止日期: XXXX。</w:t>
      </w:r>
    </w:p>
    <w:p w14:paraId="581955E8">
      <w:pPr>
        <w:spacing w:line="360" w:lineRule="auto"/>
        <w:rPr>
          <w:rFonts w:hint="eastAsia" w:ascii="宋体" w:hAnsi="宋体" w:eastAsia="宋体" w:cs="宋体"/>
          <w:sz w:val="24"/>
          <w:szCs w:val="24"/>
        </w:rPr>
      </w:pPr>
    </w:p>
    <w:p w14:paraId="02E7CD6E">
      <w:pPr>
        <w:spacing w:line="360" w:lineRule="auto"/>
        <w:rPr>
          <w:rFonts w:hint="eastAsia" w:ascii="宋体" w:hAnsi="宋体" w:eastAsia="宋体" w:cs="宋体"/>
          <w:sz w:val="24"/>
          <w:szCs w:val="24"/>
        </w:rPr>
      </w:pPr>
    </w:p>
    <w:p w14:paraId="4D112308">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CC57B5A">
      <w:pPr>
        <w:spacing w:line="360" w:lineRule="auto"/>
        <w:rPr>
          <w:rFonts w:hint="eastAsia" w:ascii="宋体" w:hAnsi="宋体" w:eastAsia="宋体" w:cs="宋体"/>
          <w:sz w:val="21"/>
          <w:szCs w:val="21"/>
        </w:rPr>
      </w:pPr>
      <w:r>
        <w:rPr>
          <w:rFonts w:hint="eastAsia" w:ascii="宋体" w:hAnsi="宋体" w:eastAsia="宋体" w:cs="宋体"/>
          <w:sz w:val="21"/>
          <w:szCs w:val="21"/>
        </w:rPr>
        <w:t>1、本表格式及内容仅供参考，供应商也可提供自己的格式；</w:t>
      </w:r>
    </w:p>
    <w:p w14:paraId="5ADDCC95">
      <w:pPr>
        <w:spacing w:line="360" w:lineRule="auto"/>
        <w:rPr>
          <w:rFonts w:hint="eastAsia" w:ascii="宋体" w:hAnsi="宋体" w:eastAsia="宋体" w:cs="宋体"/>
          <w:sz w:val="21"/>
          <w:szCs w:val="21"/>
        </w:rPr>
      </w:pPr>
      <w:r>
        <w:rPr>
          <w:rFonts w:hint="eastAsia" w:ascii="宋体" w:hAnsi="宋体" w:eastAsia="宋体" w:cs="宋体"/>
          <w:sz w:val="21"/>
          <w:szCs w:val="21"/>
        </w:rPr>
        <w:t>2、供应商存在以上所述失信行为的，将按照第二章谈判须知附表的要求进行处理；</w:t>
      </w:r>
    </w:p>
    <w:p w14:paraId="4793801F">
      <w:pPr>
        <w:spacing w:line="360" w:lineRule="auto"/>
        <w:rPr>
          <w:rFonts w:hint="eastAsia" w:ascii="宋体" w:hAnsi="宋体" w:eastAsia="宋体" w:cs="宋体"/>
          <w:kern w:val="0"/>
          <w:sz w:val="21"/>
          <w:szCs w:val="21"/>
        </w:rPr>
      </w:pPr>
      <w:r>
        <w:rPr>
          <w:rFonts w:hint="eastAsia" w:ascii="宋体" w:hAnsi="宋体" w:eastAsia="宋体" w:cs="宋体"/>
          <w:sz w:val="21"/>
          <w:szCs w:val="21"/>
        </w:rPr>
        <w:t>3、财政部门对政府采购当事人的失信行为依法进行处罚、处理后，应当在四川政府采购网向社会公告，并记入诚信档案，有效期为1年。工商部门、税务部门、审判机关及其他有关部门单位认定供应商的失信行为明</w:t>
      </w:r>
      <w:r>
        <w:rPr>
          <w:rFonts w:hint="eastAsia" w:ascii="宋体" w:hAnsi="宋体" w:eastAsia="宋体" w:cs="宋体"/>
          <w:kern w:val="0"/>
          <w:sz w:val="21"/>
          <w:szCs w:val="21"/>
        </w:rPr>
        <w:t>确了有效期的，不再重复计算。</w:t>
      </w:r>
    </w:p>
    <w:p w14:paraId="0E09FEEC">
      <w:pPr>
        <w:spacing w:line="360" w:lineRule="auto"/>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供应商的失信行为受到行政处罚或司法惩处的，评审时不再对其以价格加成进行惩戒。</w:t>
      </w:r>
    </w:p>
    <w:p w14:paraId="468E97B7">
      <w:pPr>
        <w:widowControl/>
        <w:jc w:val="left"/>
        <w:rPr>
          <w:rFonts w:hint="eastAsia" w:ascii="宋体" w:hAnsi="宋体" w:eastAsia="宋体" w:cs="宋体"/>
          <w:b/>
          <w:bCs/>
          <w:sz w:val="24"/>
          <w:szCs w:val="24"/>
          <w:lang w:val="en-US" w:eastAsia="zh-CN"/>
        </w:rPr>
      </w:pPr>
      <w:r>
        <w:rPr>
          <w:rFonts w:hint="eastAsia" w:ascii="宋体" w:hAnsi="宋体" w:eastAsia="宋体" w:cs="宋体"/>
          <w:sz w:val="24"/>
          <w:szCs w:val="24"/>
        </w:rPr>
        <w:br w:type="page"/>
      </w:r>
      <w:bookmarkStart w:id="96" w:name="_Toc28334876"/>
      <w:r>
        <w:rPr>
          <w:rFonts w:hint="eastAsia" w:ascii="宋体" w:hAnsi="宋体" w:eastAsia="宋体" w:cs="宋体"/>
          <w:b/>
          <w:bCs/>
          <w:sz w:val="24"/>
          <w:szCs w:val="24"/>
        </w:rPr>
        <w:t>格式2-1</w:t>
      </w:r>
      <w:r>
        <w:rPr>
          <w:rFonts w:hint="eastAsia" w:ascii="宋体" w:hAnsi="宋体" w:cs="宋体"/>
          <w:b/>
          <w:bCs/>
          <w:sz w:val="24"/>
          <w:szCs w:val="24"/>
          <w:lang w:val="en-US" w:eastAsia="zh-CN"/>
        </w:rPr>
        <w:t>2</w:t>
      </w:r>
    </w:p>
    <w:p w14:paraId="0FD7CF98">
      <w:pPr>
        <w:pStyle w:val="5"/>
        <w:tabs>
          <w:tab w:val="left" w:pos="426"/>
          <w:tab w:val="left" w:pos="567"/>
        </w:tabs>
        <w:ind w:left="567" w:firstLine="1084" w:firstLineChars="450"/>
        <w:jc w:val="center"/>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、最</w:t>
      </w:r>
      <w:r>
        <w:rPr>
          <w:rFonts w:hint="eastAsia" w:ascii="宋体" w:hAnsi="宋体" w:eastAsia="宋体" w:cs="宋体"/>
          <w:sz w:val="24"/>
          <w:szCs w:val="24"/>
          <w:lang w:eastAsia="zh-CN"/>
        </w:rPr>
        <w:t>后</w:t>
      </w:r>
      <w:r>
        <w:rPr>
          <w:rFonts w:hint="eastAsia" w:ascii="宋体" w:hAnsi="宋体" w:eastAsia="宋体" w:cs="宋体"/>
          <w:sz w:val="24"/>
          <w:szCs w:val="24"/>
        </w:rPr>
        <w:t>报价表</w:t>
      </w:r>
      <w:bookmarkEnd w:id="96"/>
    </w:p>
    <w:tbl>
      <w:tblPr>
        <w:tblStyle w:val="44"/>
        <w:tblpPr w:leftFromText="180" w:rightFromText="180" w:vertAnchor="text" w:tblpXSpec="center" w:tblpY="1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282"/>
        <w:gridCol w:w="2693"/>
      </w:tblGrid>
      <w:tr w14:paraId="6050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47" w:type="dxa"/>
            <w:vAlign w:val="center"/>
          </w:tcPr>
          <w:p w14:paraId="342C5251">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5282" w:type="dxa"/>
            <w:vAlign w:val="center"/>
          </w:tcPr>
          <w:p w14:paraId="1FBD1466">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693" w:type="dxa"/>
            <w:vAlign w:val="center"/>
          </w:tcPr>
          <w:p w14:paraId="41D80D22">
            <w:pPr>
              <w:jc w:val="center"/>
              <w:rPr>
                <w:rFonts w:hint="eastAsia" w:ascii="宋体" w:hAnsi="宋体" w:eastAsia="宋体" w:cs="宋体"/>
                <w:sz w:val="24"/>
                <w:szCs w:val="24"/>
              </w:rPr>
            </w:pPr>
            <w:r>
              <w:rPr>
                <w:rFonts w:hint="eastAsia" w:ascii="宋体" w:hAnsi="宋体" w:eastAsia="宋体" w:cs="宋体"/>
                <w:sz w:val="24"/>
                <w:szCs w:val="24"/>
              </w:rPr>
              <w:t>报价</w:t>
            </w:r>
          </w:p>
        </w:tc>
      </w:tr>
      <w:tr w14:paraId="4827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47" w:type="dxa"/>
            <w:vAlign w:val="center"/>
          </w:tcPr>
          <w:p w14:paraId="73B391BB">
            <w:pPr>
              <w:jc w:val="center"/>
              <w:rPr>
                <w:rFonts w:hint="eastAsia" w:ascii="宋体" w:hAnsi="宋体" w:eastAsia="宋体" w:cs="宋体"/>
                <w:sz w:val="24"/>
                <w:szCs w:val="24"/>
              </w:rPr>
            </w:pPr>
            <w:r>
              <w:rPr>
                <w:rFonts w:hint="eastAsia" w:ascii="宋体" w:hAnsi="宋体" w:eastAsia="宋体" w:cs="宋体"/>
                <w:sz w:val="24"/>
                <w:szCs w:val="24"/>
              </w:rPr>
              <w:t>1</w:t>
            </w:r>
          </w:p>
        </w:tc>
        <w:tc>
          <w:tcPr>
            <w:tcW w:w="5282" w:type="dxa"/>
            <w:vAlign w:val="center"/>
          </w:tcPr>
          <w:p w14:paraId="271B1EC5">
            <w:pPr>
              <w:jc w:val="center"/>
              <w:rPr>
                <w:rFonts w:hint="eastAsia" w:ascii="宋体" w:hAnsi="宋体" w:eastAsia="宋体" w:cs="宋体"/>
                <w:sz w:val="24"/>
                <w:szCs w:val="24"/>
              </w:rPr>
            </w:pPr>
            <w:r>
              <w:rPr>
                <w:rFonts w:hint="eastAsia" w:ascii="宋体" w:hAnsi="宋体" w:eastAsia="宋体" w:cs="宋体"/>
                <w:sz w:val="24"/>
                <w:szCs w:val="24"/>
              </w:rPr>
              <w:t>XXX</w:t>
            </w:r>
          </w:p>
        </w:tc>
        <w:tc>
          <w:tcPr>
            <w:tcW w:w="2693" w:type="dxa"/>
            <w:vAlign w:val="center"/>
          </w:tcPr>
          <w:p w14:paraId="2A44EF26">
            <w:pPr>
              <w:ind w:firstLine="748" w:firstLineChars="312"/>
              <w:rPr>
                <w:rFonts w:hint="eastAsia" w:ascii="宋体" w:hAnsi="宋体" w:eastAsia="宋体" w:cs="宋体"/>
                <w:sz w:val="24"/>
                <w:szCs w:val="24"/>
              </w:rPr>
            </w:pPr>
            <w:r>
              <w:rPr>
                <w:rFonts w:hint="eastAsia" w:ascii="宋体" w:hAnsi="宋体" w:eastAsia="宋体" w:cs="宋体"/>
                <w:sz w:val="24"/>
                <w:szCs w:val="24"/>
              </w:rPr>
              <w:t xml:space="preserve"> XX元</w:t>
            </w:r>
          </w:p>
        </w:tc>
      </w:tr>
    </w:tbl>
    <w:p w14:paraId="6B9882A1">
      <w:pPr>
        <w:snapToGrid w:val="0"/>
        <w:spacing w:line="360" w:lineRule="auto"/>
        <w:ind w:right="-624" w:rightChars="-297"/>
        <w:rPr>
          <w:rFonts w:hint="eastAsia" w:ascii="宋体" w:hAnsi="宋体" w:eastAsia="宋体" w:cs="宋体"/>
          <w:sz w:val="24"/>
          <w:szCs w:val="24"/>
        </w:rPr>
      </w:pPr>
    </w:p>
    <w:p w14:paraId="76DCF939">
      <w:pPr>
        <w:snapToGrid w:val="0"/>
        <w:spacing w:line="360" w:lineRule="auto"/>
        <w:ind w:right="-624" w:rightChars="-297"/>
        <w:rPr>
          <w:rFonts w:hint="eastAsia" w:ascii="宋体" w:hAnsi="宋体" w:eastAsia="宋体" w:cs="宋体"/>
          <w:sz w:val="24"/>
          <w:szCs w:val="24"/>
        </w:rPr>
      </w:pPr>
    </w:p>
    <w:p w14:paraId="52F7193E">
      <w:pPr>
        <w:pStyle w:val="169"/>
        <w:rPr>
          <w:rFonts w:hint="eastAsia" w:ascii="宋体" w:hAnsi="宋体" w:eastAsia="宋体" w:cs="宋体"/>
          <w:sz w:val="24"/>
          <w:szCs w:val="24"/>
        </w:rPr>
      </w:pPr>
      <w:r>
        <w:rPr>
          <w:rFonts w:hint="eastAsia" w:ascii="宋体" w:hAnsi="宋体" w:eastAsia="宋体" w:cs="宋体"/>
          <w:sz w:val="24"/>
          <w:szCs w:val="24"/>
        </w:rPr>
        <w:t>最后报价（大写人民币）：XXXX</w:t>
      </w:r>
    </w:p>
    <w:p w14:paraId="610B9074">
      <w:pPr>
        <w:pStyle w:val="169"/>
        <w:ind w:firstLine="0"/>
        <w:rPr>
          <w:rFonts w:hint="eastAsia" w:ascii="宋体" w:hAnsi="宋体" w:eastAsia="宋体" w:cs="宋体"/>
          <w:sz w:val="24"/>
          <w:szCs w:val="24"/>
        </w:rPr>
      </w:pPr>
    </w:p>
    <w:p w14:paraId="1AA52416">
      <w:pPr>
        <w:pStyle w:val="169"/>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w:t>
      </w:r>
    </w:p>
    <w:p w14:paraId="07FEDFB7">
      <w:pPr>
        <w:pStyle w:val="169"/>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法定代表人或代理人：XXXX（签字）</w:t>
      </w:r>
    </w:p>
    <w:p w14:paraId="073432D9">
      <w:pPr>
        <w:pStyle w:val="169"/>
        <w:ind w:firstLine="480" w:firstLineChars="200"/>
        <w:rPr>
          <w:rFonts w:hint="eastAsia" w:ascii="宋体" w:hAnsi="宋体" w:eastAsia="宋体" w:cs="宋体"/>
          <w:sz w:val="24"/>
          <w:szCs w:val="24"/>
        </w:rPr>
      </w:pPr>
      <w:r>
        <w:rPr>
          <w:rFonts w:hint="eastAsia" w:ascii="宋体" w:hAnsi="宋体" w:eastAsia="宋体" w:cs="宋体"/>
          <w:sz w:val="24"/>
          <w:szCs w:val="24"/>
        </w:rPr>
        <w:t>日期：XX年XX月XX日</w:t>
      </w:r>
    </w:p>
    <w:p w14:paraId="099ABE14">
      <w:pPr>
        <w:pStyle w:val="169"/>
        <w:ind w:firstLine="551"/>
        <w:rPr>
          <w:rFonts w:hint="eastAsia" w:ascii="宋体" w:hAnsi="宋体" w:eastAsia="宋体" w:cs="宋体"/>
          <w:sz w:val="24"/>
          <w:szCs w:val="24"/>
        </w:rPr>
      </w:pPr>
      <w:r>
        <w:rPr>
          <w:rFonts w:hint="eastAsia" w:ascii="宋体" w:hAnsi="宋体" w:eastAsia="宋体" w:cs="宋体"/>
          <w:sz w:val="24"/>
          <w:szCs w:val="24"/>
        </w:rPr>
        <w:t>说明：1、供应商可不在响应文件中填写并提供此表。此表为谈判结束后，由供应商填写“最</w:t>
      </w:r>
      <w:r>
        <w:rPr>
          <w:rFonts w:hint="eastAsia" w:ascii="宋体" w:hAnsi="宋体" w:cs="宋体"/>
          <w:sz w:val="24"/>
          <w:szCs w:val="24"/>
          <w:lang w:eastAsia="zh-CN"/>
        </w:rPr>
        <w:t>后</w:t>
      </w:r>
      <w:r>
        <w:rPr>
          <w:rFonts w:hint="eastAsia" w:ascii="宋体" w:hAnsi="宋体" w:eastAsia="宋体" w:cs="宋体"/>
          <w:sz w:val="24"/>
          <w:szCs w:val="24"/>
        </w:rPr>
        <w:t>报价”（表格由谈判小组提供），经供应商法定代表人或代理人签字后密封递交给采购代理机构工作人员，由其收集齐后集中递交谈判小组。供应商在响应文件中提交此表的，不影响其响应文件的有效性，其最后报价以谈判结束后提交的“最后报价”为准。</w:t>
      </w:r>
    </w:p>
    <w:p w14:paraId="0D602368">
      <w:pPr>
        <w:pStyle w:val="169"/>
        <w:ind w:firstLine="551"/>
        <w:rPr>
          <w:rFonts w:hint="eastAsia" w:ascii="宋体" w:hAnsi="宋体" w:eastAsia="宋体" w:cs="宋体"/>
          <w:sz w:val="24"/>
          <w:szCs w:val="24"/>
        </w:rPr>
      </w:pPr>
      <w:r>
        <w:rPr>
          <w:rFonts w:hint="eastAsia" w:ascii="宋体" w:hAnsi="宋体" w:eastAsia="宋体" w:cs="宋体"/>
          <w:sz w:val="24"/>
          <w:szCs w:val="24"/>
        </w:rPr>
        <w:t>2、报价应是包括谈判文件规定的全部相应内容的报价。</w:t>
      </w:r>
    </w:p>
    <w:p w14:paraId="0F9E8997">
      <w:pPr>
        <w:rPr>
          <w:rFonts w:hint="eastAsia" w:ascii="宋体" w:hAnsi="宋体" w:eastAsia="宋体" w:cs="宋体"/>
          <w:sz w:val="24"/>
          <w:szCs w:val="24"/>
        </w:rPr>
      </w:pPr>
    </w:p>
    <w:p w14:paraId="73514DD4">
      <w:pPr>
        <w:pStyle w:val="39"/>
        <w:rPr>
          <w:rFonts w:hint="eastAsia" w:ascii="宋体" w:hAnsi="宋体" w:eastAsia="宋体" w:cs="宋体"/>
          <w:sz w:val="24"/>
          <w:szCs w:val="24"/>
        </w:rPr>
        <w:sectPr>
          <w:footerReference r:id="rId7" w:type="default"/>
          <w:pgSz w:w="11907" w:h="16840"/>
          <w:pgMar w:top="1440" w:right="1800" w:bottom="1440" w:left="1800" w:header="720" w:footer="720" w:gutter="0"/>
          <w:pgNumType w:fmt="decimal"/>
          <w:cols w:space="720" w:num="1"/>
        </w:sectPr>
      </w:pPr>
    </w:p>
    <w:p w14:paraId="1E6C494F">
      <w:pPr>
        <w:pStyle w:val="5"/>
        <w:tabs>
          <w:tab w:val="left" w:pos="426"/>
          <w:tab w:val="left" w:pos="567"/>
        </w:tabs>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十二、其他相关资料</w:t>
      </w:r>
    </w:p>
    <w:p w14:paraId="0EC0F085">
      <w:pPr>
        <w:pStyle w:val="39"/>
        <w:jc w:val="center"/>
        <w:rPr>
          <w:rFonts w:hint="eastAsia" w:ascii="宋体" w:hAnsi="宋体" w:eastAsia="宋体" w:cs="宋体"/>
          <w:sz w:val="24"/>
          <w:szCs w:val="24"/>
        </w:rPr>
      </w:pPr>
      <w:r>
        <w:rPr>
          <w:rFonts w:hint="eastAsia" w:ascii="宋体" w:hAnsi="宋体" w:cs="宋体"/>
          <w:color w:val="00B0F0"/>
          <w:sz w:val="24"/>
          <w:szCs w:val="24"/>
          <w:lang w:val="en-US" w:eastAsia="zh-CN"/>
        </w:rPr>
        <w:t>（1.本项目投标阶段无需提供施工组织方案，勘察现场后提交施工方案并须经过监理单位和业主单位审核后才能用于施工；2.无须提供投标清单，只须满足“</w:t>
      </w:r>
      <w:r>
        <w:rPr>
          <w:rFonts w:hint="eastAsia" w:ascii="宋体" w:hAnsi="宋体" w:eastAsia="宋体" w:cs="宋体"/>
          <w:color w:val="00B0F0"/>
          <w:sz w:val="24"/>
          <w:szCs w:val="24"/>
        </w:rPr>
        <w:t>供应商须知附表</w:t>
      </w:r>
      <w:r>
        <w:rPr>
          <w:rFonts w:hint="eastAsia" w:ascii="宋体" w:hAnsi="宋体" w:cs="宋体"/>
          <w:color w:val="00B0F0"/>
          <w:sz w:val="24"/>
          <w:szCs w:val="24"/>
          <w:lang w:val="en-US" w:eastAsia="zh-CN"/>
        </w:rPr>
        <w:t>”）</w:t>
      </w:r>
      <w:r>
        <w:rPr>
          <w:rFonts w:hint="eastAsia" w:ascii="宋体" w:hAnsi="宋体" w:eastAsia="宋体" w:cs="宋体"/>
          <w:sz w:val="24"/>
          <w:szCs w:val="24"/>
        </w:rPr>
        <w:br w:type="page"/>
      </w:r>
      <w:r>
        <w:rPr>
          <w:rFonts w:hint="eastAsia" w:ascii="宋体" w:hAnsi="宋体" w:eastAsia="宋体" w:cs="宋体"/>
          <w:sz w:val="36"/>
          <w:szCs w:val="36"/>
        </w:rPr>
        <w:t>第</w:t>
      </w:r>
      <w:r>
        <w:rPr>
          <w:rFonts w:hint="eastAsia" w:ascii="宋体" w:hAnsi="宋体" w:eastAsia="宋体" w:cs="宋体"/>
          <w:sz w:val="36"/>
          <w:szCs w:val="36"/>
          <w:lang w:eastAsia="zh-CN"/>
        </w:rPr>
        <w:t>八</w:t>
      </w:r>
      <w:r>
        <w:rPr>
          <w:rFonts w:hint="eastAsia" w:ascii="宋体" w:hAnsi="宋体" w:eastAsia="宋体" w:cs="宋体"/>
          <w:sz w:val="36"/>
          <w:szCs w:val="36"/>
        </w:rPr>
        <w:t>章  评审方法</w:t>
      </w:r>
      <w:bookmarkEnd w:id="91"/>
      <w:bookmarkEnd w:id="92"/>
    </w:p>
    <w:p w14:paraId="511CD86D">
      <w:pPr>
        <w:pStyle w:val="5"/>
        <w:keepNext w:val="0"/>
        <w:keepLines w:val="0"/>
        <w:spacing w:before="0" w:after="0" w:line="360" w:lineRule="auto"/>
        <w:ind w:firstLine="472" w:firstLineChars="196"/>
        <w:rPr>
          <w:rFonts w:hint="eastAsia" w:ascii="宋体" w:hAnsi="宋体" w:eastAsia="宋体" w:cs="宋体"/>
          <w:sz w:val="24"/>
          <w:szCs w:val="24"/>
        </w:rPr>
      </w:pPr>
      <w:bookmarkStart w:id="97" w:name="_Toc101250640"/>
      <w:bookmarkStart w:id="98" w:name="_Toc101338358"/>
      <w:bookmarkStart w:id="99" w:name="_Toc101174146"/>
      <w:bookmarkStart w:id="100" w:name="_Toc209847065"/>
      <w:bookmarkStart w:id="101" w:name="_Toc430773924"/>
    </w:p>
    <w:p w14:paraId="62722D15">
      <w:pPr>
        <w:pStyle w:val="5"/>
        <w:keepNext w:val="0"/>
        <w:keepLines w:val="0"/>
        <w:spacing w:before="0" w:after="0" w:line="360" w:lineRule="auto"/>
        <w:ind w:firstLine="472" w:firstLineChars="196"/>
        <w:rPr>
          <w:rFonts w:hint="eastAsia" w:ascii="宋体" w:hAnsi="宋体" w:eastAsia="宋体" w:cs="宋体"/>
          <w:sz w:val="24"/>
          <w:szCs w:val="24"/>
        </w:rPr>
      </w:pPr>
      <w:r>
        <w:rPr>
          <w:rFonts w:hint="eastAsia" w:ascii="宋体" w:hAnsi="宋体" w:eastAsia="宋体" w:cs="宋体"/>
          <w:sz w:val="24"/>
          <w:szCs w:val="24"/>
        </w:rPr>
        <w:t>1.总则</w:t>
      </w:r>
    </w:p>
    <w:p w14:paraId="5C701190">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1.1 根据《中华人民共和国政府采购法》、《中华人民共和国政府采购法实施条例》、《政府采购非招标采购方式管理办法》等法律制度，结合本采购项目特点制定本次谈判采购评审方法。</w:t>
      </w:r>
    </w:p>
    <w:p w14:paraId="674EA254">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1.2 谈判工作由采购代理机构负责组织，具体谈判由采购代理机构依法组建的谈判小组负责。</w:t>
      </w:r>
    </w:p>
    <w:p w14:paraId="3D6396C6">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1.3 谈判工作应遵循公平、公正、科学及择优的原则，并以相同的谈判程序和标准对待所有的供应商。</w:t>
      </w:r>
    </w:p>
    <w:p w14:paraId="76DC0A2A">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1.4 谈判小组按照谈判文件规定的谈判程序进行评审，并独立履行下列职责：</w:t>
      </w:r>
    </w:p>
    <w:p w14:paraId="09BB5840">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（一）熟悉和理解谈判文件，确定谈判文件内容是否违反国家有关强制性规定或者谈判文件存在歧义、重大缺陷，根据需要书面要求采购人、采购代理机构对谈判文件作出解释；</w:t>
      </w:r>
    </w:p>
    <w:p w14:paraId="0C164D67">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（二）审查供应商响应文件是否满足谈判文件要求，并作出公正评价；</w:t>
      </w:r>
    </w:p>
    <w:p w14:paraId="18E7FB03">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（三）根据需要要求供应商对响应文件中含义不明确、同类问题表述不一致或者有明显文字和计算错误的内容等作出必要的澄清、说明或者更正；</w:t>
      </w:r>
    </w:p>
    <w:p w14:paraId="7BB994E5">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（四）推荐成交供应商，或者受采购人委托确定成交供应商；</w:t>
      </w:r>
    </w:p>
    <w:p w14:paraId="4983E4FD">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（五）起草评审报告并进行签署；</w:t>
      </w:r>
    </w:p>
    <w:p w14:paraId="35D179B0">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（六）向采购人、采购代理机构、财政部门或者其他监督部门报告非法干预评审工作的行为；</w:t>
      </w:r>
    </w:p>
    <w:p w14:paraId="1C03DB2F">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（七）法律、法规和规章规定的其他职责。</w:t>
      </w:r>
    </w:p>
    <w:p w14:paraId="012A0690">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1.5谈判过程独立、保密。供应商非法干预谈判过程的，其响应文件作无效处理。</w:t>
      </w:r>
    </w:p>
    <w:p w14:paraId="29D9FDFD">
      <w:pPr>
        <w:spacing w:line="360" w:lineRule="auto"/>
        <w:ind w:firstLine="413"/>
        <w:rPr>
          <w:rFonts w:hint="eastAsia" w:ascii="宋体" w:hAnsi="宋体" w:eastAsia="宋体" w:cs="宋体"/>
          <w:sz w:val="24"/>
          <w:szCs w:val="24"/>
        </w:rPr>
      </w:pPr>
    </w:p>
    <w:p w14:paraId="6A1D0B24">
      <w:pPr>
        <w:pStyle w:val="5"/>
        <w:keepNext w:val="0"/>
        <w:keepLines w:val="0"/>
        <w:spacing w:before="0" w:after="0" w:line="360" w:lineRule="auto"/>
        <w:ind w:firstLine="472" w:firstLineChars="196"/>
        <w:rPr>
          <w:rFonts w:hint="eastAsia" w:ascii="宋体" w:hAnsi="宋体" w:eastAsia="宋体" w:cs="宋体"/>
          <w:sz w:val="24"/>
          <w:szCs w:val="24"/>
        </w:rPr>
      </w:pPr>
      <w:r>
        <w:rPr>
          <w:rFonts w:hint="eastAsia" w:ascii="宋体" w:hAnsi="宋体" w:eastAsia="宋体" w:cs="宋体"/>
          <w:sz w:val="24"/>
          <w:szCs w:val="24"/>
        </w:rPr>
        <w:t>2.谈判程序</w:t>
      </w:r>
    </w:p>
    <w:p w14:paraId="70AFC508">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2.1审查谈判文件和停止评审。</w:t>
      </w:r>
    </w:p>
    <w:p w14:paraId="386F2261">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2.1.1 谈判小组正式评审前，应当对谈判文件进行熟悉和理解，内容主要包括谈判文件中供应商资格条件要求、采购项目技术、服务和商务要求、谈判办法和标准、政府采购政策要求以及政府采购合同主要条款等。</w:t>
      </w:r>
    </w:p>
    <w:p w14:paraId="42F38D25">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2.1.2 本谈判文件有下列情形之一的，谈判小组应当停止评审：</w:t>
      </w:r>
    </w:p>
    <w:p w14:paraId="62878312">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（1）谈判文件的规定存在歧义、重大缺陷，导致评审无法进行的；</w:t>
      </w:r>
    </w:p>
    <w:p w14:paraId="324FCD9E">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（2）谈判文件明显以不合理条件对供应商实行差别待遇或者歧视待遇的；</w:t>
      </w:r>
    </w:p>
    <w:p w14:paraId="755AB5F3">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（3）采购项目属于国家规定的优先、强制采购范围，但是谈判文件未依法体现优先、强制采购相关规定的；</w:t>
      </w:r>
    </w:p>
    <w:p w14:paraId="7851F018">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（4）采购项目属于政府采购促进中小企业发展的范围，但是谈判文件未依法体现促进中小企业发展相关规定的；</w:t>
      </w:r>
    </w:p>
    <w:p w14:paraId="72956E28">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（5）谈判文件载明的成交原则不合法的；</w:t>
      </w:r>
    </w:p>
    <w:p w14:paraId="16E3A4A6">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（6）谈判文件有违反国家其他有关强制性规定的情形。</w:t>
      </w:r>
    </w:p>
    <w:p w14:paraId="21F01D45">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2.1.3 出现本条2.1.2规定应当停止评审情形的，谈判小组应当向采购组织单位书面书面说明情况。除2.1.2规定的情形外，谈判小组不得以任何方式和理由停止评审。</w:t>
      </w:r>
    </w:p>
    <w:p w14:paraId="0A1322BA">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2.2谈判。</w:t>
      </w:r>
    </w:p>
    <w:p w14:paraId="173C58FE">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2.2.1谈判小组所有成员集中与单一供应商分别进行一轮或多轮谈判，并给予所有参加谈判的供应商平等的谈判机会。谈判顺序以现场抽签的方式确定。谈判过程中，谈判小组可以根据谈判情况调整谈判轮次。</w:t>
      </w:r>
    </w:p>
    <w:p w14:paraId="79B6ECE0">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2.2.2每轮谈判开始前，谈判小组应根据谈判文件的规定，并结合各供应商的响应文件拟定谈判内容。</w:t>
      </w:r>
    </w:p>
    <w:p w14:paraId="3190F4D8">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2.2.3在谈判过程中，谈判小组可以根据谈判文件和谈判情况实质性变动谈判文件的技术、服务要求以及合同草案条款，但不得变动谈判文件中的其他内容。实质性变动的内容，须经采购人代表书面确认。</w:t>
      </w:r>
    </w:p>
    <w:p w14:paraId="565131D6">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2.2.4对谈判文件作出的实质性变动是谈判文件的有效组成部分，谈判小组应当及时以书面形式同时通知所有参加谈判的供应商。</w:t>
      </w:r>
    </w:p>
    <w:p w14:paraId="66BF5904">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0A7429FF">
      <w:pPr>
        <w:pStyle w:val="3"/>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2.2.6</w:t>
      </w:r>
      <w:r>
        <w:rPr>
          <w:rFonts w:hint="eastAsia" w:ascii="宋体" w:hAnsi="宋体" w:eastAsia="宋体" w:cs="宋体"/>
          <w:sz w:val="24"/>
          <w:szCs w:val="24"/>
          <w:lang w:val="zh-CN"/>
        </w:rPr>
        <w:t>有效性、完整性和响应程度审查</w:t>
      </w:r>
    </w:p>
    <w:p w14:paraId="3334499C">
      <w:pPr>
        <w:pStyle w:val="3"/>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2.2.6.1谈判过程中，</w:t>
      </w:r>
      <w:r>
        <w:rPr>
          <w:rFonts w:hint="eastAsia" w:ascii="宋体" w:hAnsi="宋体" w:eastAsia="宋体" w:cs="宋体"/>
          <w:sz w:val="24"/>
          <w:szCs w:val="24"/>
          <w:lang w:val="zh-CN"/>
        </w:rPr>
        <w:t>谈判小组对供应商首次递交的响应文件进行审查，审查中发现供应商首次响应文件有下列情况之一的，应按照无效响应文件处理：</w:t>
      </w:r>
    </w:p>
    <w:p w14:paraId="6A6D0C96">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）响应文件的语言、报价货币、知识产权、响应文件有效期不符合采购文件的规定，影响谈判小组评判的；</w:t>
      </w:r>
    </w:p>
    <w:p w14:paraId="0D3D0D50">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（2）响应文件中未附已标价工程量清单。</w:t>
      </w:r>
    </w:p>
    <w:p w14:paraId="40BF7C15">
      <w:pPr>
        <w:pStyle w:val="3"/>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2.4.6.2经最终谈判后，响应文件仍有下列情况之一的，应按照无效响应文件处理：</w:t>
      </w:r>
    </w:p>
    <w:p w14:paraId="6377FAEA">
      <w:pPr>
        <w:pStyle w:val="3"/>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响应文件仍不能实质响应采购文件的实质性要求的；</w:t>
      </w:r>
    </w:p>
    <w:p w14:paraId="66D75F08">
      <w:pPr>
        <w:pStyle w:val="3"/>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（2）响应文件仍中有谈判文件规定的其他无效响应情形的。</w:t>
      </w:r>
    </w:p>
    <w:p w14:paraId="78656CD8">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2.2.6.3谈判小组对响应文件签署、盖章等进行审查过程中，有下列情形的，谈判小组应当评定为不影响整个响应文件有效性和采购活动公平竞争，并通过响应文件的有效性审查：</w:t>
      </w:r>
    </w:p>
    <w:p w14:paraId="1398D6F0">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）响应文件存在个别地方（总数不能超过2个）没有法定代表人/单位负责人签字，但有法定代表人/单位负责人的私人印章或者有效授权代理人签字的，但法定代表人/单位负责人授权书除外；</w:t>
      </w:r>
    </w:p>
    <w:p w14:paraId="23554550">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）响应文件除采购文件明确要求加盖单位(法人)公章的以外，其他地方以相关专用章加盖的；</w:t>
      </w:r>
    </w:p>
    <w:p w14:paraId="790FB94C">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）以骑缝章的形式代替响应文件内容逐页盖章的（但是骑缝章模糊不清，印章名称无法辨认的除外）。</w:t>
      </w:r>
    </w:p>
    <w:p w14:paraId="5E77CFD2">
      <w:pPr>
        <w:pStyle w:val="3"/>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2.2.6.4谈判小组</w:t>
      </w:r>
      <w:r>
        <w:rPr>
          <w:rFonts w:hint="eastAsia" w:ascii="宋体" w:hAnsi="宋体" w:eastAsia="宋体" w:cs="宋体"/>
          <w:sz w:val="24"/>
          <w:szCs w:val="24"/>
          <w:lang w:val="zh-CN"/>
        </w:rPr>
        <w:t>对所有响应文件的有效性、完整性和响应程度进行审查</w:t>
      </w:r>
      <w:r>
        <w:rPr>
          <w:rFonts w:hint="eastAsia" w:ascii="宋体" w:hAnsi="宋体" w:eastAsia="宋体" w:cs="宋体"/>
          <w:sz w:val="24"/>
          <w:szCs w:val="24"/>
        </w:rPr>
        <w:t>后，向采购</w:t>
      </w:r>
      <w:r>
        <w:rPr>
          <w:rFonts w:hint="eastAsia" w:ascii="宋体" w:hAnsi="宋体" w:eastAsia="宋体" w:cs="宋体"/>
          <w:sz w:val="24"/>
          <w:szCs w:val="24"/>
          <w:lang w:val="zh-CN"/>
        </w:rPr>
        <w:t>代理机构</w:t>
      </w:r>
      <w:r>
        <w:rPr>
          <w:rFonts w:hint="eastAsia" w:ascii="宋体" w:hAnsi="宋体" w:eastAsia="宋体" w:cs="宋体"/>
          <w:sz w:val="24"/>
          <w:szCs w:val="24"/>
        </w:rPr>
        <w:t>出具</w:t>
      </w:r>
      <w:r>
        <w:rPr>
          <w:rFonts w:hint="eastAsia" w:ascii="宋体" w:hAnsi="宋体" w:eastAsia="宋体" w:cs="宋体"/>
          <w:sz w:val="24"/>
          <w:szCs w:val="24"/>
          <w:lang w:val="zh-CN"/>
        </w:rPr>
        <w:t>有效性、完整性和响应程度</w:t>
      </w:r>
      <w:r>
        <w:rPr>
          <w:rFonts w:hint="eastAsia" w:ascii="宋体" w:hAnsi="宋体" w:eastAsia="宋体" w:cs="宋体"/>
          <w:sz w:val="24"/>
          <w:szCs w:val="24"/>
        </w:rPr>
        <w:t>审查报告，确定继续谈判的供应商名单。没有通过</w:t>
      </w:r>
      <w:r>
        <w:rPr>
          <w:rFonts w:hint="eastAsia" w:ascii="宋体" w:hAnsi="宋体" w:eastAsia="宋体" w:cs="宋体"/>
          <w:sz w:val="24"/>
          <w:szCs w:val="24"/>
          <w:lang w:val="zh-CN"/>
        </w:rPr>
        <w:t>有效性、完整性和响应程度</w:t>
      </w:r>
      <w:r>
        <w:rPr>
          <w:rFonts w:hint="eastAsia" w:ascii="宋体" w:hAnsi="宋体" w:eastAsia="宋体" w:cs="宋体"/>
          <w:sz w:val="24"/>
          <w:szCs w:val="24"/>
        </w:rPr>
        <w:t>审查的供应商，谈判小组应在</w:t>
      </w:r>
      <w:r>
        <w:rPr>
          <w:rFonts w:hint="eastAsia" w:ascii="宋体" w:hAnsi="宋体" w:eastAsia="宋体" w:cs="宋体"/>
          <w:sz w:val="24"/>
          <w:szCs w:val="24"/>
          <w:lang w:val="zh-CN"/>
        </w:rPr>
        <w:t>有效性、完整性和响应程度</w:t>
      </w:r>
      <w:r>
        <w:rPr>
          <w:rFonts w:hint="eastAsia" w:ascii="宋体" w:hAnsi="宋体" w:eastAsia="宋体" w:cs="宋体"/>
          <w:sz w:val="24"/>
          <w:szCs w:val="24"/>
        </w:rPr>
        <w:t>审查报告中说明原因。</w:t>
      </w:r>
    </w:p>
    <w:p w14:paraId="3ECC85F9">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2.2.7谈判过程中，谈判的任何一方不得透露与谈判有关的其他供应商的技术资料、价格和其他信息。</w:t>
      </w:r>
    </w:p>
    <w:p w14:paraId="7A29AA8C">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2.2.8谈判过程中，谈判小组发现或者知晓供应商存在违法、违纪行为的，谈判小组应当将该供应商响应文件作无效处理，不允许其提交最后报价。</w:t>
      </w:r>
    </w:p>
    <w:p w14:paraId="29F9B759">
      <w:pPr>
        <w:pStyle w:val="5"/>
        <w:keepNext w:val="0"/>
        <w:keepLines w:val="0"/>
        <w:spacing w:before="0" w:after="0" w:line="360" w:lineRule="auto"/>
        <w:ind w:firstLine="470" w:firstLineChars="196"/>
        <w:rPr>
          <w:rFonts w:hint="eastAsia" w:ascii="宋体" w:hAnsi="宋体" w:eastAsia="宋体" w:cs="宋体"/>
          <w:b w:val="0"/>
          <w:bCs w:val="0"/>
          <w:sz w:val="24"/>
          <w:szCs w:val="24"/>
        </w:rPr>
      </w:pPr>
      <w:r>
        <w:rPr>
          <w:rFonts w:hint="eastAsia" w:ascii="宋体" w:hAnsi="宋体" w:eastAsia="宋体" w:cs="宋体"/>
          <w:b w:val="0"/>
          <w:bCs w:val="0"/>
          <w:sz w:val="24"/>
          <w:szCs w:val="24"/>
        </w:rPr>
        <w:t>2.2.9谈判完成后，谈判小组应出具谈判情况记录表，谈判情况记录表需包含谈判内容、谈判意见、实质性变动内容等。</w:t>
      </w:r>
    </w:p>
    <w:p w14:paraId="0E402034">
      <w:pPr>
        <w:spacing w:line="360" w:lineRule="auto"/>
        <w:ind w:firstLine="480" w:firstLineChars="200"/>
        <w:rPr>
          <w:ins w:id="1" w:author="ts" w:date="2018-05-17T10:56:00Z"/>
          <w:rFonts w:hint="eastAsia" w:ascii="宋体" w:hAnsi="宋体" w:eastAsia="宋体" w:cs="宋体"/>
          <w:sz w:val="24"/>
          <w:szCs w:val="24"/>
        </w:rPr>
      </w:pPr>
      <w:r>
        <w:rPr>
          <w:rFonts w:hint="eastAsia" w:ascii="宋体" w:hAnsi="宋体" w:eastAsia="宋体" w:cs="宋体"/>
          <w:sz w:val="24"/>
          <w:szCs w:val="24"/>
        </w:rPr>
        <w:t>2.3报价</w:t>
      </w:r>
    </w:p>
    <w:p w14:paraId="03E3DD1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2.3.1除首次响应文件中的报价以外，供应商报价采用现场报价。现场报价前，谈判小组应对供应商首次响应文件中的报价（</w:t>
      </w:r>
      <w:r>
        <w:rPr>
          <w:rFonts w:hint="eastAsia" w:ascii="宋体" w:hAnsi="宋体" w:eastAsia="宋体" w:cs="宋体"/>
          <w:sz w:val="24"/>
          <w:szCs w:val="24"/>
          <w:lang w:val="zh-CN"/>
        </w:rPr>
        <w:t>已标价工程量清单</w:t>
      </w:r>
      <w:r>
        <w:rPr>
          <w:rFonts w:hint="eastAsia" w:ascii="宋体" w:hAnsi="宋体" w:eastAsia="宋体" w:cs="宋体"/>
          <w:sz w:val="24"/>
          <w:szCs w:val="24"/>
        </w:rPr>
        <w:t>）进行评审：</w:t>
      </w:r>
    </w:p>
    <w:p w14:paraId="35CCE8FE">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（1）供应商已标价工程量清单出现谈判文件“供应商须知附表”中第5项规定情形之一的，应按照无效响应文件处理；</w:t>
      </w:r>
    </w:p>
    <w:p w14:paraId="370A2C1D">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（2）谈判小组对供应商已标价工程量清单进行算术性复核，如果出现下列不一致的，按以下原则进行修正：</w:t>
      </w:r>
    </w:p>
    <w:p w14:paraId="7021A7EE">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总价金额与依据单价（或费率）计算出的结果不一致的，以单价（或费率）为准修正总价，但单价（或费率）小数点有明显错误的除外（包括但不限于工程量清单、单位工程汇总表、单项工程汇总表、投标报价汇总表）。</w:t>
      </w:r>
    </w:p>
    <w:p w14:paraId="3C66B0BC">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修正后的报价经供应商确认后产生约束力，供应商不确认的，其响应文件作为无效处理。供应商确认采取书面且加盖单位公章或者供应商授权代表签字的方式。</w:t>
      </w:r>
    </w:p>
    <w:p w14:paraId="5FD96CE3">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不得未经澄清、说明或者更正，直接将供应商响应文件作为无效处理。</w:t>
      </w:r>
    </w:p>
    <w:p w14:paraId="2E88E3F9">
      <w:pPr>
        <w:pStyle w:val="3"/>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（3）谈判小组对供应商已标价工程量清单的项目单价进行评审，对明显不合理的单价（如明显偏高或偏低）项目,应在评审报告中记录，提醒采购人在签订合同时注意，并在合同履行过程中加强风险防范。</w:t>
      </w:r>
    </w:p>
    <w:p w14:paraId="5396C4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已标价工程量清单评审结束后，谈判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545EB9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2.3.3参与报价的供应商按谈判小组要求进行报价。最后报价超过竞争性谈判文件规定的政府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0A28FB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06A002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2.3.5采购人在谈判文件中直接确定了采购项目采购价格的，供应商的报价应当按照谈判文件中确定了的采购项目采购价格进行报价，不得增加或者减少，否则其报价无效，其响应文件将作为无效处理。</w:t>
      </w:r>
    </w:p>
    <w:p w14:paraId="1EAE7D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2.3.6 谈判小组应当将供应商的最后报价进行促进中小企业发展的价格扣除和对失信供应商的价格加成后进行排序。</w:t>
      </w:r>
    </w:p>
    <w:p w14:paraId="49DD57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2.4谈判小组复核。供应商最后报价结束后，谈判小组应当进行评审复核，对拟推荐为成交候选供应商的、报价最低的、供应商响应文件作无效处理的重点复核。</w:t>
      </w:r>
    </w:p>
    <w:p w14:paraId="6986CAE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2.5推荐成交候选供应商。谈判小组应当根据报价低到高顺序推荐3家以上成交候选供应商，并编写谈判报告。最后报价相同的，按供应商承诺提供的优先采购产品认证证书数量由多到少顺序</w:t>
      </w:r>
      <w:r>
        <w:rPr>
          <w:rFonts w:hint="eastAsia" w:ascii="宋体" w:hAnsi="宋体" w:eastAsia="宋体" w:cs="宋体"/>
          <w:color w:val="000000" w:themeColor="text1"/>
          <w:sz w:val="24"/>
          <w:szCs w:val="24"/>
          <w:lang w:val="en-US" w:eastAsia="zh-CN"/>
          <w14:textFill>
            <w14:solidFill>
              <w14:schemeClr w14:val="tx1"/>
            </w14:solidFill>
          </w14:textFill>
        </w:rPr>
        <w:t>推荐</w:t>
      </w:r>
      <w:r>
        <w:rPr>
          <w:rFonts w:hint="eastAsia" w:ascii="宋体" w:hAnsi="宋体" w:eastAsia="宋体" w:cs="宋体"/>
          <w:color w:val="000000" w:themeColor="text1"/>
          <w:sz w:val="24"/>
          <w:szCs w:val="24"/>
          <w14:textFill>
            <w14:solidFill>
              <w14:schemeClr w14:val="tx1"/>
            </w14:solidFill>
          </w14:textFill>
        </w:rPr>
        <w:t>成交候选供应商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按照前述方法依旧存在供应商并列的，由代理机构或采购人</w:t>
      </w:r>
      <w:r>
        <w:rPr>
          <w:rFonts w:hint="eastAsia" w:ascii="宋体" w:hAnsi="宋体" w:eastAsia="宋体" w:cs="宋体"/>
          <w:color w:val="000000" w:themeColor="text1"/>
          <w:sz w:val="24"/>
          <w:szCs w:val="24"/>
          <w14:textFill>
            <w14:solidFill>
              <w14:schemeClr w14:val="tx1"/>
            </w14:solidFill>
          </w14:textFill>
        </w:rPr>
        <w:t>随机抽签确定成交供应商。</w:t>
      </w:r>
    </w:p>
    <w:p w14:paraId="51C7EF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2.6编写谈判报告。谈判小组推荐成交候选供应商后，应向采购代理机构出具谈判报告。谈判报告应当包括以下主要内容：</w:t>
      </w:r>
    </w:p>
    <w:p w14:paraId="608797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（1）邀请供应商参加采购活动的具体方式和相关情况；</w:t>
      </w:r>
    </w:p>
    <w:p w14:paraId="1EDF1E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（2）响应文件开启日期和地点；</w:t>
      </w:r>
    </w:p>
    <w:p w14:paraId="548A02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（3）获取谈判文件的供应商名单和谈判小组成员名单；</w:t>
      </w:r>
    </w:p>
    <w:p w14:paraId="16A643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（4）评审情况记录和说明，包括对供应商的资格审查情况、供应商响应文件审查情况、谈判情况、报价情况等；</w:t>
      </w:r>
    </w:p>
    <w:p w14:paraId="06C2C7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（5）提出的成交候选供应商的排序名单及理由。</w:t>
      </w:r>
    </w:p>
    <w:p w14:paraId="51C614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3FC4A4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5C3747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2.8供应商澄清、说明</w:t>
      </w:r>
    </w:p>
    <w:p w14:paraId="1F6C50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B2AB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2.8.2谈判小组要求供应商澄清、说明或者更正响应文件应当以书面形式作出。供应商的澄清、说明或者更正应当由法定代表人/主要负责人/本人或其授权代表签字（</w:t>
      </w:r>
      <w:r>
        <w:rPr>
          <w:rFonts w:hint="eastAsia" w:ascii="宋体" w:hAnsi="宋体" w:eastAsia="宋体" w:cs="宋体"/>
          <w:b/>
          <w:bCs/>
          <w:sz w:val="24"/>
          <w:szCs w:val="24"/>
        </w:rPr>
        <w:t>注：</w:t>
      </w:r>
      <w:r>
        <w:rPr>
          <w:rFonts w:hint="eastAsia" w:ascii="宋体" w:hAnsi="宋体" w:eastAsia="宋体" w:cs="宋体"/>
          <w:sz w:val="24"/>
          <w:szCs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56A355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2.9终止谈判采购活动。</w:t>
      </w:r>
    </w:p>
    <w:p w14:paraId="04F38A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出现下列情形之一的，采购人或者采购代理机构应当终止竞争性谈判采购活动，发布项目终止公告并说明原因，重新开展采购活动：</w:t>
      </w:r>
    </w:p>
    <w:p w14:paraId="12D6B5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（1）因情况变化，不再符合规定的竞争性谈判采购方式适用情形的；</w:t>
      </w:r>
    </w:p>
    <w:p w14:paraId="0DB65C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5DC354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（3）在采购过程中符合要求的供应商或者最后报价未超过采购预算的供应商不足3家的。</w:t>
      </w:r>
    </w:p>
    <w:p w14:paraId="6F567B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2.10谈判活动结束后，发现资格预审过程中资格性审查认定错误的，谈判结果无效，重新开展采购活动，由此给供应商造成损失的，由采购人、采购代理机构承担赔偿责任。但是，经过所有参加采购活动的供应商书面认可，同意重新实行资格性审查的，可以直接重新实行资格性审查，并重新按照规定要求进行谈判评审。</w:t>
      </w:r>
    </w:p>
    <w:bookmarkEnd w:id="97"/>
    <w:bookmarkEnd w:id="98"/>
    <w:bookmarkEnd w:id="99"/>
    <w:bookmarkEnd w:id="100"/>
    <w:p w14:paraId="6ACC6DF7">
      <w:pPr>
        <w:tabs>
          <w:tab w:val="left" w:pos="851"/>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3.谈判纪律及注意事项</w:t>
      </w:r>
    </w:p>
    <w:p w14:paraId="4DCA1E72">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3.1谈判小组内部讨论的情况和意见必须保密，任何人不得以任何形式透露给供应商或与供应商有关的单位或个人。</w:t>
      </w:r>
    </w:p>
    <w:p w14:paraId="1E1B9407">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3.2在谈判过程中，供应商不得以任何形式对谈判小组成员进行旨在影响谈判结果的私下接触，否则将取消其参与谈判的资格。</w:t>
      </w:r>
    </w:p>
    <w:p w14:paraId="36F58F3F">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3.3对各供应商的商业秘密，谈判小组成员应予以保密，不得泄露给其他供应商。</w:t>
      </w:r>
    </w:p>
    <w:p w14:paraId="0FD8AA67">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 谈判小组独立评判，推荐成交候选人，并写出书面报告。</w:t>
      </w:r>
    </w:p>
    <w:p w14:paraId="5EC11BF6">
      <w:pPr>
        <w:tabs>
          <w:tab w:val="left" w:pos="85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 谈判小组可根据需要对供应商进行实地考察。</w:t>
      </w:r>
    </w:p>
    <w:p w14:paraId="1E1D0AD4">
      <w:pPr>
        <w:spacing w:line="360" w:lineRule="auto"/>
        <w:ind w:firstLine="480" w:firstLineChars="200"/>
        <w:rPr>
          <w:rFonts w:hint="eastAsia" w:ascii="宋体" w:hAnsi="宋体" w:eastAsia="宋体" w:cs="宋体"/>
          <w:sz w:val="24"/>
          <w:szCs w:val="24"/>
        </w:rPr>
      </w:pPr>
    </w:p>
    <w:p w14:paraId="0AE3EC06">
      <w:pPr>
        <w:tabs>
          <w:tab w:val="left" w:pos="7665"/>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4.</w:t>
      </w:r>
      <w:bookmarkEnd w:id="101"/>
      <w:r>
        <w:rPr>
          <w:rFonts w:hint="eastAsia" w:ascii="宋体" w:hAnsi="宋体" w:eastAsia="宋体" w:cs="宋体"/>
          <w:b/>
          <w:bCs/>
          <w:sz w:val="24"/>
          <w:szCs w:val="24"/>
        </w:rPr>
        <w:t>谈判小组在政府采购活动中承担以下义务：</w:t>
      </w:r>
    </w:p>
    <w:p w14:paraId="1F399E75">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遵守评审工作纪律；</w:t>
      </w:r>
    </w:p>
    <w:p w14:paraId="4D6E6CA6">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按照客观、公正、审慎的原则，根据谈判文件规定的评审程序、评审方法和评审标准进行独立评审；</w:t>
      </w:r>
    </w:p>
    <w:p w14:paraId="19E4FE7D">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不得泄露评审文件、评审情况和在评审过程中获悉的商业秘密；</w:t>
      </w:r>
    </w:p>
    <w:p w14:paraId="77EBFAEF">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及时向财政部门报告评审过程中发现的采购人、采购代理机构向评审专家做倾向性、误导性的解释或者说明，以及供应商行贿、提供虚假材料或者串通等违法行为；</w:t>
      </w:r>
    </w:p>
    <w:p w14:paraId="000E54DE">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发现谈判文件内容违反国家有关强制性规定或者谈判文件存在歧义、重大缺陷导致评审工作无法进行时，停止评审并向采购人或者采购代理机构书面说明情况；</w:t>
      </w:r>
    </w:p>
    <w:p w14:paraId="113DEF29">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及时向财政、监察等部门举报在评审过程中受到非法干预的情况；</w:t>
      </w:r>
    </w:p>
    <w:p w14:paraId="7A69437C">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配合答复处理供应商的询问、质疑和投诉等事项；</w:t>
      </w:r>
    </w:p>
    <w:p w14:paraId="2508C790">
      <w:pPr>
        <w:pStyle w:val="97"/>
        <w:numPr>
          <w:ilvl w:val="0"/>
          <w:numId w:val="9"/>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法律、法规和规章规定的其他义务。</w:t>
      </w:r>
    </w:p>
    <w:p w14:paraId="76405810">
      <w:pPr>
        <w:tabs>
          <w:tab w:val="left" w:pos="7665"/>
        </w:tabs>
        <w:spacing w:line="360" w:lineRule="auto"/>
        <w:rPr>
          <w:rFonts w:hint="eastAsia" w:ascii="宋体" w:hAnsi="宋体" w:eastAsia="宋体" w:cs="宋体"/>
          <w:sz w:val="24"/>
          <w:szCs w:val="24"/>
        </w:rPr>
      </w:pPr>
    </w:p>
    <w:p w14:paraId="6BA710DE">
      <w:pPr>
        <w:tabs>
          <w:tab w:val="left" w:pos="7665"/>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5.评审专家在政府采购活动中应当遵守以下工作纪律：</w:t>
      </w:r>
    </w:p>
    <w:p w14:paraId="5B42C24B">
      <w:pPr>
        <w:pStyle w:val="97"/>
        <w:numPr>
          <w:ilvl w:val="0"/>
          <w:numId w:val="10"/>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不得参加与自己有《中华人民共和国政府采购法实施条例》第九条规定的利害关系的政府采购项目的评审活动。发现参加了与自己有利害关系的评审活动，须主动提出回避，退出评审；</w:t>
      </w:r>
    </w:p>
    <w:p w14:paraId="0D1DC0C9">
      <w:pPr>
        <w:pStyle w:val="97"/>
        <w:numPr>
          <w:ilvl w:val="0"/>
          <w:numId w:val="10"/>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评审前，应当将通讯工具或者相关电子设备交由采购代理机构统一保管；</w:t>
      </w:r>
    </w:p>
    <w:p w14:paraId="0BA4D2ED">
      <w:pPr>
        <w:pStyle w:val="97"/>
        <w:numPr>
          <w:ilvl w:val="0"/>
          <w:numId w:val="10"/>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评审过程中，不得与外界联系，因发生不可预见情况，确实需要与外界联系的，应当在监督人员监督之下办理；</w:t>
      </w:r>
    </w:p>
    <w:p w14:paraId="2E1D420C">
      <w:pPr>
        <w:pStyle w:val="97"/>
        <w:numPr>
          <w:ilvl w:val="0"/>
          <w:numId w:val="10"/>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0DBDCDA7">
      <w:pPr>
        <w:pStyle w:val="97"/>
        <w:numPr>
          <w:ilvl w:val="0"/>
          <w:numId w:val="10"/>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在评审过程中和评审结束后，不得记录、复制或带走任何评审资料，不得向外界透露评审内容；</w:t>
      </w:r>
    </w:p>
    <w:p w14:paraId="53B27D30">
      <w:pPr>
        <w:pStyle w:val="97"/>
        <w:numPr>
          <w:ilvl w:val="0"/>
          <w:numId w:val="10"/>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评审现场服从采购代理机构工作人员的管理，接受现场监督人员的合法监督；</w:t>
      </w:r>
    </w:p>
    <w:p w14:paraId="3D7F8949">
      <w:pPr>
        <w:pStyle w:val="97"/>
        <w:numPr>
          <w:ilvl w:val="0"/>
          <w:numId w:val="10"/>
        </w:numPr>
        <w:tabs>
          <w:tab w:val="left" w:pos="7665"/>
        </w:tabs>
        <w:spacing w:line="360" w:lineRule="auto"/>
        <w:ind w:left="0" w:firstLine="567" w:firstLineChars="0"/>
        <w:rPr>
          <w:rFonts w:hint="eastAsia" w:ascii="宋体" w:hAnsi="宋体" w:eastAsia="宋体" w:cs="宋体"/>
          <w:sz w:val="24"/>
          <w:szCs w:val="24"/>
        </w:rPr>
      </w:pPr>
      <w:r>
        <w:rPr>
          <w:rFonts w:hint="eastAsia" w:ascii="宋体" w:hAnsi="宋体" w:eastAsia="宋体" w:cs="宋体"/>
          <w:sz w:val="24"/>
          <w:szCs w:val="24"/>
        </w:rPr>
        <w:t>遵守有关廉洁自律规定，不得私下接触供应商，不得收受供应商及有关业务单位和个人的财物或好处，不得接受采购代理机构的请托。</w:t>
      </w:r>
    </w:p>
    <w:p w14:paraId="0EE3016C">
      <w:pPr>
        <w:spacing w:line="360" w:lineRule="auto"/>
        <w:rPr>
          <w:rFonts w:hint="eastAsia" w:ascii="宋体" w:hAnsi="宋体" w:eastAsia="宋体" w:cs="宋体"/>
          <w:sz w:val="24"/>
          <w:szCs w:val="24"/>
        </w:rPr>
      </w:pPr>
    </w:p>
    <w:p w14:paraId="74E28669">
      <w:pPr>
        <w:pStyle w:val="39"/>
        <w:rPr>
          <w:rFonts w:hint="eastAsia" w:ascii="宋体" w:hAnsi="宋体" w:eastAsia="宋体" w:cs="宋体"/>
          <w:sz w:val="24"/>
          <w:szCs w:val="24"/>
        </w:rPr>
      </w:pPr>
      <w:r>
        <w:rPr>
          <w:rFonts w:hint="eastAsia" w:ascii="宋体" w:hAnsi="宋体" w:eastAsia="宋体" w:cs="宋体"/>
          <w:sz w:val="24"/>
          <w:szCs w:val="24"/>
        </w:rPr>
        <w:br w:type="page"/>
      </w:r>
      <w:bookmarkStart w:id="102" w:name="_Toc41037910"/>
      <w:bookmarkStart w:id="103" w:name="_Toc509579148"/>
      <w:r>
        <w:rPr>
          <w:rFonts w:hint="eastAsia" w:ascii="宋体" w:hAnsi="宋体" w:eastAsia="宋体" w:cs="宋体"/>
          <w:sz w:val="36"/>
          <w:szCs w:val="36"/>
        </w:rPr>
        <w:t>第</w:t>
      </w:r>
      <w:r>
        <w:rPr>
          <w:rFonts w:hint="eastAsia" w:ascii="宋体" w:hAnsi="宋体" w:eastAsia="宋体" w:cs="宋体"/>
          <w:sz w:val="36"/>
          <w:szCs w:val="36"/>
          <w:lang w:val="en-US" w:eastAsia="zh-CN"/>
        </w:rPr>
        <w:t>九</w:t>
      </w:r>
      <w:r>
        <w:rPr>
          <w:rFonts w:hint="eastAsia" w:ascii="宋体" w:hAnsi="宋体" w:eastAsia="宋体" w:cs="宋体"/>
          <w:sz w:val="36"/>
          <w:szCs w:val="36"/>
        </w:rPr>
        <w:t>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政府采购合同（草案）</w:t>
      </w:r>
      <w:bookmarkEnd w:id="102"/>
      <w:bookmarkEnd w:id="103"/>
    </w:p>
    <w:bookmarkEnd w:id="86"/>
    <w:bookmarkEnd w:id="87"/>
    <w:bookmarkEnd w:id="88"/>
    <w:p w14:paraId="39FD37F2">
      <w:pPr>
        <w:spacing w:line="360" w:lineRule="auto"/>
        <w:ind w:firstLine="480" w:firstLineChars="200"/>
        <w:rPr>
          <w:rFonts w:hint="eastAsia" w:ascii="宋体" w:hAnsi="宋体" w:eastAsia="宋体" w:cs="宋体"/>
          <w:sz w:val="24"/>
          <w:szCs w:val="24"/>
        </w:rPr>
      </w:pPr>
    </w:p>
    <w:p w14:paraId="5361D8A3">
      <w:pPr>
        <w:pStyle w:val="89"/>
        <w:spacing w:line="360" w:lineRule="auto"/>
        <w:ind w:firstLine="3168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合同法》、《中华人民共和国建筑法》及XXX采购项目（项目编号：XXX）的谈判文件、乙方的响应文件及成交通知书，甲、乙双方同意签订本合同。详细技术说明及其他有关合同项目的特定信息由合同附件予以说明，合同附件及本项目的谈判文件、响应文件、评审报告、成交通知书等均为本合同不可分割的部分。双方同意共同遵守如下条款：</w:t>
      </w:r>
    </w:p>
    <w:p w14:paraId="2B5534AD">
      <w:pPr>
        <w:pStyle w:val="89"/>
        <w:spacing w:line="360" w:lineRule="auto"/>
        <w:ind w:firstLine="31680"/>
        <w:rPr>
          <w:rFonts w:hint="eastAsia" w:ascii="宋体" w:hAnsi="宋体" w:eastAsia="宋体" w:cs="宋体"/>
          <w:sz w:val="24"/>
          <w:szCs w:val="24"/>
        </w:rPr>
      </w:pPr>
      <w:r>
        <w:rPr>
          <w:rFonts w:hint="eastAsia" w:ascii="宋体" w:hAnsi="宋体" w:eastAsia="宋体" w:cs="宋体"/>
          <w:sz w:val="24"/>
          <w:szCs w:val="24"/>
        </w:rPr>
        <w:t>为强化采购人主体责任，避免或者减少采购项目竣工结算中的违法违规和权力寻租行为，本采购项目政府采购合同约定履行按照《中华人民共和国政府采购法》及其实施条例等有关规定执行。采购项目竣工后验收过程中，采购人作为项目竣工验收的责任主体，将严把工程质量关，可能引入其他第三方机构协助验收，但任何第三方机构不会对政府采购合同价格进行变更，不得审减、审增，对于验收合格的采购项目，采购人应当按照政府采购合同确定的金额在收到供应商发票后30内支付采购资金。验收所产生的任何费用应由采购人承担，不要求或者专家成交供应商负担。</w:t>
      </w:r>
    </w:p>
    <w:p w14:paraId="588F77E5">
      <w:pPr>
        <w:keepNext/>
        <w:keepLines/>
        <w:spacing w:before="260" w:after="260" w:line="360" w:lineRule="auto"/>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本项目通用合同条款参照《建设工程施工合同(示范文本)》(GF-2017-0201)通用合同条款执行。如有最新版本，参照最新版本执行。</w:t>
      </w:r>
    </w:p>
    <w:p w14:paraId="2CA2D5B0">
      <w:pPr>
        <w:widowControl/>
        <w:spacing w:line="360" w:lineRule="auto"/>
        <w:ind w:left="31680" w:hanging="480" w:hangingChars="200"/>
        <w:jc w:val="left"/>
        <w:rPr>
          <w:rFonts w:hint="eastAsia" w:ascii="宋体" w:hAnsi="宋体" w:eastAsia="宋体" w:cs="宋体"/>
          <w:sz w:val="24"/>
          <w:szCs w:val="24"/>
        </w:rPr>
      </w:pPr>
      <w:r>
        <w:rPr>
          <w:rFonts w:hint="eastAsia" w:ascii="宋体" w:hAnsi="宋体" w:eastAsia="宋体" w:cs="宋体"/>
          <w:sz w:val="24"/>
          <w:szCs w:val="24"/>
        </w:rPr>
        <w:t>注：本采购合同中出现的措辞“发包人”与谈判文件中的“采购人”含义相同；</w:t>
      </w:r>
    </w:p>
    <w:p w14:paraId="25F25629">
      <w:pPr>
        <w:widowControl/>
        <w:spacing w:line="360" w:lineRule="auto"/>
        <w:ind w:left="450" w:leftChars="100" w:hanging="240" w:hangingChars="100"/>
        <w:jc w:val="left"/>
        <w:rPr>
          <w:rFonts w:hint="eastAsia" w:ascii="宋体" w:hAnsi="宋体" w:eastAsia="宋体" w:cs="宋体"/>
          <w:sz w:val="24"/>
          <w:szCs w:val="24"/>
        </w:rPr>
      </w:pPr>
      <w:r>
        <w:rPr>
          <w:rFonts w:hint="eastAsia" w:ascii="宋体" w:hAnsi="宋体" w:eastAsia="宋体" w:cs="宋体"/>
          <w:sz w:val="24"/>
          <w:szCs w:val="24"/>
        </w:rPr>
        <w:t>“投标人”与“供应商“含义相同；</w:t>
      </w:r>
    </w:p>
    <w:p w14:paraId="4FB9C771">
      <w:pPr>
        <w:widowControl/>
        <w:spacing w:line="360" w:lineRule="auto"/>
        <w:ind w:left="450" w:leftChars="100" w:hanging="240" w:hangingChars="100"/>
        <w:jc w:val="left"/>
        <w:rPr>
          <w:rFonts w:hint="eastAsia" w:ascii="宋体" w:hAnsi="宋体" w:eastAsia="宋体" w:cs="宋体"/>
          <w:sz w:val="24"/>
          <w:szCs w:val="24"/>
        </w:rPr>
      </w:pPr>
      <w:r>
        <w:rPr>
          <w:rFonts w:hint="eastAsia" w:ascii="宋体" w:hAnsi="宋体" w:eastAsia="宋体" w:cs="宋体"/>
          <w:sz w:val="24"/>
          <w:szCs w:val="24"/>
        </w:rPr>
        <w:t>“招标文件”与“采购文件”及“谈判文件”含义相同。</w:t>
      </w:r>
    </w:p>
    <w:p w14:paraId="48CD5A7C">
      <w:pPr>
        <w:widowControl/>
        <w:jc w:val="left"/>
        <w:rPr>
          <w:rFonts w:hint="eastAsia" w:ascii="宋体" w:hAnsi="宋体" w:eastAsia="宋体" w:cs="宋体"/>
          <w:sz w:val="24"/>
          <w:szCs w:val="24"/>
        </w:rPr>
        <w:sectPr>
          <w:pgSz w:w="11907" w:h="16840"/>
          <w:pgMar w:top="1440" w:right="1800" w:bottom="1440" w:left="1800" w:header="720" w:footer="720" w:gutter="0"/>
          <w:pgNumType w:fmt="decimal"/>
          <w:cols w:space="720" w:num="1"/>
        </w:sectPr>
      </w:pPr>
    </w:p>
    <w:p w14:paraId="32982569">
      <w:pPr>
        <w:keepNext/>
        <w:keepLines/>
        <w:spacing w:before="260" w:after="260"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第一节合同协议书</w:t>
      </w:r>
    </w:p>
    <w:p w14:paraId="2287F12F">
      <w:pPr>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rPr>
        <w:t>发包人（全称）：（甲方）</w:t>
      </w:r>
    </w:p>
    <w:p w14:paraId="2D31486F">
      <w:pPr>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rPr>
        <w:t>承包人（全称）：（乙方）</w:t>
      </w:r>
    </w:p>
    <w:p w14:paraId="2145FDEF">
      <w:pPr>
        <w:spacing w:line="360" w:lineRule="auto"/>
        <w:rPr>
          <w:rFonts w:hint="eastAsia" w:ascii="宋体" w:hAnsi="宋体" w:eastAsia="宋体" w:cs="宋体"/>
          <w:sz w:val="24"/>
          <w:szCs w:val="24"/>
        </w:rPr>
      </w:pPr>
    </w:p>
    <w:p w14:paraId="65838B08">
      <w:pPr>
        <w:keepNext/>
        <w:keepLines/>
        <w:spacing w:before="120" w:after="120" w:line="360" w:lineRule="auto"/>
        <w:outlineLvl w:val="3"/>
        <w:rPr>
          <w:rFonts w:hint="eastAsia" w:ascii="宋体" w:hAnsi="宋体" w:eastAsia="宋体" w:cs="宋体"/>
          <w:b/>
          <w:bCs/>
          <w:sz w:val="24"/>
          <w:szCs w:val="24"/>
        </w:rPr>
      </w:pPr>
      <w:bookmarkStart w:id="104" w:name="_Toc351203481"/>
      <w:r>
        <w:rPr>
          <w:rFonts w:hint="eastAsia" w:ascii="宋体" w:hAnsi="宋体" w:eastAsia="宋体" w:cs="宋体"/>
          <w:sz w:val="24"/>
          <w:szCs w:val="24"/>
        </w:rPr>
        <w:t>一、工程概况</w:t>
      </w:r>
      <w:bookmarkEnd w:id="104"/>
    </w:p>
    <w:p w14:paraId="6322BBBB">
      <w:pPr>
        <w:spacing w:line="360" w:lineRule="auto"/>
        <w:ind w:firstLine="470" w:firstLineChars="196"/>
        <w:rPr>
          <w:rFonts w:hint="eastAsia" w:ascii="宋体" w:hAnsi="宋体" w:eastAsia="宋体" w:cs="宋体"/>
          <w:sz w:val="24"/>
          <w:szCs w:val="24"/>
          <w:u w:val="single"/>
        </w:rPr>
      </w:pPr>
      <w:r>
        <w:rPr>
          <w:rFonts w:hint="eastAsia" w:ascii="宋体" w:hAnsi="宋体" w:eastAsia="宋体" w:cs="宋体"/>
          <w:sz w:val="24"/>
          <w:szCs w:val="24"/>
        </w:rPr>
        <w:t>1.工程名称：。</w:t>
      </w:r>
    </w:p>
    <w:p w14:paraId="22D963E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2.工程地点：。</w:t>
      </w:r>
    </w:p>
    <w:p w14:paraId="1D153CC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3.项目编号：。</w:t>
      </w:r>
    </w:p>
    <w:p w14:paraId="6646F586">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4.工程内容：。</w:t>
      </w:r>
    </w:p>
    <w:p w14:paraId="27E27897">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5.工程承包范围：。</w:t>
      </w:r>
    </w:p>
    <w:p w14:paraId="640C1CA6">
      <w:pPr>
        <w:keepNext/>
        <w:keepLines/>
        <w:spacing w:before="120" w:after="120" w:line="360" w:lineRule="auto"/>
        <w:outlineLvl w:val="3"/>
        <w:rPr>
          <w:rFonts w:hint="eastAsia" w:ascii="宋体" w:hAnsi="宋体" w:eastAsia="宋体" w:cs="宋体"/>
          <w:sz w:val="24"/>
          <w:szCs w:val="24"/>
        </w:rPr>
      </w:pPr>
      <w:bookmarkStart w:id="105" w:name="_Toc351203482"/>
      <w:r>
        <w:rPr>
          <w:rFonts w:hint="eastAsia" w:ascii="宋体" w:hAnsi="宋体" w:eastAsia="宋体" w:cs="宋体"/>
          <w:sz w:val="24"/>
          <w:szCs w:val="24"/>
        </w:rPr>
        <w:t>二、合同工期</w:t>
      </w:r>
      <w:bookmarkEnd w:id="105"/>
    </w:p>
    <w:p w14:paraId="0FDE668C">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计划开工日期：年月日。</w:t>
      </w:r>
    </w:p>
    <w:p w14:paraId="324B045D">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计划竣工日期：年月日。</w:t>
      </w:r>
    </w:p>
    <w:p w14:paraId="47DDFDEC">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工期总日历天数：天。工期总日历天数与根据前述计划开竣工日期计算的工期天数不一致的，以工期总日历天数为准。</w:t>
      </w:r>
    </w:p>
    <w:p w14:paraId="52C21DA8">
      <w:pPr>
        <w:keepNext/>
        <w:keepLines/>
        <w:spacing w:before="120" w:after="120" w:line="360" w:lineRule="auto"/>
        <w:outlineLvl w:val="3"/>
        <w:rPr>
          <w:rFonts w:hint="eastAsia" w:ascii="宋体" w:hAnsi="宋体" w:eastAsia="宋体" w:cs="宋体"/>
          <w:b/>
          <w:bCs/>
          <w:sz w:val="24"/>
          <w:szCs w:val="24"/>
        </w:rPr>
      </w:pPr>
      <w:bookmarkStart w:id="106" w:name="_Toc351203483"/>
      <w:r>
        <w:rPr>
          <w:rFonts w:hint="eastAsia" w:ascii="宋体" w:hAnsi="宋体" w:eastAsia="宋体" w:cs="宋体"/>
          <w:sz w:val="24"/>
          <w:szCs w:val="24"/>
        </w:rPr>
        <w:t>三、质量标准</w:t>
      </w:r>
      <w:bookmarkEnd w:id="106"/>
    </w:p>
    <w:p w14:paraId="5C9B5879">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工程质量符合标准。</w:t>
      </w:r>
    </w:p>
    <w:p w14:paraId="20AB4AA1">
      <w:pPr>
        <w:keepNext/>
        <w:keepLines/>
        <w:spacing w:before="120" w:after="120" w:line="360" w:lineRule="auto"/>
        <w:outlineLvl w:val="3"/>
        <w:rPr>
          <w:rFonts w:hint="eastAsia" w:ascii="宋体" w:hAnsi="宋体" w:eastAsia="宋体" w:cs="宋体"/>
          <w:b/>
          <w:bCs/>
          <w:sz w:val="24"/>
          <w:szCs w:val="24"/>
        </w:rPr>
      </w:pPr>
      <w:bookmarkStart w:id="107" w:name="_Toc351203484"/>
      <w:r>
        <w:rPr>
          <w:rFonts w:hint="eastAsia" w:ascii="宋体" w:hAnsi="宋体" w:eastAsia="宋体" w:cs="宋体"/>
          <w:sz w:val="24"/>
          <w:szCs w:val="24"/>
        </w:rPr>
        <w:t>四、签约合同价与合同价格形式</w:t>
      </w:r>
      <w:bookmarkEnd w:id="107"/>
      <w:r>
        <w:rPr>
          <w:rFonts w:hint="eastAsia" w:ascii="宋体" w:hAnsi="宋体" w:eastAsia="宋体" w:cs="宋体"/>
          <w:sz w:val="24"/>
          <w:szCs w:val="24"/>
        </w:rPr>
        <w:tab/>
      </w:r>
    </w:p>
    <w:p w14:paraId="72158A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1.签约合同价为：</w:t>
      </w:r>
    </w:p>
    <w:p w14:paraId="1B8E97C2">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人民币（大写）(¥元)；</w:t>
      </w:r>
    </w:p>
    <w:p w14:paraId="657756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w:t>
      </w:r>
    </w:p>
    <w:p w14:paraId="0F0C15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（1）安全文明施工费：</w:t>
      </w:r>
    </w:p>
    <w:p w14:paraId="2AF72DA5">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 (¥元)；</w:t>
      </w:r>
    </w:p>
    <w:p w14:paraId="45117C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（2）材料和工程设备暂估价金额：</w:t>
      </w:r>
    </w:p>
    <w:p w14:paraId="5A2EC5B4">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 (¥元)；</w:t>
      </w:r>
    </w:p>
    <w:p w14:paraId="20BF02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（3）专业工程暂估价金额：</w:t>
      </w:r>
    </w:p>
    <w:p w14:paraId="2849D9A1">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 (¥元)；</w:t>
      </w:r>
    </w:p>
    <w:p w14:paraId="13F726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（4）暂列金额：</w:t>
      </w:r>
    </w:p>
    <w:p w14:paraId="477840C8">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 (¥元)。</w:t>
      </w:r>
    </w:p>
    <w:p w14:paraId="1EA0BB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2.合同价格形式：。</w:t>
      </w:r>
    </w:p>
    <w:p w14:paraId="336D1A0D">
      <w:pPr>
        <w:keepNext/>
        <w:keepLines/>
        <w:spacing w:before="120" w:after="120" w:line="360" w:lineRule="auto"/>
        <w:outlineLvl w:val="3"/>
        <w:rPr>
          <w:rFonts w:hint="eastAsia" w:ascii="宋体" w:hAnsi="宋体" w:eastAsia="宋体" w:cs="宋体"/>
          <w:sz w:val="24"/>
          <w:szCs w:val="24"/>
        </w:rPr>
      </w:pPr>
      <w:bookmarkStart w:id="108" w:name="_Toc351203485"/>
      <w:r>
        <w:rPr>
          <w:rFonts w:hint="eastAsia" w:ascii="宋体" w:hAnsi="宋体" w:eastAsia="宋体" w:cs="宋体"/>
          <w:sz w:val="24"/>
          <w:szCs w:val="24"/>
        </w:rPr>
        <w:t>五、</w:t>
      </w:r>
      <w:bookmarkEnd w:id="108"/>
      <w:r>
        <w:rPr>
          <w:rFonts w:hint="eastAsia" w:ascii="宋体" w:hAnsi="宋体" w:eastAsia="宋体" w:cs="宋体"/>
          <w:sz w:val="24"/>
          <w:szCs w:val="24"/>
        </w:rPr>
        <w:t>项目经理</w:t>
      </w:r>
    </w:p>
    <w:p w14:paraId="2A294E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承包人项目经理：。</w:t>
      </w:r>
    </w:p>
    <w:p w14:paraId="1D4D9D95">
      <w:pPr>
        <w:keepNext/>
        <w:keepLines/>
        <w:spacing w:before="120" w:after="120" w:line="360" w:lineRule="auto"/>
        <w:outlineLvl w:val="3"/>
        <w:rPr>
          <w:rFonts w:hint="eastAsia" w:ascii="宋体" w:hAnsi="宋体" w:eastAsia="宋体" w:cs="宋体"/>
          <w:b/>
          <w:bCs/>
          <w:sz w:val="24"/>
          <w:szCs w:val="24"/>
        </w:rPr>
      </w:pPr>
      <w:bookmarkStart w:id="109" w:name="_Toc351203486"/>
      <w:r>
        <w:rPr>
          <w:rFonts w:hint="eastAsia" w:ascii="宋体" w:hAnsi="宋体" w:eastAsia="宋体" w:cs="宋体"/>
          <w:sz w:val="24"/>
          <w:szCs w:val="24"/>
        </w:rPr>
        <w:t>六、合同文件构成</w:t>
      </w:r>
      <w:bookmarkEnd w:id="109"/>
    </w:p>
    <w:p w14:paraId="185644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w:t>
      </w:r>
    </w:p>
    <w:p w14:paraId="1B6E363E">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（1）成交通知书；</w:t>
      </w:r>
    </w:p>
    <w:p w14:paraId="07F49622">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（2）专用合同条款及其附件；</w:t>
      </w:r>
    </w:p>
    <w:p w14:paraId="58CF9954">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（3）通用合同条款；</w:t>
      </w:r>
    </w:p>
    <w:p w14:paraId="76A57713">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谈判</w:t>
      </w:r>
      <w:r>
        <w:rPr>
          <w:rFonts w:hint="eastAsia" w:ascii="宋体" w:hAnsi="宋体" w:eastAsia="宋体" w:cs="宋体"/>
          <w:sz w:val="24"/>
          <w:szCs w:val="24"/>
        </w:rPr>
        <w:t>文件；</w:t>
      </w:r>
    </w:p>
    <w:p w14:paraId="4775FD33">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（5）响应文件：</w:t>
      </w:r>
    </w:p>
    <w:p w14:paraId="69516991">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（6）评审报告；</w:t>
      </w:r>
    </w:p>
    <w:p w14:paraId="4A6B3AD9">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（7）技术标准和要求；</w:t>
      </w:r>
    </w:p>
    <w:p w14:paraId="0A6486D0">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（8）图纸；</w:t>
      </w:r>
    </w:p>
    <w:p w14:paraId="215128DB">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（9）已标价工程量清单或预算书；</w:t>
      </w:r>
    </w:p>
    <w:p w14:paraId="60F495E4">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（10）其他合同文件。</w:t>
      </w:r>
    </w:p>
    <w:p w14:paraId="19ABB85C">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1B488CFD">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28FC659C">
      <w:pPr>
        <w:keepNext/>
        <w:keepLines/>
        <w:spacing w:before="120" w:after="120" w:line="360" w:lineRule="auto"/>
        <w:outlineLvl w:val="3"/>
        <w:rPr>
          <w:rFonts w:hint="eastAsia" w:ascii="宋体" w:hAnsi="宋体" w:eastAsia="宋体" w:cs="宋体"/>
          <w:sz w:val="24"/>
          <w:szCs w:val="24"/>
        </w:rPr>
      </w:pPr>
      <w:bookmarkStart w:id="110" w:name="_Toc351203487"/>
      <w:r>
        <w:rPr>
          <w:rFonts w:hint="eastAsia" w:ascii="宋体" w:hAnsi="宋体" w:eastAsia="宋体" w:cs="宋体"/>
          <w:sz w:val="24"/>
          <w:szCs w:val="24"/>
        </w:rPr>
        <w:t>七、承诺</w:t>
      </w:r>
      <w:bookmarkEnd w:id="110"/>
    </w:p>
    <w:p w14:paraId="5842F4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1.发包人承诺按照法律规定履行项目审批手续、筹集工程建设资金并按照合同约定的期限和方式支付合同价款。</w:t>
      </w:r>
    </w:p>
    <w:p w14:paraId="6A4AF7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2.承包人承诺按照法律规定及合同约定组织完成工程施工，确保工程质量和安全，不进行转包及违法分包，并在缺陷责任期及保修期内承担相应的工程维修责任。</w:t>
      </w:r>
    </w:p>
    <w:p w14:paraId="43D3B2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3.发包人和承包人通过招投标形式签订合同的，双方理解并承诺不再就同一工程另行签订与合同实质性内容相背离的协议。</w:t>
      </w:r>
    </w:p>
    <w:p w14:paraId="79EB6B28">
      <w:pPr>
        <w:spacing w:line="360" w:lineRule="auto"/>
        <w:rPr>
          <w:rFonts w:hint="eastAsia" w:ascii="宋体" w:hAnsi="宋体" w:eastAsia="宋体" w:cs="宋体"/>
          <w:sz w:val="24"/>
          <w:szCs w:val="24"/>
        </w:rPr>
      </w:pPr>
      <w:bookmarkStart w:id="111" w:name="_Toc351203488"/>
      <w:r>
        <w:rPr>
          <w:rFonts w:hint="eastAsia" w:ascii="宋体" w:hAnsi="宋体" w:eastAsia="宋体" w:cs="宋体"/>
          <w:b/>
          <w:bCs/>
          <w:sz w:val="24"/>
          <w:szCs w:val="24"/>
        </w:rPr>
        <w:t>八、词语含义</w:t>
      </w:r>
      <w:bookmarkEnd w:id="111"/>
    </w:p>
    <w:p w14:paraId="57BBBA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本协议书中词语含义与第二部分通用合同条款中赋予的含义相同。</w:t>
      </w:r>
    </w:p>
    <w:p w14:paraId="5543D12B">
      <w:pPr>
        <w:keepNext/>
        <w:keepLines/>
        <w:spacing w:before="120" w:after="120" w:line="360" w:lineRule="auto"/>
        <w:outlineLvl w:val="3"/>
        <w:rPr>
          <w:rFonts w:hint="eastAsia" w:ascii="宋体" w:hAnsi="宋体" w:eastAsia="宋体" w:cs="宋体"/>
          <w:b/>
          <w:bCs/>
          <w:sz w:val="24"/>
          <w:szCs w:val="24"/>
        </w:rPr>
      </w:pPr>
      <w:bookmarkStart w:id="112" w:name="_Toc351203489"/>
      <w:r>
        <w:rPr>
          <w:rFonts w:hint="eastAsia" w:ascii="宋体" w:hAnsi="宋体" w:eastAsia="宋体" w:cs="宋体"/>
          <w:sz w:val="24"/>
          <w:szCs w:val="24"/>
        </w:rPr>
        <w:t>九、签订时间</w:t>
      </w:r>
      <w:bookmarkEnd w:id="112"/>
    </w:p>
    <w:p w14:paraId="1085F1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本合同于XXXX年X月X日签订。</w:t>
      </w:r>
    </w:p>
    <w:p w14:paraId="6E8023AC">
      <w:pPr>
        <w:keepNext/>
        <w:keepLines/>
        <w:spacing w:before="120" w:after="120" w:line="360" w:lineRule="auto"/>
        <w:outlineLvl w:val="3"/>
        <w:rPr>
          <w:rFonts w:hint="eastAsia" w:ascii="宋体" w:hAnsi="宋体" w:eastAsia="宋体" w:cs="宋体"/>
          <w:b/>
          <w:bCs/>
          <w:sz w:val="24"/>
          <w:szCs w:val="24"/>
        </w:rPr>
      </w:pPr>
      <w:bookmarkStart w:id="113" w:name="_Toc351203490"/>
      <w:r>
        <w:rPr>
          <w:rFonts w:hint="eastAsia" w:ascii="宋体" w:hAnsi="宋体" w:eastAsia="宋体" w:cs="宋体"/>
          <w:sz w:val="24"/>
          <w:szCs w:val="24"/>
        </w:rPr>
        <w:t>十、签订地点</w:t>
      </w:r>
      <w:bookmarkEnd w:id="113"/>
    </w:p>
    <w:p w14:paraId="35A260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本合同在XXX签订。</w:t>
      </w:r>
    </w:p>
    <w:p w14:paraId="75C27E84">
      <w:pPr>
        <w:keepNext/>
        <w:keepLines/>
        <w:spacing w:before="120" w:after="120" w:line="360" w:lineRule="auto"/>
        <w:outlineLvl w:val="3"/>
        <w:rPr>
          <w:rFonts w:hint="eastAsia" w:ascii="宋体" w:hAnsi="宋体" w:eastAsia="宋体" w:cs="宋体"/>
          <w:b/>
          <w:bCs/>
          <w:sz w:val="24"/>
          <w:szCs w:val="24"/>
        </w:rPr>
      </w:pPr>
      <w:bookmarkStart w:id="114" w:name="_Toc351203491"/>
      <w:r>
        <w:rPr>
          <w:rFonts w:hint="eastAsia" w:ascii="宋体" w:hAnsi="宋体" w:eastAsia="宋体" w:cs="宋体"/>
          <w:sz w:val="24"/>
          <w:szCs w:val="24"/>
        </w:rPr>
        <w:t>十一、补充协议</w:t>
      </w:r>
      <w:bookmarkEnd w:id="114"/>
    </w:p>
    <w:p w14:paraId="0FDD48C4">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合同未尽事宜，合同当事人另行签订补充协议，补充协议是合同的组成部分。</w:t>
      </w:r>
    </w:p>
    <w:p w14:paraId="140888A4">
      <w:pPr>
        <w:keepNext/>
        <w:keepLines/>
        <w:spacing w:before="120" w:after="120" w:line="360" w:lineRule="auto"/>
        <w:outlineLvl w:val="3"/>
        <w:rPr>
          <w:rFonts w:hint="eastAsia" w:ascii="宋体" w:hAnsi="宋体" w:eastAsia="宋体" w:cs="宋体"/>
          <w:b/>
          <w:bCs/>
          <w:sz w:val="24"/>
          <w:szCs w:val="24"/>
        </w:rPr>
      </w:pPr>
      <w:bookmarkStart w:id="115" w:name="_Toc351203492"/>
      <w:r>
        <w:rPr>
          <w:rFonts w:hint="eastAsia" w:ascii="宋体" w:hAnsi="宋体" w:eastAsia="宋体" w:cs="宋体"/>
          <w:sz w:val="24"/>
          <w:szCs w:val="24"/>
        </w:rPr>
        <w:t>十二、合同生效</w:t>
      </w:r>
      <w:bookmarkEnd w:id="115"/>
    </w:p>
    <w:p w14:paraId="3A7FB3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本合同自生效。</w:t>
      </w:r>
    </w:p>
    <w:p w14:paraId="00989FB5">
      <w:pPr>
        <w:keepNext/>
        <w:keepLines/>
        <w:spacing w:before="120" w:after="120" w:line="360" w:lineRule="auto"/>
        <w:outlineLvl w:val="3"/>
        <w:rPr>
          <w:rFonts w:hint="eastAsia" w:ascii="宋体" w:hAnsi="宋体" w:eastAsia="宋体" w:cs="宋体"/>
          <w:b/>
          <w:bCs/>
          <w:sz w:val="24"/>
          <w:szCs w:val="24"/>
        </w:rPr>
      </w:pPr>
      <w:bookmarkStart w:id="116" w:name="_Toc351203493"/>
      <w:r>
        <w:rPr>
          <w:rFonts w:hint="eastAsia" w:ascii="宋体" w:hAnsi="宋体" w:eastAsia="宋体" w:cs="宋体"/>
          <w:sz w:val="24"/>
          <w:szCs w:val="24"/>
        </w:rPr>
        <w:t>十三、合同份数</w:t>
      </w:r>
      <w:bookmarkEnd w:id="116"/>
    </w:p>
    <w:p w14:paraId="0514A3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本合同一式份，均具有同等法律效力，发包人执份，承包人执份。</w:t>
      </w:r>
    </w:p>
    <w:p w14:paraId="41705BC5">
      <w:pPr>
        <w:spacing w:line="360" w:lineRule="auto"/>
        <w:rPr>
          <w:rFonts w:hint="eastAsia" w:ascii="宋体" w:hAnsi="宋体" w:eastAsia="宋体" w:cs="宋体"/>
          <w:sz w:val="24"/>
          <w:szCs w:val="24"/>
        </w:rPr>
      </w:pPr>
    </w:p>
    <w:p w14:paraId="3D1F231E">
      <w:pPr>
        <w:spacing w:line="360" w:lineRule="auto"/>
        <w:rPr>
          <w:rFonts w:hint="eastAsia" w:ascii="宋体" w:hAnsi="宋体" w:eastAsia="宋体" w:cs="宋体"/>
          <w:sz w:val="24"/>
          <w:szCs w:val="24"/>
        </w:rPr>
      </w:pPr>
    </w:p>
    <w:p w14:paraId="0B5913E6">
      <w:pPr>
        <w:spacing w:line="360" w:lineRule="auto"/>
        <w:rPr>
          <w:rFonts w:hint="eastAsia" w:ascii="宋体" w:hAnsi="宋体" w:eastAsia="宋体" w:cs="宋体"/>
          <w:sz w:val="24"/>
          <w:szCs w:val="24"/>
        </w:rPr>
      </w:pPr>
      <w:r>
        <w:rPr>
          <w:rFonts w:hint="eastAsia" w:ascii="宋体" w:hAnsi="宋体" w:eastAsia="宋体" w:cs="宋体"/>
          <w:sz w:val="24"/>
          <w:szCs w:val="24"/>
        </w:rPr>
        <w:t>发包人：  (公章)                    承包人：  (公章)</w:t>
      </w:r>
    </w:p>
    <w:p w14:paraId="7D80113C">
      <w:pPr>
        <w:spacing w:line="360" w:lineRule="auto"/>
        <w:rPr>
          <w:rFonts w:hint="eastAsia" w:ascii="宋体" w:hAnsi="宋体" w:eastAsia="宋体" w:cs="宋体"/>
          <w:sz w:val="24"/>
          <w:szCs w:val="24"/>
          <w:u w:val="single"/>
        </w:rPr>
      </w:pPr>
    </w:p>
    <w:p w14:paraId="05549E1B">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法定代表人或其委托代理人：法定代表人或其委托代理人：</w:t>
      </w:r>
    </w:p>
    <w:p w14:paraId="2E78738C">
      <w:pPr>
        <w:spacing w:line="360" w:lineRule="auto"/>
        <w:rPr>
          <w:rFonts w:hint="eastAsia" w:ascii="宋体" w:hAnsi="宋体" w:eastAsia="宋体" w:cs="宋体"/>
          <w:sz w:val="24"/>
          <w:szCs w:val="24"/>
        </w:rPr>
      </w:pPr>
      <w:r>
        <w:rPr>
          <w:rFonts w:hint="eastAsia" w:ascii="宋体" w:hAnsi="宋体" w:eastAsia="宋体" w:cs="宋体"/>
          <w:sz w:val="24"/>
          <w:szCs w:val="24"/>
        </w:rPr>
        <w:t>（签字）（签字）</w:t>
      </w:r>
    </w:p>
    <w:p w14:paraId="0D7F08D7">
      <w:pPr>
        <w:spacing w:line="360" w:lineRule="auto"/>
        <w:rPr>
          <w:rFonts w:hint="eastAsia" w:ascii="宋体" w:hAnsi="宋体" w:eastAsia="宋体" w:cs="宋体"/>
          <w:sz w:val="24"/>
          <w:szCs w:val="24"/>
          <w:u w:val="single"/>
        </w:rPr>
      </w:pPr>
    </w:p>
    <w:p w14:paraId="3C38AEE2">
      <w:pPr>
        <w:tabs>
          <w:tab w:val="left" w:pos="4410"/>
        </w:tabs>
        <w:spacing w:line="360" w:lineRule="auto"/>
        <w:rPr>
          <w:rFonts w:hint="eastAsia" w:ascii="宋体" w:hAnsi="宋体" w:eastAsia="宋体" w:cs="宋体"/>
          <w:sz w:val="24"/>
          <w:szCs w:val="24"/>
        </w:rPr>
      </w:pPr>
      <w:r>
        <w:rPr>
          <w:rFonts w:hint="eastAsia" w:ascii="宋体" w:hAnsi="宋体" w:eastAsia="宋体" w:cs="宋体"/>
          <w:sz w:val="24"/>
          <w:szCs w:val="24"/>
        </w:rPr>
        <w:t>组织机构代码：组织机构代码：</w:t>
      </w:r>
    </w:p>
    <w:p w14:paraId="7F70B457">
      <w:pPr>
        <w:spacing w:line="360" w:lineRule="auto"/>
        <w:rPr>
          <w:rFonts w:hint="eastAsia" w:ascii="宋体" w:hAnsi="宋体" w:eastAsia="宋体" w:cs="宋体"/>
          <w:sz w:val="24"/>
          <w:szCs w:val="24"/>
        </w:rPr>
      </w:pPr>
      <w:r>
        <w:rPr>
          <w:rFonts w:hint="eastAsia" w:ascii="宋体" w:hAnsi="宋体" w:eastAsia="宋体" w:cs="宋体"/>
          <w:sz w:val="24"/>
          <w:szCs w:val="24"/>
        </w:rPr>
        <w:t>地址：地址：</w:t>
      </w:r>
    </w:p>
    <w:p w14:paraId="0CB91588">
      <w:pPr>
        <w:spacing w:line="360" w:lineRule="auto"/>
        <w:rPr>
          <w:rFonts w:hint="eastAsia" w:ascii="宋体" w:hAnsi="宋体" w:eastAsia="宋体" w:cs="宋体"/>
          <w:sz w:val="24"/>
          <w:szCs w:val="24"/>
        </w:rPr>
      </w:pPr>
      <w:r>
        <w:rPr>
          <w:rFonts w:hint="eastAsia" w:ascii="宋体" w:hAnsi="宋体" w:eastAsia="宋体" w:cs="宋体"/>
          <w:sz w:val="24"/>
          <w:szCs w:val="24"/>
        </w:rPr>
        <w:t>邮政编码：邮政编码：</w:t>
      </w:r>
    </w:p>
    <w:p w14:paraId="72DE42B6">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法定代表人：法定代表人：</w:t>
      </w:r>
    </w:p>
    <w:p w14:paraId="1ECE856F">
      <w:pPr>
        <w:spacing w:line="360" w:lineRule="auto"/>
        <w:rPr>
          <w:rFonts w:hint="eastAsia" w:ascii="宋体" w:hAnsi="宋体" w:eastAsia="宋体" w:cs="宋体"/>
          <w:sz w:val="24"/>
          <w:szCs w:val="24"/>
        </w:rPr>
      </w:pPr>
      <w:r>
        <w:rPr>
          <w:rFonts w:hint="eastAsia" w:ascii="宋体" w:hAnsi="宋体" w:eastAsia="宋体" w:cs="宋体"/>
          <w:sz w:val="24"/>
          <w:szCs w:val="24"/>
        </w:rPr>
        <w:t>委托代理人：委托代理人：</w:t>
      </w:r>
    </w:p>
    <w:p w14:paraId="0CE07B9F">
      <w:pPr>
        <w:spacing w:line="360" w:lineRule="auto"/>
        <w:rPr>
          <w:rFonts w:hint="eastAsia" w:ascii="宋体" w:hAnsi="宋体" w:eastAsia="宋体" w:cs="宋体"/>
          <w:sz w:val="24"/>
          <w:szCs w:val="24"/>
        </w:rPr>
      </w:pPr>
      <w:r>
        <w:rPr>
          <w:rFonts w:hint="eastAsia" w:ascii="宋体" w:hAnsi="宋体" w:eastAsia="宋体" w:cs="宋体"/>
          <w:sz w:val="24"/>
          <w:szCs w:val="24"/>
        </w:rPr>
        <w:t>电话：电话：</w:t>
      </w:r>
    </w:p>
    <w:p w14:paraId="5E14DA0E">
      <w:pPr>
        <w:spacing w:line="360" w:lineRule="auto"/>
        <w:rPr>
          <w:rFonts w:hint="eastAsia" w:ascii="宋体" w:hAnsi="宋体" w:eastAsia="宋体" w:cs="宋体"/>
          <w:sz w:val="24"/>
          <w:szCs w:val="24"/>
        </w:rPr>
      </w:pPr>
      <w:r>
        <w:rPr>
          <w:rFonts w:hint="eastAsia" w:ascii="宋体" w:hAnsi="宋体" w:eastAsia="宋体" w:cs="宋体"/>
          <w:sz w:val="24"/>
          <w:szCs w:val="24"/>
        </w:rPr>
        <w:t>传真：传真：</w:t>
      </w:r>
    </w:p>
    <w:p w14:paraId="64D523C1">
      <w:pPr>
        <w:spacing w:line="360" w:lineRule="auto"/>
        <w:rPr>
          <w:rFonts w:hint="eastAsia" w:ascii="宋体" w:hAnsi="宋体" w:eastAsia="宋体" w:cs="宋体"/>
          <w:sz w:val="24"/>
          <w:szCs w:val="24"/>
        </w:rPr>
      </w:pPr>
      <w:r>
        <w:rPr>
          <w:rFonts w:hint="eastAsia" w:ascii="宋体" w:hAnsi="宋体" w:eastAsia="宋体" w:cs="宋体"/>
          <w:sz w:val="24"/>
          <w:szCs w:val="24"/>
        </w:rPr>
        <w:t>电子信箱：电子信箱：</w:t>
      </w:r>
    </w:p>
    <w:p w14:paraId="41959E02">
      <w:pPr>
        <w:spacing w:line="360" w:lineRule="auto"/>
        <w:rPr>
          <w:rFonts w:hint="eastAsia" w:ascii="宋体" w:hAnsi="宋体" w:eastAsia="宋体" w:cs="宋体"/>
          <w:sz w:val="24"/>
          <w:szCs w:val="24"/>
        </w:rPr>
      </w:pPr>
      <w:r>
        <w:rPr>
          <w:rFonts w:hint="eastAsia" w:ascii="宋体" w:hAnsi="宋体" w:eastAsia="宋体" w:cs="宋体"/>
          <w:sz w:val="24"/>
          <w:szCs w:val="24"/>
        </w:rPr>
        <w:t>开户银行：开户银行：</w:t>
      </w:r>
    </w:p>
    <w:p w14:paraId="04C6C716">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账号：账号：</w:t>
      </w:r>
      <w:bookmarkEnd w:id="51"/>
      <w:r>
        <w:rPr>
          <w:rFonts w:hint="eastAsia" w:ascii="宋体" w:hAnsi="宋体" w:eastAsia="宋体" w:cs="宋体"/>
          <w:b/>
          <w:bCs/>
          <w:sz w:val="24"/>
          <w:szCs w:val="24"/>
        </w:rPr>
        <w:br w:type="page"/>
      </w:r>
      <w:bookmarkStart w:id="117" w:name="_Toc351203494"/>
      <w:r>
        <w:rPr>
          <w:rFonts w:hint="eastAsia" w:ascii="宋体" w:hAnsi="宋体" w:eastAsia="宋体" w:cs="宋体"/>
          <w:sz w:val="24"/>
          <w:szCs w:val="24"/>
        </w:rPr>
        <w:t>第二节通用合同条款</w:t>
      </w:r>
      <w:bookmarkEnd w:id="117"/>
      <w:bookmarkStart w:id="118" w:name="_Toc337558727"/>
    </w:p>
    <w:bookmarkEnd w:id="118"/>
    <w:p w14:paraId="021CAD68">
      <w:pPr>
        <w:keepNext/>
        <w:keepLines/>
        <w:spacing w:before="260" w:after="260" w:line="360" w:lineRule="auto"/>
        <w:jc w:val="left"/>
        <w:outlineLvl w:val="2"/>
        <w:rPr>
          <w:rFonts w:hint="eastAsia" w:ascii="宋体" w:hAnsi="宋体" w:eastAsia="宋体" w:cs="宋体"/>
          <w:sz w:val="24"/>
          <w:szCs w:val="24"/>
        </w:rPr>
      </w:pPr>
      <w:bookmarkStart w:id="119" w:name="_Toc351203632"/>
    </w:p>
    <w:p w14:paraId="689DEBB0">
      <w:pPr>
        <w:keepNext/>
        <w:keepLines/>
        <w:spacing w:before="260" w:after="260" w:line="360" w:lineRule="auto"/>
        <w:jc w:val="left"/>
        <w:outlineLvl w:val="2"/>
        <w:rPr>
          <w:rFonts w:hint="eastAsia" w:ascii="宋体" w:hAnsi="宋体" w:eastAsia="宋体" w:cs="宋体"/>
          <w:sz w:val="24"/>
          <w:szCs w:val="24"/>
        </w:rPr>
      </w:pPr>
    </w:p>
    <w:p w14:paraId="0EB1C815">
      <w:pPr>
        <w:keepNext/>
        <w:keepLines/>
        <w:spacing w:before="260" w:after="260"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备注：</w:t>
      </w:r>
    </w:p>
    <w:p w14:paraId="1D7B87D0">
      <w:pPr>
        <w:keepNext/>
        <w:keepLines/>
        <w:spacing w:before="260" w:after="260" w:line="360" w:lineRule="auto"/>
        <w:ind w:firstLine="720" w:firstLineChars="300"/>
        <w:jc w:val="left"/>
        <w:outlineLvl w:val="2"/>
        <w:rPr>
          <w:rFonts w:hint="eastAsia" w:ascii="宋体" w:hAnsi="宋体" w:eastAsia="宋体" w:cs="宋体"/>
          <w:sz w:val="24"/>
          <w:szCs w:val="24"/>
        </w:rPr>
      </w:pPr>
      <w:r>
        <w:rPr>
          <w:rFonts w:hint="eastAsia" w:ascii="宋体" w:hAnsi="宋体" w:eastAsia="宋体" w:cs="宋体"/>
          <w:sz w:val="24"/>
          <w:szCs w:val="24"/>
        </w:rPr>
        <w:t>1、本项目通用合同条款参照《建设工程施工合同(示范文本)》(GF-2017-0201)通用合同条款执行。</w:t>
      </w:r>
    </w:p>
    <w:p w14:paraId="5811E487">
      <w:pPr>
        <w:keepNext/>
        <w:keepLines/>
        <w:spacing w:before="260" w:after="260" w:line="360" w:lineRule="auto"/>
        <w:ind w:firstLine="720" w:firstLineChars="300"/>
        <w:jc w:val="left"/>
        <w:outlineLvl w:val="2"/>
        <w:rPr>
          <w:rFonts w:hint="eastAsia" w:ascii="宋体" w:hAnsi="宋体" w:eastAsia="宋体" w:cs="宋体"/>
          <w:sz w:val="24"/>
          <w:szCs w:val="24"/>
        </w:rPr>
      </w:pPr>
      <w:r>
        <w:rPr>
          <w:rFonts w:hint="eastAsia" w:ascii="宋体" w:hAnsi="宋体" w:eastAsia="宋体" w:cs="宋体"/>
          <w:sz w:val="24"/>
          <w:szCs w:val="24"/>
        </w:rPr>
        <w:t>2、如有最新版本，参照最新版本执行。</w:t>
      </w:r>
    </w:p>
    <w:p w14:paraId="1293E431">
      <w:pPr>
        <w:keepNext/>
        <w:keepLines/>
        <w:spacing w:before="260" w:after="260" w:line="360" w:lineRule="auto"/>
        <w:jc w:val="center"/>
        <w:outlineLvl w:val="2"/>
        <w:rPr>
          <w:rFonts w:hint="eastAsia" w:ascii="宋体" w:hAnsi="宋体" w:eastAsia="宋体" w:cs="宋体"/>
          <w:b/>
          <w:bCs/>
          <w:sz w:val="24"/>
          <w:szCs w:val="24"/>
        </w:rPr>
      </w:pPr>
      <w:r>
        <w:rPr>
          <w:rFonts w:hint="eastAsia" w:ascii="宋体" w:hAnsi="宋体" w:eastAsia="宋体" w:cs="宋体"/>
          <w:b/>
          <w:bCs/>
          <w:sz w:val="24"/>
          <w:szCs w:val="24"/>
        </w:rPr>
        <w:br w:type="page"/>
      </w:r>
      <w:bookmarkStart w:id="120" w:name="PO_默认文件内容_28"/>
      <w:r>
        <w:rPr>
          <w:rFonts w:hint="eastAsia" w:ascii="宋体" w:hAnsi="宋体" w:eastAsia="宋体" w:cs="宋体"/>
          <w:sz w:val="24"/>
          <w:szCs w:val="24"/>
        </w:rPr>
        <w:t>第三节专用合同条款</w:t>
      </w:r>
      <w:bookmarkEnd w:id="119"/>
    </w:p>
    <w:p w14:paraId="44E58ECF">
      <w:pPr>
        <w:keepNext/>
        <w:keepLines/>
        <w:spacing w:before="120" w:after="120" w:line="360" w:lineRule="auto"/>
        <w:outlineLvl w:val="3"/>
        <w:rPr>
          <w:rFonts w:hint="eastAsia" w:ascii="宋体" w:hAnsi="宋体" w:eastAsia="宋体" w:cs="宋体"/>
          <w:sz w:val="24"/>
          <w:szCs w:val="24"/>
        </w:rPr>
      </w:pPr>
      <w:bookmarkStart w:id="121" w:name="_Toc351203633"/>
      <w:r>
        <w:rPr>
          <w:rFonts w:hint="eastAsia" w:ascii="宋体" w:hAnsi="宋体" w:eastAsia="宋体" w:cs="宋体"/>
          <w:sz w:val="24"/>
          <w:szCs w:val="24"/>
        </w:rPr>
        <w:t>1</w:t>
      </w:r>
      <w:bookmarkStart w:id="122" w:name="_Toc296346657"/>
      <w:bookmarkStart w:id="123" w:name="_Toc292559866"/>
      <w:bookmarkStart w:id="124" w:name="_Toc296890984"/>
      <w:bookmarkStart w:id="125" w:name="_Toc292559361"/>
      <w:bookmarkStart w:id="126" w:name="_Toc297120456"/>
      <w:bookmarkStart w:id="127" w:name="_Toc297048342"/>
      <w:bookmarkStart w:id="128" w:name="_Toc296944495"/>
      <w:bookmarkStart w:id="129" w:name="_Toc296503156"/>
      <w:bookmarkStart w:id="130" w:name="_Toc296347155"/>
      <w:bookmarkStart w:id="131" w:name="_Toc296891196"/>
      <w:r>
        <w:rPr>
          <w:rFonts w:hint="eastAsia" w:ascii="宋体" w:hAnsi="宋体" w:eastAsia="宋体" w:cs="宋体"/>
          <w:sz w:val="24"/>
          <w:szCs w:val="24"/>
        </w:rPr>
        <w:t>. 一般约定</w:t>
      </w:r>
      <w:bookmarkEnd w:id="121"/>
    </w:p>
    <w:bookmarkEnd w:id="122"/>
    <w:bookmarkEnd w:id="123"/>
    <w:bookmarkEnd w:id="124"/>
    <w:bookmarkEnd w:id="125"/>
    <w:bookmarkEnd w:id="126"/>
    <w:bookmarkEnd w:id="127"/>
    <w:bookmarkEnd w:id="128"/>
    <w:bookmarkEnd w:id="129"/>
    <w:bookmarkEnd w:id="130"/>
    <w:bookmarkEnd w:id="131"/>
    <w:p w14:paraId="0ECAF11B">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1.1 词语定义</w:t>
      </w:r>
    </w:p>
    <w:p w14:paraId="2CE55E73">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1.1.1合同</w:t>
      </w:r>
    </w:p>
    <w:p w14:paraId="4C07EE4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1.1.1.1其他合同文件包括：</w:t>
      </w:r>
      <w:r>
        <w:rPr>
          <w:rFonts w:hint="eastAsia" w:ascii="宋体" w:hAnsi="宋体" w:eastAsia="宋体" w:cs="宋体"/>
          <w:sz w:val="24"/>
          <w:szCs w:val="24"/>
        </w:rPr>
        <w:t>。</w:t>
      </w:r>
    </w:p>
    <w:p w14:paraId="6A3EDE00">
      <w:pPr>
        <w:spacing w:line="360" w:lineRule="auto"/>
        <w:ind w:left="31680" w:hanging="1320" w:hangingChars="550"/>
        <w:rPr>
          <w:rFonts w:hint="eastAsia" w:ascii="宋体" w:hAnsi="宋体" w:eastAsia="宋体" w:cs="宋体"/>
          <w:kern w:val="0"/>
          <w:sz w:val="24"/>
          <w:szCs w:val="24"/>
        </w:rPr>
      </w:pPr>
    </w:p>
    <w:p w14:paraId="6ECB96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合同当事人及其他相关方</w:t>
      </w:r>
    </w:p>
    <w:p w14:paraId="27478A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1.2.1监理人：</w:t>
      </w:r>
    </w:p>
    <w:p w14:paraId="37D455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w:t>
      </w:r>
    </w:p>
    <w:p w14:paraId="5EE9E8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p>
    <w:p w14:paraId="12C05D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06BBB4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p>
    <w:p w14:paraId="452640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p>
    <w:p w14:paraId="094088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设计人：</w:t>
      </w:r>
    </w:p>
    <w:p w14:paraId="787C83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w:t>
      </w:r>
    </w:p>
    <w:p w14:paraId="492E72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p>
    <w:p w14:paraId="04BFF1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0A7F7A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p>
    <w:p w14:paraId="09BCC5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p>
    <w:p w14:paraId="27381251">
      <w:pPr>
        <w:spacing w:line="360" w:lineRule="auto"/>
        <w:ind w:firstLine="480" w:firstLineChars="200"/>
        <w:rPr>
          <w:rFonts w:hint="eastAsia" w:ascii="宋体" w:hAnsi="宋体" w:eastAsia="宋体" w:cs="宋体"/>
          <w:sz w:val="24"/>
          <w:szCs w:val="24"/>
        </w:rPr>
      </w:pPr>
    </w:p>
    <w:p w14:paraId="49490A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工程和设备</w:t>
      </w:r>
    </w:p>
    <w:p w14:paraId="137844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作为施工现场组成部分的其他场所包括：。</w:t>
      </w:r>
    </w:p>
    <w:p w14:paraId="54883124">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1.3.2 永久占地包括：。</w:t>
      </w:r>
    </w:p>
    <w:p w14:paraId="4A82C76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1.3.3 临时占地包括：。</w:t>
      </w:r>
    </w:p>
    <w:p w14:paraId="465E8E30">
      <w:pPr>
        <w:spacing w:line="360" w:lineRule="auto"/>
        <w:ind w:firstLine="480" w:firstLineChars="200"/>
        <w:jc w:val="left"/>
        <w:rPr>
          <w:rFonts w:hint="eastAsia" w:ascii="宋体" w:hAnsi="宋体" w:eastAsia="宋体" w:cs="宋体"/>
          <w:kern w:val="0"/>
          <w:sz w:val="24"/>
          <w:szCs w:val="24"/>
        </w:rPr>
      </w:pPr>
    </w:p>
    <w:p w14:paraId="676955E9">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1.4法律</w:t>
      </w:r>
    </w:p>
    <w:p w14:paraId="031A81F8">
      <w:pPr>
        <w:autoSpaceDE w:val="0"/>
        <w:autoSpaceDN w:val="0"/>
        <w:adjustRightInd w:val="0"/>
        <w:spacing w:line="360" w:lineRule="auto"/>
        <w:ind w:left="596" w:leftChars="284"/>
        <w:jc w:val="left"/>
        <w:rPr>
          <w:rFonts w:hint="eastAsia" w:ascii="宋体" w:hAnsi="宋体" w:eastAsia="宋体" w:cs="宋体"/>
          <w:sz w:val="24"/>
          <w:szCs w:val="24"/>
        </w:rPr>
      </w:pPr>
      <w:r>
        <w:rPr>
          <w:rFonts w:hint="eastAsia" w:ascii="宋体" w:hAnsi="宋体" w:eastAsia="宋体" w:cs="宋体"/>
          <w:sz w:val="24"/>
          <w:szCs w:val="24"/>
        </w:rPr>
        <w:t>适用于合同的其他规范性文件：。</w:t>
      </w:r>
    </w:p>
    <w:p w14:paraId="0BCFADE0">
      <w:pPr>
        <w:autoSpaceDE w:val="0"/>
        <w:autoSpaceDN w:val="0"/>
        <w:adjustRightInd w:val="0"/>
        <w:spacing w:line="360" w:lineRule="auto"/>
        <w:ind w:left="596" w:leftChars="284"/>
        <w:jc w:val="left"/>
        <w:rPr>
          <w:rFonts w:hint="eastAsia" w:ascii="宋体" w:hAnsi="宋体" w:eastAsia="宋体" w:cs="宋体"/>
          <w:sz w:val="24"/>
          <w:szCs w:val="24"/>
        </w:rPr>
      </w:pPr>
    </w:p>
    <w:p w14:paraId="43C2797C">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标准和规范</w:t>
      </w:r>
    </w:p>
    <w:p w14:paraId="41B3D4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1.5.1适用于工程的标准规范包括：。</w:t>
      </w:r>
    </w:p>
    <w:p w14:paraId="58CFCC8B">
      <w:pPr>
        <w:spacing w:line="360" w:lineRule="auto"/>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1.5.2 发包人提供国外标准、规范的名称：；</w:t>
      </w:r>
    </w:p>
    <w:p w14:paraId="6331BBD9">
      <w:pPr>
        <w:spacing w:line="360" w:lineRule="auto"/>
        <w:ind w:firstLine="1200" w:firstLineChars="500"/>
        <w:rPr>
          <w:rFonts w:hint="eastAsia" w:ascii="宋体" w:hAnsi="宋体" w:eastAsia="宋体" w:cs="宋体"/>
          <w:kern w:val="0"/>
          <w:sz w:val="24"/>
          <w:szCs w:val="24"/>
        </w:rPr>
      </w:pPr>
      <w:r>
        <w:rPr>
          <w:rFonts w:hint="eastAsia" w:ascii="宋体" w:hAnsi="宋体" w:eastAsia="宋体" w:cs="宋体"/>
          <w:kern w:val="0"/>
          <w:sz w:val="24"/>
          <w:szCs w:val="24"/>
        </w:rPr>
        <w:t>发包人提供国外标准、规范的份数：；</w:t>
      </w:r>
    </w:p>
    <w:p w14:paraId="64B1E534">
      <w:pPr>
        <w:spacing w:line="360" w:lineRule="auto"/>
        <w:ind w:firstLine="1200" w:firstLineChars="500"/>
        <w:rPr>
          <w:rFonts w:hint="eastAsia" w:ascii="宋体" w:hAnsi="宋体" w:eastAsia="宋体" w:cs="宋体"/>
          <w:sz w:val="24"/>
          <w:szCs w:val="24"/>
        </w:rPr>
      </w:pPr>
      <w:r>
        <w:rPr>
          <w:rFonts w:hint="eastAsia" w:ascii="宋体" w:hAnsi="宋体" w:eastAsia="宋体" w:cs="宋体"/>
          <w:kern w:val="0"/>
          <w:sz w:val="24"/>
          <w:szCs w:val="24"/>
        </w:rPr>
        <w:t>发包人提供国外标准、规范的名称：。</w:t>
      </w:r>
    </w:p>
    <w:p w14:paraId="3179C0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1.5.3发包人对工程的技术标准和功能要求的特殊要求：。</w:t>
      </w:r>
    </w:p>
    <w:p w14:paraId="6811E64D">
      <w:pPr>
        <w:spacing w:after="120" w:line="360" w:lineRule="auto"/>
        <w:ind w:firstLine="480" w:firstLineChars="200"/>
        <w:outlineLvl w:val="0"/>
        <w:rPr>
          <w:rFonts w:hint="eastAsia" w:ascii="宋体" w:hAnsi="宋体" w:eastAsia="宋体" w:cs="宋体"/>
          <w:sz w:val="24"/>
          <w:szCs w:val="24"/>
        </w:rPr>
      </w:pPr>
    </w:p>
    <w:p w14:paraId="1117A80B">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1.6 合同文件的优先顺序</w:t>
      </w:r>
    </w:p>
    <w:p w14:paraId="44D7E1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22CA10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（1）合同协议书；</w:t>
      </w:r>
    </w:p>
    <w:p w14:paraId="20A92646">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（2）成交通知书；</w:t>
      </w:r>
    </w:p>
    <w:p w14:paraId="184F46B8">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（3）专用合同条款及其附件；</w:t>
      </w:r>
    </w:p>
    <w:p w14:paraId="4B73AC73">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（4）通用合同条款；</w:t>
      </w:r>
    </w:p>
    <w:p w14:paraId="0CC2A84A">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谈判</w:t>
      </w:r>
      <w:r>
        <w:rPr>
          <w:rFonts w:hint="eastAsia" w:ascii="宋体" w:hAnsi="宋体" w:eastAsia="宋体" w:cs="宋体"/>
          <w:sz w:val="24"/>
          <w:szCs w:val="24"/>
        </w:rPr>
        <w:t>文件；</w:t>
      </w:r>
    </w:p>
    <w:p w14:paraId="1E6E72E7">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（6）响应文件：</w:t>
      </w:r>
    </w:p>
    <w:p w14:paraId="51A087CE">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（7）评审报告；</w:t>
      </w:r>
    </w:p>
    <w:p w14:paraId="79B19866">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（8）技术标准和要求；</w:t>
      </w:r>
    </w:p>
    <w:p w14:paraId="1ADD504F">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（9）图纸；</w:t>
      </w:r>
    </w:p>
    <w:p w14:paraId="293B96EB">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（10）已标价工程量清单或预算书；</w:t>
      </w:r>
    </w:p>
    <w:p w14:paraId="49E60DED">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（11）其他合同文件。</w:t>
      </w:r>
    </w:p>
    <w:p w14:paraId="5C4ECE82">
      <w:pPr>
        <w:spacing w:after="120" w:line="360" w:lineRule="auto"/>
        <w:ind w:firstLine="480" w:firstLineChars="200"/>
        <w:outlineLvl w:val="0"/>
        <w:rPr>
          <w:rFonts w:hint="eastAsia" w:ascii="宋体" w:hAnsi="宋体" w:eastAsia="宋体" w:cs="宋体"/>
          <w:sz w:val="24"/>
          <w:szCs w:val="24"/>
        </w:rPr>
      </w:pPr>
    </w:p>
    <w:p w14:paraId="0A61B947">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1.7 图纸和承包人文件</w:t>
      </w:r>
      <w:r>
        <w:rPr>
          <w:rFonts w:hint="eastAsia" w:ascii="宋体" w:hAnsi="宋体" w:eastAsia="宋体" w:cs="宋体"/>
          <w:sz w:val="24"/>
          <w:szCs w:val="24"/>
        </w:rPr>
        <w:tab/>
      </w:r>
    </w:p>
    <w:p w14:paraId="0C6C3F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图纸的提供</w:t>
      </w:r>
    </w:p>
    <w:p w14:paraId="668B93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发包人向承包人提供图纸的期限：；</w:t>
      </w:r>
    </w:p>
    <w:p w14:paraId="29B70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发包人向承包人提供图纸的数量：；</w:t>
      </w:r>
    </w:p>
    <w:p w14:paraId="77C660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发包人向承包人提供图纸的内容：。</w:t>
      </w:r>
    </w:p>
    <w:p w14:paraId="2AC27F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承包人文件</w:t>
      </w:r>
    </w:p>
    <w:p w14:paraId="46EABCB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需要由承包人提供的文件，包括：；</w:t>
      </w:r>
    </w:p>
    <w:p w14:paraId="0BBEC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承包人提供的文件的期限为：；</w:t>
      </w:r>
    </w:p>
    <w:p w14:paraId="254B03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承包人提供的文件的数量为：；</w:t>
      </w:r>
    </w:p>
    <w:p w14:paraId="43F000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承包人提供的文件的形式为：；</w:t>
      </w:r>
    </w:p>
    <w:p w14:paraId="2F96DB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发包人审批承包人文件的期限：。</w:t>
      </w:r>
    </w:p>
    <w:p w14:paraId="536B0A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 现场图纸准备</w:t>
      </w:r>
    </w:p>
    <w:p w14:paraId="6E846C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关于现场图纸准备的约定：。</w:t>
      </w:r>
    </w:p>
    <w:p w14:paraId="3296C6C4">
      <w:pPr>
        <w:spacing w:line="360" w:lineRule="auto"/>
        <w:ind w:firstLine="480" w:firstLineChars="200"/>
        <w:rPr>
          <w:rFonts w:hint="eastAsia" w:ascii="宋体" w:hAnsi="宋体" w:eastAsia="宋体" w:cs="宋体"/>
          <w:sz w:val="24"/>
          <w:szCs w:val="24"/>
        </w:rPr>
      </w:pPr>
    </w:p>
    <w:p w14:paraId="3FB8F550">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1.8 联络</w:t>
      </w:r>
    </w:p>
    <w:p w14:paraId="44030A2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1.8.1发包人和承包人应当在天内将与合同有关的通知、批准、证明、证书、指示、指令、要求、请求、同意、意见、确定和决定等书面函件送达对方当事人。</w:t>
      </w:r>
    </w:p>
    <w:p w14:paraId="44725F9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1.8.2 发包人接收文件的地点：；</w:t>
      </w:r>
    </w:p>
    <w:p w14:paraId="3349479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发包人指定的接收人为：。</w:t>
      </w:r>
    </w:p>
    <w:p w14:paraId="4D63295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承包人接收文件的地点：；</w:t>
      </w:r>
    </w:p>
    <w:p w14:paraId="2BFEBDA7">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承包人指定的接收人为：。</w:t>
      </w:r>
    </w:p>
    <w:p w14:paraId="2424390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监理人接收文件的地点：；</w:t>
      </w:r>
    </w:p>
    <w:p w14:paraId="2AFC26C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监理人指定的接收人为：。</w:t>
      </w:r>
    </w:p>
    <w:p w14:paraId="1B9D367A">
      <w:pPr>
        <w:spacing w:line="360" w:lineRule="auto"/>
        <w:ind w:firstLine="480" w:firstLineChars="200"/>
        <w:rPr>
          <w:rFonts w:hint="eastAsia" w:ascii="宋体" w:hAnsi="宋体" w:eastAsia="宋体" w:cs="宋体"/>
          <w:kern w:val="0"/>
          <w:sz w:val="24"/>
          <w:szCs w:val="24"/>
        </w:rPr>
      </w:pPr>
    </w:p>
    <w:p w14:paraId="567D9914">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1.9 交通运输</w:t>
      </w:r>
    </w:p>
    <w:p w14:paraId="7BFC3918">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w:t>
      </w:r>
      <w:bookmarkStart w:id="132" w:name="_Toc318581155"/>
      <w:bookmarkStart w:id="133" w:name="_Toc303539100"/>
      <w:bookmarkStart w:id="134" w:name="_Toc312677986"/>
      <w:bookmarkStart w:id="135" w:name="_Toc300934943"/>
      <w:bookmarkStart w:id="136" w:name="_Toc304295521"/>
      <w:r>
        <w:rPr>
          <w:rFonts w:hint="eastAsia" w:ascii="宋体" w:hAnsi="宋体" w:eastAsia="宋体" w:cs="宋体"/>
          <w:sz w:val="24"/>
          <w:szCs w:val="24"/>
        </w:rPr>
        <w:t>.9.1 出入现场的权利</w:t>
      </w:r>
    </w:p>
    <w:p w14:paraId="24BC50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关于出入现场的权利的约定：。</w:t>
      </w:r>
    </w:p>
    <w:bookmarkEnd w:id="132"/>
    <w:bookmarkEnd w:id="133"/>
    <w:bookmarkEnd w:id="134"/>
    <w:bookmarkEnd w:id="135"/>
    <w:bookmarkEnd w:id="136"/>
    <w:p w14:paraId="51F4C682">
      <w:pPr>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w:t>
      </w:r>
      <w:bookmarkStart w:id="137" w:name="_Toc300934944"/>
      <w:bookmarkStart w:id="138" w:name="_Toc318581156"/>
      <w:bookmarkStart w:id="139" w:name="_Toc304295522"/>
      <w:bookmarkStart w:id="140" w:name="_Toc303539101"/>
      <w:bookmarkStart w:id="141" w:name="_Toc312677987"/>
      <w:r>
        <w:rPr>
          <w:rFonts w:hint="eastAsia" w:ascii="宋体" w:hAnsi="宋体" w:eastAsia="宋体" w:cs="宋体"/>
          <w:sz w:val="24"/>
          <w:szCs w:val="24"/>
        </w:rPr>
        <w:t>.9.2 场内交通</w:t>
      </w:r>
    </w:p>
    <w:p w14:paraId="43BA715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关于场外交通和场内交通的边界的约定：</w:t>
      </w:r>
      <w:r>
        <w:rPr>
          <w:rFonts w:hint="eastAsia" w:ascii="宋体" w:hAnsi="宋体" w:eastAsia="宋体" w:cs="宋体"/>
          <w:sz w:val="24"/>
          <w:szCs w:val="24"/>
        </w:rPr>
        <w:t>。</w:t>
      </w:r>
    </w:p>
    <w:p w14:paraId="305F5C8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bookmarkEnd w:id="137"/>
      <w:bookmarkEnd w:id="138"/>
      <w:bookmarkEnd w:id="139"/>
      <w:bookmarkEnd w:id="140"/>
      <w:bookmarkEnd w:id="141"/>
      <w:bookmarkStart w:id="142" w:name="_Toc318581157"/>
    </w:p>
    <w:p w14:paraId="7D4A66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1.9.3超大件和超重件的运输</w:t>
      </w:r>
    </w:p>
    <w:p w14:paraId="0B14CE3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运输超大件或超重件所需的道路和桥梁临时加固改造费用和其他有关费用由承担。</w:t>
      </w:r>
    </w:p>
    <w:p w14:paraId="56FF5D0D">
      <w:pPr>
        <w:spacing w:line="360" w:lineRule="auto"/>
        <w:ind w:firstLine="480" w:firstLineChars="200"/>
        <w:jc w:val="left"/>
        <w:rPr>
          <w:rFonts w:hint="eastAsia" w:ascii="宋体" w:hAnsi="宋体" w:eastAsia="宋体" w:cs="宋体"/>
          <w:sz w:val="24"/>
          <w:szCs w:val="24"/>
        </w:rPr>
      </w:pPr>
    </w:p>
    <w:bookmarkEnd w:id="142"/>
    <w:p w14:paraId="5A6EE63F">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1.10 知识产权</w:t>
      </w:r>
    </w:p>
    <w:p w14:paraId="6A7ED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1.10.1关于发包人提供给承包人的图纸、发包人为实施工程自行编制或委托编制的技术规范以及反映发包人关于合同要求或其他类似性质的文件的著作权的归属：。</w:t>
      </w:r>
    </w:p>
    <w:p w14:paraId="1686F760">
      <w:pPr>
        <w:spacing w:line="360" w:lineRule="auto"/>
        <w:ind w:left="596" w:leftChars="284"/>
        <w:rPr>
          <w:rFonts w:hint="eastAsia" w:ascii="宋体" w:hAnsi="宋体" w:eastAsia="宋体" w:cs="宋体"/>
          <w:sz w:val="24"/>
          <w:szCs w:val="24"/>
        </w:rPr>
      </w:pPr>
      <w:r>
        <w:rPr>
          <w:rFonts w:hint="eastAsia" w:ascii="宋体" w:hAnsi="宋体" w:eastAsia="宋体" w:cs="宋体"/>
          <w:sz w:val="24"/>
          <w:szCs w:val="24"/>
        </w:rPr>
        <w:t>关于发包人提供的上述文件的使用限制的要求：。</w:t>
      </w:r>
    </w:p>
    <w:p w14:paraId="072D4D6C">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1.10.2 关于承包人为实施工程所编制文件的著作权的归属：。</w:t>
      </w:r>
    </w:p>
    <w:p w14:paraId="165D90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关于承包人提供的上述文件的使用限制的要求：。</w:t>
      </w:r>
    </w:p>
    <w:p w14:paraId="4D9FCC8A">
      <w:pPr>
        <w:spacing w:line="360" w:lineRule="auto"/>
        <w:ind w:firstLine="480" w:firstLineChars="200"/>
        <w:outlineLvl w:val="0"/>
        <w:rPr>
          <w:rFonts w:hint="eastAsia" w:ascii="宋体" w:hAnsi="宋体" w:eastAsia="宋体" w:cs="宋体"/>
          <w:kern w:val="0"/>
          <w:sz w:val="24"/>
          <w:szCs w:val="24"/>
        </w:rPr>
      </w:pPr>
      <w:r>
        <w:rPr>
          <w:rFonts w:hint="eastAsia" w:ascii="宋体" w:hAnsi="宋体" w:eastAsia="宋体" w:cs="宋体"/>
          <w:sz w:val="24"/>
          <w:szCs w:val="24"/>
        </w:rPr>
        <w:t>1.10.3 承包人在施工过程中所采用的专利、专有技术、技术秘密的使用费的承担方式：</w:t>
      </w:r>
      <w:r>
        <w:rPr>
          <w:rFonts w:hint="eastAsia" w:ascii="宋体" w:hAnsi="宋体" w:eastAsia="宋体" w:cs="宋体"/>
          <w:kern w:val="0"/>
          <w:sz w:val="24"/>
          <w:szCs w:val="24"/>
        </w:rPr>
        <w:t>。</w:t>
      </w:r>
    </w:p>
    <w:p w14:paraId="18BC7ED5">
      <w:pPr>
        <w:spacing w:line="360" w:lineRule="auto"/>
        <w:ind w:firstLine="480" w:firstLineChars="200"/>
        <w:outlineLvl w:val="0"/>
        <w:rPr>
          <w:rFonts w:hint="eastAsia" w:ascii="宋体" w:hAnsi="宋体" w:eastAsia="宋体" w:cs="宋体"/>
          <w:kern w:val="0"/>
          <w:sz w:val="24"/>
          <w:szCs w:val="24"/>
        </w:rPr>
      </w:pPr>
    </w:p>
    <w:p w14:paraId="42D972D6">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1.11工程量清单错误的修正</w:t>
      </w:r>
    </w:p>
    <w:p w14:paraId="697CEE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出现工程量清单错误时，是否调整合同价格：</w:t>
      </w:r>
      <w:r>
        <w:rPr>
          <w:rFonts w:hint="eastAsia" w:ascii="宋体" w:hAnsi="宋体" w:eastAsia="宋体" w:cs="宋体"/>
          <w:kern w:val="0"/>
          <w:sz w:val="24"/>
          <w:szCs w:val="24"/>
        </w:rPr>
        <w:t>。</w:t>
      </w:r>
    </w:p>
    <w:p w14:paraId="158835D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允许调整合同价格的工程量偏差范围：</w:t>
      </w:r>
      <w:r>
        <w:rPr>
          <w:rFonts w:hint="eastAsia" w:ascii="宋体" w:hAnsi="宋体" w:eastAsia="宋体" w:cs="宋体"/>
          <w:kern w:val="0"/>
          <w:sz w:val="24"/>
          <w:szCs w:val="24"/>
        </w:rPr>
        <w:t>。</w:t>
      </w:r>
    </w:p>
    <w:p w14:paraId="27D75953">
      <w:pPr>
        <w:spacing w:line="360" w:lineRule="auto"/>
        <w:ind w:firstLine="480" w:firstLineChars="200"/>
        <w:rPr>
          <w:rFonts w:hint="eastAsia" w:ascii="宋体" w:hAnsi="宋体" w:eastAsia="宋体" w:cs="宋体"/>
          <w:kern w:val="0"/>
          <w:sz w:val="24"/>
          <w:szCs w:val="24"/>
        </w:rPr>
      </w:pPr>
    </w:p>
    <w:p w14:paraId="79B07D55">
      <w:pPr>
        <w:keepNext/>
        <w:keepLines/>
        <w:spacing w:before="120" w:after="120" w:line="360" w:lineRule="auto"/>
        <w:outlineLvl w:val="3"/>
        <w:rPr>
          <w:rFonts w:hint="eastAsia" w:ascii="宋体" w:hAnsi="宋体" w:eastAsia="宋体" w:cs="宋体"/>
          <w:sz w:val="24"/>
          <w:szCs w:val="24"/>
        </w:rPr>
      </w:pPr>
      <w:bookmarkStart w:id="143" w:name="_Toc351203634"/>
      <w:r>
        <w:rPr>
          <w:rFonts w:hint="eastAsia" w:ascii="宋体" w:hAnsi="宋体" w:eastAsia="宋体" w:cs="宋体"/>
          <w:sz w:val="24"/>
          <w:szCs w:val="24"/>
        </w:rPr>
        <w:t>2</w:t>
      </w:r>
      <w:bookmarkStart w:id="144" w:name="_Toc292559867"/>
      <w:bookmarkStart w:id="145" w:name="_Toc296346658"/>
      <w:bookmarkStart w:id="146" w:name="_Toc297120457"/>
      <w:bookmarkStart w:id="147" w:name="_Toc292559362"/>
      <w:bookmarkStart w:id="148" w:name="_Toc296347156"/>
      <w:bookmarkStart w:id="149" w:name="_Toc296503157"/>
      <w:bookmarkStart w:id="150" w:name="_Toc297048343"/>
      <w:bookmarkStart w:id="151" w:name="_Toc296944496"/>
      <w:bookmarkStart w:id="152" w:name="_Toc296891197"/>
      <w:bookmarkStart w:id="153" w:name="_Toc296890985"/>
      <w:r>
        <w:rPr>
          <w:rFonts w:hint="eastAsia" w:ascii="宋体" w:hAnsi="宋体" w:eastAsia="宋体" w:cs="宋体"/>
          <w:sz w:val="24"/>
          <w:szCs w:val="24"/>
        </w:rPr>
        <w:t>. 发包人</w:t>
      </w:r>
      <w:bookmarkEnd w:id="143"/>
    </w:p>
    <w:bookmarkEnd w:id="144"/>
    <w:bookmarkEnd w:id="145"/>
    <w:bookmarkEnd w:id="146"/>
    <w:bookmarkEnd w:id="147"/>
    <w:bookmarkEnd w:id="148"/>
    <w:bookmarkEnd w:id="149"/>
    <w:bookmarkEnd w:id="150"/>
    <w:bookmarkEnd w:id="151"/>
    <w:bookmarkEnd w:id="152"/>
    <w:bookmarkEnd w:id="153"/>
    <w:p w14:paraId="567382FA">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2.1 发包人代表</w:t>
      </w:r>
    </w:p>
    <w:p w14:paraId="66B594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发包人代表：</w:t>
      </w:r>
    </w:p>
    <w:p w14:paraId="5A7B26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p>
    <w:p w14:paraId="68DF2F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p>
    <w:p w14:paraId="792EDE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职务：；</w:t>
      </w:r>
    </w:p>
    <w:p w14:paraId="702E69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384FA3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p>
    <w:p w14:paraId="6AD228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p>
    <w:p w14:paraId="5C7F4C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发包人对发包人代表的授权范围如下：。</w:t>
      </w:r>
    </w:p>
    <w:p w14:paraId="3F113C3B">
      <w:pPr>
        <w:spacing w:line="360" w:lineRule="auto"/>
        <w:ind w:firstLine="480" w:firstLineChars="200"/>
        <w:rPr>
          <w:rFonts w:hint="eastAsia" w:ascii="宋体" w:hAnsi="宋体" w:eastAsia="宋体" w:cs="宋体"/>
          <w:sz w:val="24"/>
          <w:szCs w:val="24"/>
        </w:rPr>
      </w:pPr>
    </w:p>
    <w:p w14:paraId="639F5490">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2.2 施工现场、施工条件和基础资料的提供</w:t>
      </w:r>
    </w:p>
    <w:p w14:paraId="34033B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 提供施工现场</w:t>
      </w:r>
    </w:p>
    <w:p w14:paraId="0AC0BB4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关于发包人移交施工现场的期限要求：。</w:t>
      </w:r>
    </w:p>
    <w:p w14:paraId="291C8F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提供施工条件</w:t>
      </w:r>
    </w:p>
    <w:p w14:paraId="70CA74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关于发包人应负责提供施工所需要的条件，包括：</w:t>
      </w:r>
    </w:p>
    <w:p w14:paraId="04EB49E3">
      <w:pPr>
        <w:spacing w:after="120"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（1）将施工所需的水、电、通讯线路接至施工场地的时间、地点和供应要求：。</w:t>
      </w:r>
    </w:p>
    <w:p w14:paraId="3EE66636">
      <w:pPr>
        <w:spacing w:after="120"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（2）施工场地与公共道路通道开通的时间和要求：。</w:t>
      </w:r>
    </w:p>
    <w:p w14:paraId="071AF197">
      <w:pPr>
        <w:spacing w:after="120"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（3）工程地质和地下管线资料的提供时间：。</w:t>
      </w:r>
    </w:p>
    <w:p w14:paraId="7FD222BD">
      <w:pPr>
        <w:spacing w:after="120"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（4）由发包人办理的施工所需所证、批件的名称和完成时间：。</w:t>
      </w:r>
    </w:p>
    <w:p w14:paraId="1602A402">
      <w:pPr>
        <w:spacing w:after="120"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（5）水准点与座标控制制点交验要求：。</w:t>
      </w:r>
    </w:p>
    <w:p w14:paraId="5AEE4E3A">
      <w:pPr>
        <w:spacing w:after="120"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（6）图纸会审和设计交底时间：。</w:t>
      </w:r>
    </w:p>
    <w:p w14:paraId="2813367F">
      <w:pPr>
        <w:spacing w:after="120" w:line="360" w:lineRule="auto"/>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rPr>
        <w:t>（7）协调处理施工场地周围地下管线和邻近建筑物、构筑物（含文物保护建筑）、古树名木的保护工作：。</w:t>
      </w:r>
    </w:p>
    <w:p w14:paraId="1B5FA627">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（8）发包人应做的其他工作：。</w:t>
      </w:r>
    </w:p>
    <w:p w14:paraId="45E85747">
      <w:pPr>
        <w:spacing w:after="120" w:line="360" w:lineRule="auto"/>
        <w:ind w:firstLine="480" w:firstLineChars="200"/>
        <w:outlineLvl w:val="0"/>
        <w:rPr>
          <w:rFonts w:hint="eastAsia" w:ascii="宋体" w:hAnsi="宋体" w:eastAsia="宋体" w:cs="宋体"/>
          <w:sz w:val="24"/>
          <w:szCs w:val="24"/>
        </w:rPr>
      </w:pPr>
    </w:p>
    <w:p w14:paraId="4D847C19">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2.3 资金来源证明及支付担保</w:t>
      </w:r>
    </w:p>
    <w:p w14:paraId="4B9D8E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p>
    <w:p w14:paraId="7404ED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发包人是否提供支付担保：。</w:t>
      </w:r>
    </w:p>
    <w:p w14:paraId="0CC1F0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发包人提供支付担保的形式：。</w:t>
      </w:r>
    </w:p>
    <w:p w14:paraId="2602113F">
      <w:pPr>
        <w:spacing w:line="360" w:lineRule="auto"/>
        <w:ind w:firstLine="480" w:firstLineChars="200"/>
        <w:rPr>
          <w:rFonts w:hint="eastAsia" w:ascii="宋体" w:hAnsi="宋体" w:eastAsia="宋体" w:cs="宋体"/>
          <w:sz w:val="24"/>
          <w:szCs w:val="24"/>
        </w:rPr>
      </w:pPr>
    </w:p>
    <w:p w14:paraId="5FCC8A80">
      <w:pPr>
        <w:keepNext/>
        <w:keepLines/>
        <w:spacing w:before="120" w:after="120" w:line="360" w:lineRule="auto"/>
        <w:outlineLvl w:val="3"/>
        <w:rPr>
          <w:rFonts w:hint="eastAsia" w:ascii="宋体" w:hAnsi="宋体" w:eastAsia="宋体" w:cs="宋体"/>
          <w:sz w:val="24"/>
          <w:szCs w:val="24"/>
        </w:rPr>
      </w:pPr>
      <w:bookmarkStart w:id="154" w:name="_Toc351203635"/>
      <w:r>
        <w:rPr>
          <w:rFonts w:hint="eastAsia" w:ascii="宋体" w:hAnsi="宋体" w:eastAsia="宋体" w:cs="宋体"/>
          <w:sz w:val="24"/>
          <w:szCs w:val="24"/>
        </w:rPr>
        <w:t>3</w:t>
      </w:r>
      <w:bookmarkStart w:id="155" w:name="_Toc292559868"/>
      <w:bookmarkStart w:id="156" w:name="_Toc296503158"/>
      <w:bookmarkStart w:id="157" w:name="_Toc296891198"/>
      <w:bookmarkStart w:id="158" w:name="_Toc292559363"/>
      <w:bookmarkStart w:id="159" w:name="_Toc296346659"/>
      <w:bookmarkStart w:id="160" w:name="_Toc297120458"/>
      <w:bookmarkStart w:id="161" w:name="_Toc297048344"/>
      <w:bookmarkStart w:id="162" w:name="_Toc296944497"/>
      <w:bookmarkStart w:id="163" w:name="_Toc296347157"/>
      <w:bookmarkStart w:id="164" w:name="_Toc296890986"/>
      <w:r>
        <w:rPr>
          <w:rFonts w:hint="eastAsia" w:ascii="宋体" w:hAnsi="宋体" w:eastAsia="宋体" w:cs="宋体"/>
          <w:sz w:val="24"/>
          <w:szCs w:val="24"/>
        </w:rPr>
        <w:t>. 承包人</w:t>
      </w:r>
      <w:bookmarkEnd w:id="154"/>
    </w:p>
    <w:bookmarkEnd w:id="155"/>
    <w:bookmarkEnd w:id="156"/>
    <w:bookmarkEnd w:id="157"/>
    <w:bookmarkEnd w:id="158"/>
    <w:bookmarkEnd w:id="159"/>
    <w:bookmarkEnd w:id="160"/>
    <w:bookmarkEnd w:id="161"/>
    <w:bookmarkEnd w:id="162"/>
    <w:bookmarkEnd w:id="163"/>
    <w:bookmarkEnd w:id="164"/>
    <w:p w14:paraId="78786721">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承包人的一般义务</w:t>
      </w:r>
    </w:p>
    <w:p w14:paraId="22CB74B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承包人提交的竣工资料的内容：。</w:t>
      </w:r>
    </w:p>
    <w:p w14:paraId="6ABB23AC">
      <w:pPr>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承包人需要提交的竣工资料套数：。</w:t>
      </w:r>
    </w:p>
    <w:p w14:paraId="4A6E8552">
      <w:pPr>
        <w:spacing w:line="360" w:lineRule="auto"/>
        <w:ind w:left="638" w:leftChars="304"/>
        <w:jc w:val="left"/>
        <w:rPr>
          <w:rFonts w:hint="eastAsia" w:ascii="宋体" w:hAnsi="宋体" w:eastAsia="宋体" w:cs="宋体"/>
          <w:sz w:val="24"/>
          <w:szCs w:val="24"/>
        </w:rPr>
      </w:pPr>
      <w:r>
        <w:rPr>
          <w:rFonts w:hint="eastAsia" w:ascii="宋体" w:hAnsi="宋体" w:eastAsia="宋体" w:cs="宋体"/>
          <w:sz w:val="24"/>
          <w:szCs w:val="24"/>
        </w:rPr>
        <w:t>承包人提交的竣工资料的费用承担：。</w:t>
      </w:r>
    </w:p>
    <w:p w14:paraId="14D02CEB">
      <w:pPr>
        <w:spacing w:line="360" w:lineRule="auto"/>
        <w:ind w:left="638" w:leftChars="304"/>
        <w:jc w:val="left"/>
        <w:rPr>
          <w:rFonts w:hint="eastAsia" w:ascii="宋体" w:hAnsi="宋体" w:eastAsia="宋体" w:cs="宋体"/>
          <w:sz w:val="24"/>
          <w:szCs w:val="24"/>
        </w:rPr>
      </w:pPr>
      <w:r>
        <w:rPr>
          <w:rFonts w:hint="eastAsia" w:ascii="宋体" w:hAnsi="宋体" w:eastAsia="宋体" w:cs="宋体"/>
          <w:sz w:val="24"/>
          <w:szCs w:val="24"/>
        </w:rPr>
        <w:t>承包人提交的竣工资料移交时间：。</w:t>
      </w:r>
    </w:p>
    <w:p w14:paraId="79B1A6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承包人提交的竣工资料形式要求：。</w:t>
      </w:r>
    </w:p>
    <w:p w14:paraId="79FD37C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（2）承包人应履行的其他义务：</w:t>
      </w:r>
    </w:p>
    <w:p w14:paraId="69D2EB96">
      <w:pPr>
        <w:pStyle w:val="97"/>
        <w:numPr>
          <w:ilvl w:val="2"/>
          <w:numId w:val="11"/>
        </w:numPr>
        <w:spacing w:line="360" w:lineRule="auto"/>
        <w:ind w:firstLineChars="0"/>
        <w:rPr>
          <w:rFonts w:hint="eastAsia" w:ascii="宋体" w:hAnsi="宋体" w:eastAsia="宋体" w:cs="宋体"/>
          <w:sz w:val="24"/>
          <w:szCs w:val="24"/>
          <w:u w:val="single"/>
        </w:rPr>
      </w:pPr>
      <w:r>
        <w:rPr>
          <w:rFonts w:hint="eastAsia" w:ascii="宋体" w:hAnsi="宋体" w:eastAsia="宋体" w:cs="宋体"/>
          <w:sz w:val="24"/>
          <w:szCs w:val="24"/>
        </w:rPr>
        <w:t>完成深化设计文件提交时间：。</w:t>
      </w:r>
    </w:p>
    <w:p w14:paraId="3BA29A3E">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应提供计划、报表的名称及完成时间：。</w:t>
      </w:r>
    </w:p>
    <w:p w14:paraId="2A1ECE44">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承担施工安全保卫工作及非夜间施工照明的责任和要求：。</w:t>
      </w:r>
    </w:p>
    <w:p w14:paraId="6717536F">
      <w:pPr>
        <w:pStyle w:val="97"/>
        <w:numPr>
          <w:ilvl w:val="2"/>
          <w:numId w:val="11"/>
        </w:numPr>
        <w:spacing w:line="360" w:lineRule="auto"/>
        <w:ind w:firstLineChars="0"/>
        <w:rPr>
          <w:rFonts w:hint="eastAsia" w:ascii="宋体" w:hAnsi="宋体" w:eastAsia="宋体" w:cs="宋体"/>
          <w:sz w:val="24"/>
          <w:szCs w:val="24"/>
          <w:u w:val="single"/>
        </w:rPr>
      </w:pPr>
      <w:r>
        <w:rPr>
          <w:rFonts w:hint="eastAsia" w:ascii="宋体" w:hAnsi="宋体" w:eastAsia="宋体" w:cs="宋体"/>
          <w:sz w:val="24"/>
          <w:szCs w:val="24"/>
        </w:rPr>
        <w:t>向发包人提供的办公和生活房屋及设施的要求：无。</w:t>
      </w:r>
    </w:p>
    <w:p w14:paraId="7E621180">
      <w:pPr>
        <w:pStyle w:val="97"/>
        <w:numPr>
          <w:ilvl w:val="2"/>
          <w:numId w:val="11"/>
        </w:numPr>
        <w:spacing w:line="360" w:lineRule="auto"/>
        <w:ind w:firstLineChars="0"/>
        <w:rPr>
          <w:rFonts w:hint="eastAsia" w:ascii="宋体" w:hAnsi="宋体" w:eastAsia="宋体" w:cs="宋体"/>
          <w:sz w:val="24"/>
          <w:szCs w:val="24"/>
          <w:u w:val="single"/>
        </w:rPr>
      </w:pPr>
      <w:r>
        <w:rPr>
          <w:rFonts w:hint="eastAsia" w:ascii="宋体" w:hAnsi="宋体" w:eastAsia="宋体" w:cs="宋体"/>
          <w:sz w:val="24"/>
          <w:szCs w:val="24"/>
        </w:rPr>
        <w:t>需承包人办理的有关施工场地交通、环卫和施工噪音管理手续：。</w:t>
      </w:r>
    </w:p>
    <w:p w14:paraId="32D44E1E">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已完工程成品保护的特殊要求及费用承担：。</w:t>
      </w:r>
    </w:p>
    <w:p w14:paraId="45E19935">
      <w:pPr>
        <w:pStyle w:val="97"/>
        <w:numPr>
          <w:ilvl w:val="2"/>
          <w:numId w:val="11"/>
        </w:numPr>
        <w:spacing w:line="360" w:lineRule="auto"/>
        <w:ind w:firstLineChars="0"/>
        <w:rPr>
          <w:rFonts w:hint="eastAsia" w:ascii="宋体" w:hAnsi="宋体" w:eastAsia="宋体" w:cs="宋体"/>
          <w:sz w:val="24"/>
          <w:szCs w:val="24"/>
          <w:u w:val="single"/>
        </w:rPr>
      </w:pPr>
      <w:r>
        <w:rPr>
          <w:rFonts w:hint="eastAsia" w:ascii="宋体" w:hAnsi="宋体" w:eastAsia="宋体" w:cs="宋体"/>
          <w:sz w:val="24"/>
          <w:szCs w:val="24"/>
        </w:rPr>
        <w:t>施工场地周围地下管线和邻近建筑物、构筑物（含文物保护建筑）、古树名木的保护要求及费用承担：。</w:t>
      </w:r>
    </w:p>
    <w:p w14:paraId="1EE6ED2A">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施工场地清洁卫生的要求：。</w:t>
      </w:r>
    </w:p>
    <w:p w14:paraId="4EE1B5EE">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消防相关工程、资料完善并确保通过消防验收。</w:t>
      </w:r>
    </w:p>
    <w:p w14:paraId="0D0ADCF9">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按合同约定支付竣工结算效益审计费用。</w:t>
      </w:r>
    </w:p>
    <w:p w14:paraId="6D6BC871">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承包人应按有关法律规定纳税，应缴纳的税金包括在合同价格内。</w:t>
      </w:r>
    </w:p>
    <w:p w14:paraId="6FCE445A">
      <w:pPr>
        <w:pStyle w:val="97"/>
        <w:numPr>
          <w:ilvl w:val="2"/>
          <w:numId w:val="1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双方约定承包人应做的其他工作：。</w:t>
      </w:r>
    </w:p>
    <w:p w14:paraId="496BF13B">
      <w:pPr>
        <w:pStyle w:val="97"/>
        <w:spacing w:line="360" w:lineRule="auto"/>
        <w:ind w:left="840" w:firstLine="0" w:firstLineChars="0"/>
        <w:rPr>
          <w:rFonts w:hint="eastAsia" w:ascii="宋体" w:hAnsi="宋体" w:eastAsia="宋体" w:cs="宋体"/>
          <w:sz w:val="24"/>
          <w:szCs w:val="24"/>
        </w:rPr>
      </w:pPr>
    </w:p>
    <w:p w14:paraId="5BC5FB63">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项目经理</w:t>
      </w:r>
    </w:p>
    <w:p w14:paraId="1C15F058">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3.2.1 </w:t>
      </w:r>
      <w:r>
        <w:rPr>
          <w:rFonts w:hint="eastAsia" w:ascii="宋体" w:hAnsi="宋体" w:eastAsia="宋体" w:cs="宋体"/>
          <w:sz w:val="24"/>
          <w:szCs w:val="24"/>
        </w:rPr>
        <w:t>项目经理：</w:t>
      </w:r>
    </w:p>
    <w:p w14:paraId="49CBA9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p>
    <w:p w14:paraId="6DE9DF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p>
    <w:p w14:paraId="65CC43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建造师执业资格等级：；</w:t>
      </w:r>
    </w:p>
    <w:p w14:paraId="481B70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建造师注册证书号：；</w:t>
      </w:r>
    </w:p>
    <w:p w14:paraId="7F9FBB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建造师执业印章号：；</w:t>
      </w:r>
    </w:p>
    <w:p w14:paraId="6383DD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安全生产考核合格证书号：；</w:t>
      </w:r>
    </w:p>
    <w:p w14:paraId="5508F6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182C69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p>
    <w:p w14:paraId="35100D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p>
    <w:p w14:paraId="1E5DC7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承包人对项目经理的授权范围如下：。</w:t>
      </w:r>
    </w:p>
    <w:p w14:paraId="26195D6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关于项目经理每月在施工现场的时间要求：</w:t>
      </w:r>
      <w:r>
        <w:rPr>
          <w:rFonts w:hint="eastAsia" w:ascii="宋体" w:hAnsi="宋体" w:eastAsia="宋体" w:cs="宋体"/>
          <w:sz w:val="24"/>
          <w:szCs w:val="24"/>
        </w:rPr>
        <w:t>。</w:t>
      </w:r>
    </w:p>
    <w:p w14:paraId="55A3D11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承包人未提交劳动合同，以及没有为项目经理缴纳社会保险证明的违约责任：</w:t>
      </w:r>
      <w:r>
        <w:rPr>
          <w:rFonts w:hint="eastAsia" w:ascii="宋体" w:hAnsi="宋体" w:eastAsia="宋体" w:cs="宋体"/>
          <w:sz w:val="24"/>
          <w:szCs w:val="24"/>
        </w:rPr>
        <w:t>。</w:t>
      </w:r>
    </w:p>
    <w:p w14:paraId="31324CB1">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本项目实行项目经理、项目主要技术负责人压证施工制度。发包人须在承包人提供响应文件承诺的人员的执业资格证书原件后才能签订合同，至工程竣工验收合格后才能退还。承包人项目经理短期离开施工场地，应事先征得发包人同意，并委派代表代行其职责，项目经理未经批准，擅自离开施工现场的违约责任：</w:t>
      </w:r>
      <w:r>
        <w:rPr>
          <w:rFonts w:hint="eastAsia" w:ascii="宋体" w:hAnsi="宋体" w:eastAsia="宋体" w:cs="宋体"/>
          <w:sz w:val="24"/>
          <w:szCs w:val="24"/>
        </w:rPr>
        <w:t>。</w:t>
      </w:r>
    </w:p>
    <w:p w14:paraId="5A983C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 承包人擅自更换项目经理或技术负责人的违约责任：。</w:t>
      </w:r>
    </w:p>
    <w:p w14:paraId="4811ED27">
      <w:pPr>
        <w:spacing w:line="360" w:lineRule="auto"/>
        <w:ind w:firstLine="480"/>
        <w:outlineLvl w:val="0"/>
        <w:rPr>
          <w:rFonts w:hint="eastAsia" w:ascii="宋体" w:hAnsi="宋体" w:eastAsia="宋体" w:cs="宋体"/>
          <w:sz w:val="24"/>
          <w:szCs w:val="24"/>
        </w:rPr>
      </w:pPr>
      <w:r>
        <w:rPr>
          <w:rFonts w:hint="eastAsia" w:ascii="宋体" w:hAnsi="宋体" w:eastAsia="宋体" w:cs="宋体"/>
          <w:sz w:val="24"/>
          <w:szCs w:val="24"/>
        </w:rPr>
        <w:t>3.2.3 承包人无正当理由拒绝更换项目经理的违约责任：。</w:t>
      </w:r>
    </w:p>
    <w:p w14:paraId="26DC23E0">
      <w:pPr>
        <w:spacing w:line="360" w:lineRule="auto"/>
        <w:ind w:firstLine="480"/>
        <w:outlineLvl w:val="0"/>
        <w:rPr>
          <w:rFonts w:hint="eastAsia" w:ascii="宋体" w:hAnsi="宋体" w:eastAsia="宋体" w:cs="宋体"/>
          <w:sz w:val="24"/>
          <w:szCs w:val="24"/>
        </w:rPr>
      </w:pPr>
    </w:p>
    <w:p w14:paraId="339E1D11">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承包人人员</w:t>
      </w:r>
    </w:p>
    <w:p w14:paraId="612D82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承包人提交项目管理机构及施工现场管理人员安排报告的期限：。</w:t>
      </w:r>
    </w:p>
    <w:p w14:paraId="4C7363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 承包人无正当理由拒绝撤换主要施工管理人员的违约责任：。</w:t>
      </w:r>
    </w:p>
    <w:p w14:paraId="3A1E0AC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3.3.3承包人主要施工管理人员离开施工现场的批准要求：。</w:t>
      </w:r>
    </w:p>
    <w:p w14:paraId="64C0CE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3.3.4承包人擅自更换主要施工管理人员的违约责任：。</w:t>
      </w:r>
    </w:p>
    <w:p w14:paraId="50689C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3.3.5承包人主要施工管理人员擅自离开施工现场的违约责任：。</w:t>
      </w:r>
    </w:p>
    <w:p w14:paraId="1411512B">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165" w:name="_Toc303539102"/>
      <w:bookmarkStart w:id="166" w:name="_Toc297216151"/>
      <w:bookmarkStart w:id="167" w:name="_Toc297120459"/>
      <w:bookmarkStart w:id="168" w:name="_Toc296944498"/>
      <w:bookmarkStart w:id="169" w:name="_Toc296347158"/>
      <w:bookmarkStart w:id="170" w:name="_Toc296891199"/>
      <w:bookmarkStart w:id="171" w:name="_Toc297048345"/>
      <w:bookmarkStart w:id="172" w:name="_Toc296503159"/>
      <w:bookmarkStart w:id="173" w:name="_Toc292559869"/>
      <w:bookmarkStart w:id="174" w:name="_Toc312677988"/>
      <w:bookmarkStart w:id="175" w:name="_Toc296346660"/>
      <w:bookmarkStart w:id="176" w:name="_Toc300934945"/>
      <w:bookmarkStart w:id="177" w:name="_Toc296890987"/>
      <w:bookmarkStart w:id="178" w:name="_Toc297123492"/>
      <w:bookmarkStart w:id="179" w:name="_Toc292559364"/>
      <w:bookmarkStart w:id="180" w:name="_Toc304295523"/>
      <w:r>
        <w:rPr>
          <w:rFonts w:hint="eastAsia" w:ascii="宋体" w:hAnsi="宋体" w:eastAsia="宋体" w:cs="宋体"/>
          <w:sz w:val="24"/>
          <w:szCs w:val="24"/>
        </w:rPr>
        <w:t>.4 分包</w:t>
      </w:r>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0D9539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181" w:name="_Toc303539103"/>
      <w:bookmarkStart w:id="182" w:name="_Toc296890988"/>
      <w:bookmarkStart w:id="183" w:name="_Toc297123493"/>
      <w:bookmarkStart w:id="184" w:name="_Toc296891200"/>
      <w:bookmarkStart w:id="185" w:name="_Toc296944499"/>
      <w:bookmarkStart w:id="186" w:name="_Toc297120460"/>
      <w:bookmarkStart w:id="187" w:name="_Toc296503160"/>
      <w:bookmarkStart w:id="188" w:name="_Toc296347159"/>
      <w:bookmarkStart w:id="189" w:name="_Toc297048346"/>
      <w:bookmarkStart w:id="190" w:name="_Toc304295524"/>
      <w:bookmarkStart w:id="191" w:name="_Toc292559365"/>
      <w:bookmarkStart w:id="192" w:name="_Toc292559870"/>
      <w:bookmarkStart w:id="193" w:name="_Toc296346661"/>
      <w:bookmarkStart w:id="194" w:name="_Toc300934946"/>
      <w:bookmarkStart w:id="195" w:name="_Toc297216152"/>
      <w:bookmarkStart w:id="196" w:name="_Toc312677989"/>
      <w:bookmarkStart w:id="197" w:name="_Toc318581158"/>
      <w:r>
        <w:rPr>
          <w:rFonts w:hint="eastAsia" w:ascii="宋体" w:hAnsi="宋体" w:eastAsia="宋体" w:cs="宋体"/>
          <w:sz w:val="24"/>
          <w:szCs w:val="24"/>
        </w:rPr>
        <w:t>.4.1 分包的一般约定</w:t>
      </w:r>
    </w:p>
    <w:p w14:paraId="0880351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sz w:val="24"/>
          <w:szCs w:val="24"/>
          <w:u w:val="single"/>
        </w:rPr>
        <w:t>本工程无分包</w:t>
      </w:r>
      <w:r>
        <w:rPr>
          <w:rFonts w:hint="eastAsia" w:ascii="宋体" w:hAnsi="宋体" w:eastAsia="宋体" w:cs="宋体"/>
          <w:sz w:val="24"/>
          <w:szCs w:val="24"/>
        </w:rPr>
        <w:t>。</w:t>
      </w:r>
    </w:p>
    <w:p w14:paraId="75B4BF5B">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主体结构、关键性工作的范围：。</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Start w:id="198" w:name="_Toc296890989"/>
      <w:bookmarkStart w:id="199" w:name="_Toc296891201"/>
      <w:bookmarkStart w:id="200" w:name="_Toc296346662"/>
      <w:bookmarkStart w:id="201" w:name="_Toc296503161"/>
      <w:bookmarkStart w:id="202" w:name="_Toc304295525"/>
      <w:bookmarkStart w:id="203" w:name="_Toc297120461"/>
      <w:bookmarkStart w:id="204" w:name="_Toc303539104"/>
      <w:bookmarkStart w:id="205" w:name="_Toc297123494"/>
      <w:bookmarkStart w:id="206" w:name="_Toc300934947"/>
      <w:bookmarkStart w:id="207" w:name="_Toc297048347"/>
      <w:bookmarkStart w:id="208" w:name="_Toc296944500"/>
      <w:bookmarkStart w:id="209" w:name="_Toc297216153"/>
      <w:bookmarkStart w:id="210" w:name="_Toc296347160"/>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14:paraId="281F027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w:t>
      </w:r>
      <w:bookmarkStart w:id="211" w:name="_Toc312677990"/>
      <w:bookmarkStart w:id="212" w:name="_Toc318581159"/>
      <w:r>
        <w:rPr>
          <w:rFonts w:hint="eastAsia" w:ascii="宋体" w:hAnsi="宋体" w:eastAsia="宋体" w:cs="宋体"/>
          <w:sz w:val="24"/>
          <w:szCs w:val="24"/>
        </w:rPr>
        <w:t>.4.2分包的确定</w:t>
      </w:r>
    </w:p>
    <w:p w14:paraId="4BC9BEF3">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无</w:t>
      </w:r>
      <w:r>
        <w:rPr>
          <w:rFonts w:hint="eastAsia" w:ascii="宋体" w:hAnsi="宋体" w:eastAsia="宋体" w:cs="宋体"/>
          <w:sz w:val="24"/>
          <w:szCs w:val="24"/>
        </w:rPr>
        <w:t>。</w:t>
      </w:r>
    </w:p>
    <w:p w14:paraId="35CFC7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其他关于分包的约定：</w:t>
      </w:r>
    </w:p>
    <w:p w14:paraId="5EB76B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3.4.3分包合同价款</w:t>
      </w:r>
    </w:p>
    <w:p w14:paraId="446A74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关于分包合同价款支付的约定：。</w:t>
      </w:r>
    </w:p>
    <w:p w14:paraId="065106E9">
      <w:pPr>
        <w:spacing w:line="360" w:lineRule="auto"/>
        <w:ind w:firstLine="480" w:firstLineChars="200"/>
        <w:rPr>
          <w:rFonts w:hint="eastAsia" w:ascii="宋体" w:hAnsi="宋体" w:eastAsia="宋体" w:cs="宋体"/>
          <w:sz w:val="24"/>
          <w:szCs w:val="24"/>
        </w:rPr>
      </w:pPr>
    </w:p>
    <w:bookmarkEnd w:id="211"/>
    <w:bookmarkEnd w:id="212"/>
    <w:p w14:paraId="6E826E20">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 工程照管与成品、半成品保护</w:t>
      </w:r>
    </w:p>
    <w:p w14:paraId="1A90E3DF">
      <w:pPr>
        <w:spacing w:before="120" w:after="12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承包人负责照管工程及工程相关的材料、工程设备的起始时间：。</w:t>
      </w:r>
    </w:p>
    <w:p w14:paraId="326892F9">
      <w:pPr>
        <w:spacing w:before="120" w:after="120" w:line="360" w:lineRule="auto"/>
        <w:ind w:firstLine="480" w:firstLineChars="200"/>
        <w:rPr>
          <w:rFonts w:hint="eastAsia" w:ascii="宋体" w:hAnsi="宋体" w:eastAsia="宋体" w:cs="宋体"/>
          <w:kern w:val="0"/>
          <w:sz w:val="24"/>
          <w:szCs w:val="24"/>
        </w:rPr>
      </w:pPr>
    </w:p>
    <w:p w14:paraId="2BDE4F2F">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 履约担保</w:t>
      </w:r>
    </w:p>
    <w:p w14:paraId="5522091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承包人是否提供履约担保：。</w:t>
      </w:r>
    </w:p>
    <w:p w14:paraId="081698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承包人提供履约担保的形式、金额及期限：。</w:t>
      </w:r>
    </w:p>
    <w:p w14:paraId="751C1762">
      <w:pPr>
        <w:spacing w:line="360" w:lineRule="auto"/>
        <w:ind w:firstLine="480" w:firstLineChars="200"/>
        <w:rPr>
          <w:rFonts w:hint="eastAsia" w:ascii="宋体" w:hAnsi="宋体" w:eastAsia="宋体" w:cs="宋体"/>
          <w:sz w:val="24"/>
          <w:szCs w:val="24"/>
        </w:rPr>
      </w:pPr>
    </w:p>
    <w:p w14:paraId="217235EC">
      <w:pPr>
        <w:keepNext/>
        <w:keepLines/>
        <w:spacing w:before="120" w:after="120" w:line="360" w:lineRule="auto"/>
        <w:outlineLvl w:val="3"/>
        <w:rPr>
          <w:rFonts w:hint="eastAsia" w:ascii="宋体" w:hAnsi="宋体" w:eastAsia="宋体" w:cs="宋体"/>
          <w:sz w:val="24"/>
          <w:szCs w:val="24"/>
        </w:rPr>
      </w:pPr>
      <w:bookmarkStart w:id="213" w:name="_Toc351203636"/>
      <w:r>
        <w:rPr>
          <w:rFonts w:hint="eastAsia" w:ascii="宋体" w:hAnsi="宋体" w:eastAsia="宋体" w:cs="宋体"/>
          <w:sz w:val="24"/>
          <w:szCs w:val="24"/>
        </w:rPr>
        <w:t>4</w:t>
      </w:r>
      <w:bookmarkStart w:id="214" w:name="_Toc292559871"/>
      <w:bookmarkStart w:id="215" w:name="_Toc297120462"/>
      <w:bookmarkStart w:id="216" w:name="_Toc297048348"/>
      <w:bookmarkStart w:id="217" w:name="_Toc296346663"/>
      <w:bookmarkStart w:id="218" w:name="_Toc296890990"/>
      <w:bookmarkStart w:id="219" w:name="_Toc267251413"/>
      <w:bookmarkStart w:id="220" w:name="_Toc296891202"/>
      <w:bookmarkStart w:id="221" w:name="_Toc292559366"/>
      <w:bookmarkStart w:id="222" w:name="_Toc296347161"/>
      <w:bookmarkStart w:id="223" w:name="_Toc296944501"/>
      <w:bookmarkStart w:id="224" w:name="_Toc296503162"/>
      <w:r>
        <w:rPr>
          <w:rFonts w:hint="eastAsia" w:ascii="宋体" w:hAnsi="宋体" w:eastAsia="宋体" w:cs="宋体"/>
          <w:sz w:val="24"/>
          <w:szCs w:val="24"/>
        </w:rPr>
        <w:t>. 监</w:t>
      </w:r>
      <w:bookmarkEnd w:id="214"/>
      <w:bookmarkEnd w:id="215"/>
      <w:bookmarkEnd w:id="216"/>
      <w:bookmarkEnd w:id="217"/>
      <w:bookmarkEnd w:id="218"/>
      <w:bookmarkEnd w:id="219"/>
      <w:bookmarkEnd w:id="220"/>
      <w:bookmarkEnd w:id="221"/>
      <w:bookmarkEnd w:id="222"/>
      <w:bookmarkEnd w:id="223"/>
      <w:bookmarkEnd w:id="224"/>
      <w:r>
        <w:rPr>
          <w:rFonts w:hint="eastAsia" w:ascii="宋体" w:hAnsi="宋体" w:eastAsia="宋体" w:cs="宋体"/>
          <w:sz w:val="24"/>
          <w:szCs w:val="24"/>
        </w:rPr>
        <w:t>理人</w:t>
      </w:r>
      <w:bookmarkEnd w:id="213"/>
    </w:p>
    <w:p w14:paraId="1BBDD3F3">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4.1监理人的一般规定</w:t>
      </w:r>
    </w:p>
    <w:p w14:paraId="78600FB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关于监理人的监理内容：。</w:t>
      </w:r>
    </w:p>
    <w:p w14:paraId="4F48A3E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关于监理人的监理权限：。</w:t>
      </w:r>
    </w:p>
    <w:p w14:paraId="64C185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p>
    <w:p w14:paraId="5307B694">
      <w:pPr>
        <w:spacing w:line="360" w:lineRule="auto"/>
        <w:ind w:firstLine="480" w:firstLineChars="200"/>
        <w:rPr>
          <w:rFonts w:hint="eastAsia" w:ascii="宋体" w:hAnsi="宋体" w:eastAsia="宋体" w:cs="宋体"/>
          <w:sz w:val="24"/>
          <w:szCs w:val="24"/>
        </w:rPr>
      </w:pPr>
    </w:p>
    <w:p w14:paraId="1B759F83">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监理人员</w:t>
      </w:r>
    </w:p>
    <w:p w14:paraId="5CB01D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7C0491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p>
    <w:p w14:paraId="4AF81A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职务：；</w:t>
      </w:r>
    </w:p>
    <w:p w14:paraId="026BCB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p>
    <w:p w14:paraId="2CB75B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4FF72D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p>
    <w:p w14:paraId="4208A6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p>
    <w:p w14:paraId="007F6E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关于监理人的其他约定：。</w:t>
      </w:r>
    </w:p>
    <w:p w14:paraId="4CB464E1">
      <w:pPr>
        <w:spacing w:line="360" w:lineRule="auto"/>
        <w:ind w:firstLine="480" w:firstLineChars="200"/>
        <w:rPr>
          <w:rFonts w:hint="eastAsia" w:ascii="宋体" w:hAnsi="宋体" w:eastAsia="宋体" w:cs="宋体"/>
          <w:sz w:val="24"/>
          <w:szCs w:val="24"/>
        </w:rPr>
      </w:pPr>
    </w:p>
    <w:p w14:paraId="393F9CC5">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商定或确定</w:t>
      </w:r>
    </w:p>
    <w:p w14:paraId="70543EFF">
      <w:pPr>
        <w:spacing w:line="360" w:lineRule="auto"/>
        <w:ind w:firstLine="480" w:firstLineChars="200"/>
        <w:rPr>
          <w:rFonts w:hint="eastAsia" w:ascii="宋体" w:hAnsi="宋体" w:eastAsia="宋体" w:cs="宋体"/>
          <w:sz w:val="24"/>
          <w:szCs w:val="24"/>
        </w:rPr>
      </w:pPr>
      <w:bookmarkStart w:id="225" w:name="_Toc267251418"/>
      <w:r>
        <w:rPr>
          <w:rFonts w:hint="eastAsia" w:ascii="宋体" w:hAnsi="宋体" w:eastAsia="宋体" w:cs="宋体"/>
          <w:sz w:val="24"/>
          <w:szCs w:val="24"/>
        </w:rPr>
        <w:t>在发包人和承包人不能通过协商达成一致意见时，发包人授权监理人对以下事项进行确定：</w:t>
      </w:r>
    </w:p>
    <w:p w14:paraId="0D9658C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w:t>
      </w:r>
    </w:p>
    <w:p w14:paraId="683740B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w:t>
      </w:r>
    </w:p>
    <w:p w14:paraId="6B51EA1B">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w:t>
      </w:r>
    </w:p>
    <w:p w14:paraId="41256436">
      <w:pPr>
        <w:autoSpaceDE w:val="0"/>
        <w:autoSpaceDN w:val="0"/>
        <w:adjustRightInd w:val="0"/>
        <w:spacing w:line="360" w:lineRule="auto"/>
        <w:ind w:firstLine="480" w:firstLineChars="200"/>
        <w:jc w:val="left"/>
        <w:rPr>
          <w:rFonts w:hint="eastAsia" w:ascii="宋体" w:hAnsi="宋体" w:eastAsia="宋体" w:cs="宋体"/>
          <w:sz w:val="24"/>
          <w:szCs w:val="24"/>
        </w:rPr>
      </w:pPr>
    </w:p>
    <w:p w14:paraId="5B934F82">
      <w:pPr>
        <w:keepNext/>
        <w:keepLines/>
        <w:spacing w:before="120" w:after="120" w:line="360" w:lineRule="auto"/>
        <w:outlineLvl w:val="3"/>
        <w:rPr>
          <w:rFonts w:hint="eastAsia" w:ascii="宋体" w:hAnsi="宋体" w:eastAsia="宋体" w:cs="宋体"/>
          <w:sz w:val="24"/>
          <w:szCs w:val="24"/>
        </w:rPr>
      </w:pPr>
      <w:bookmarkStart w:id="226" w:name="_Toc351203637"/>
      <w:r>
        <w:rPr>
          <w:rFonts w:hint="eastAsia" w:ascii="宋体" w:hAnsi="宋体" w:eastAsia="宋体" w:cs="宋体"/>
          <w:sz w:val="24"/>
          <w:szCs w:val="24"/>
        </w:rPr>
        <w:t>5</w:t>
      </w:r>
      <w:bookmarkEnd w:id="225"/>
      <w:bookmarkStart w:id="227" w:name="_Toc296890991"/>
      <w:bookmarkStart w:id="228" w:name="_Toc297120463"/>
      <w:bookmarkStart w:id="229" w:name="_Toc296503163"/>
      <w:bookmarkStart w:id="230" w:name="_Toc297048349"/>
      <w:bookmarkStart w:id="231" w:name="_Toc292559367"/>
      <w:bookmarkStart w:id="232" w:name="_Toc296944502"/>
      <w:bookmarkStart w:id="233" w:name="_Toc296346664"/>
      <w:bookmarkStart w:id="234" w:name="_Toc292559872"/>
      <w:bookmarkStart w:id="235" w:name="_Toc296891203"/>
      <w:bookmarkStart w:id="236" w:name="_Toc296347162"/>
      <w:r>
        <w:rPr>
          <w:rFonts w:hint="eastAsia" w:ascii="宋体" w:hAnsi="宋体" w:eastAsia="宋体" w:cs="宋体"/>
          <w:sz w:val="24"/>
          <w:szCs w:val="24"/>
        </w:rPr>
        <w:t>. 工程质量</w:t>
      </w:r>
      <w:bookmarkEnd w:id="226"/>
    </w:p>
    <w:p w14:paraId="4DCBCC2F">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5.1 质量要求</w:t>
      </w:r>
    </w:p>
    <w:p w14:paraId="4ABABF1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bookmarkStart w:id="237" w:name="_Toc297123496"/>
      <w:bookmarkStart w:id="238" w:name="_Toc312677997"/>
      <w:bookmarkStart w:id="239" w:name="_Toc318581164"/>
      <w:bookmarkStart w:id="240" w:name="_Toc304295527"/>
      <w:bookmarkStart w:id="241" w:name="_Toc297216155"/>
      <w:bookmarkStart w:id="242" w:name="_Toc300934949"/>
      <w:bookmarkStart w:id="243" w:name="_Toc303539106"/>
      <w:r>
        <w:rPr>
          <w:rFonts w:hint="eastAsia" w:ascii="宋体" w:hAnsi="宋体" w:eastAsia="宋体" w:cs="宋体"/>
          <w:sz w:val="24"/>
          <w:szCs w:val="24"/>
        </w:rPr>
        <w:t>.1.1 特殊质量标准和要求：。</w:t>
      </w:r>
    </w:p>
    <w:p w14:paraId="035297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关于工程奖项的约定：。</w:t>
      </w:r>
    </w:p>
    <w:p w14:paraId="0D55CB5A">
      <w:pPr>
        <w:spacing w:line="360" w:lineRule="auto"/>
        <w:ind w:firstLine="480" w:firstLineChars="200"/>
        <w:jc w:val="left"/>
        <w:rPr>
          <w:rFonts w:hint="eastAsia" w:ascii="宋体" w:hAnsi="宋体" w:eastAsia="宋体" w:cs="宋体"/>
          <w:sz w:val="24"/>
          <w:szCs w:val="24"/>
        </w:rPr>
      </w:pPr>
    </w:p>
    <w:p w14:paraId="7BCB587E">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5.2 隐蔽工程检查</w:t>
      </w:r>
    </w:p>
    <w:p w14:paraId="04636F3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5.2.1承包人提前通知监理人隐蔽工程检查的期限的约定：。</w:t>
      </w:r>
    </w:p>
    <w:p w14:paraId="1290D58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监理人不能按时进行检查时，应提前X小时提交书面延期要求。</w:t>
      </w:r>
    </w:p>
    <w:p w14:paraId="188EB50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关于延期最长不得超过：X小时。</w:t>
      </w:r>
    </w:p>
    <w:p w14:paraId="0ABD73E5">
      <w:pPr>
        <w:spacing w:line="360" w:lineRule="auto"/>
        <w:ind w:firstLine="480" w:firstLineChars="200"/>
        <w:jc w:val="left"/>
        <w:rPr>
          <w:rFonts w:hint="eastAsia" w:ascii="宋体" w:hAnsi="宋体" w:eastAsia="宋体" w:cs="宋体"/>
          <w:sz w:val="24"/>
          <w:szCs w:val="24"/>
        </w:rPr>
      </w:pPr>
    </w:p>
    <w:p w14:paraId="6BD0A141">
      <w:pPr>
        <w:keepNext/>
        <w:keepLines/>
        <w:spacing w:before="120" w:after="120" w:line="360" w:lineRule="auto"/>
        <w:outlineLvl w:val="3"/>
        <w:rPr>
          <w:rFonts w:hint="eastAsia" w:ascii="宋体" w:hAnsi="宋体" w:eastAsia="宋体" w:cs="宋体"/>
          <w:sz w:val="24"/>
          <w:szCs w:val="24"/>
        </w:rPr>
      </w:pPr>
      <w:bookmarkStart w:id="244" w:name="_Toc351203638"/>
      <w:r>
        <w:rPr>
          <w:rFonts w:hint="eastAsia" w:ascii="宋体" w:hAnsi="宋体" w:eastAsia="宋体" w:cs="宋体"/>
          <w:sz w:val="24"/>
          <w:szCs w:val="24"/>
        </w:rPr>
        <w:t>6. 安全文明施工与环境保护</w:t>
      </w:r>
      <w:bookmarkEnd w:id="244"/>
    </w:p>
    <w:p w14:paraId="206EBAF5">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6.1安全文明施工</w:t>
      </w:r>
    </w:p>
    <w:p w14:paraId="58AC35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6.1.1 项目安全生产的达标目标及相应事项的约定：。</w:t>
      </w:r>
    </w:p>
    <w:p w14:paraId="4EB3A4C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6.1.2 关于治安保卫的特别约定：。</w:t>
      </w:r>
    </w:p>
    <w:p w14:paraId="6E0EEF8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p>
    <w:p w14:paraId="69A731C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6.1.3 文明施工</w:t>
      </w:r>
    </w:p>
    <w:p w14:paraId="4B5B408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合同当事人对文明施工的要求：。</w:t>
      </w:r>
    </w:p>
    <w:p w14:paraId="7C45A57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6.1.4 关于安全文明施工费支付比例和支付期限的约定：。</w:t>
      </w:r>
    </w:p>
    <w:p w14:paraId="7EF7C9C1">
      <w:pPr>
        <w:spacing w:line="360" w:lineRule="auto"/>
        <w:ind w:firstLine="480" w:firstLineChars="200"/>
        <w:jc w:val="left"/>
        <w:rPr>
          <w:rFonts w:hint="eastAsia" w:ascii="宋体" w:hAnsi="宋体" w:eastAsia="宋体" w:cs="宋体"/>
          <w:sz w:val="24"/>
          <w:szCs w:val="24"/>
        </w:rPr>
      </w:pPr>
    </w:p>
    <w:bookmarkEnd w:id="237"/>
    <w:bookmarkEnd w:id="238"/>
    <w:bookmarkEnd w:id="239"/>
    <w:bookmarkEnd w:id="240"/>
    <w:bookmarkEnd w:id="241"/>
    <w:bookmarkEnd w:id="242"/>
    <w:bookmarkEnd w:id="243"/>
    <w:p w14:paraId="40D45D2B">
      <w:pPr>
        <w:keepNext/>
        <w:keepLines/>
        <w:spacing w:before="120" w:after="120" w:line="360" w:lineRule="auto"/>
        <w:outlineLvl w:val="3"/>
        <w:rPr>
          <w:rFonts w:hint="eastAsia" w:ascii="宋体" w:hAnsi="宋体" w:eastAsia="宋体" w:cs="宋体"/>
          <w:sz w:val="24"/>
          <w:szCs w:val="24"/>
        </w:rPr>
      </w:pPr>
      <w:bookmarkStart w:id="245" w:name="_Toc351203639"/>
      <w:r>
        <w:rPr>
          <w:rFonts w:hint="eastAsia" w:ascii="宋体" w:hAnsi="宋体" w:eastAsia="宋体" w:cs="宋体"/>
          <w:sz w:val="24"/>
          <w:szCs w:val="24"/>
        </w:rPr>
        <w:t>7. 工期和进度</w:t>
      </w:r>
      <w:bookmarkEnd w:id="245"/>
    </w:p>
    <w:p w14:paraId="3C7D6306">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施工组织设计</w:t>
      </w:r>
    </w:p>
    <w:p w14:paraId="1EFD3AD4">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7.1.1 合</w:t>
      </w:r>
      <w:r>
        <w:rPr>
          <w:rFonts w:hint="eastAsia" w:ascii="宋体" w:hAnsi="宋体" w:eastAsia="宋体" w:cs="宋体"/>
          <w:kern w:val="0"/>
          <w:sz w:val="24"/>
          <w:szCs w:val="24"/>
        </w:rPr>
        <w:t>同当事人约定的施工组织设计应包括的其他内容：</w:t>
      </w:r>
      <w:r>
        <w:rPr>
          <w:rFonts w:hint="eastAsia" w:ascii="宋体" w:hAnsi="宋体" w:eastAsia="宋体" w:cs="宋体"/>
          <w:sz w:val="24"/>
          <w:szCs w:val="24"/>
        </w:rPr>
        <w:t>。</w:t>
      </w:r>
    </w:p>
    <w:p w14:paraId="4319B1A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 xml:space="preserve">7.1.2 </w:t>
      </w:r>
      <w:r>
        <w:rPr>
          <w:rFonts w:hint="eastAsia" w:ascii="宋体" w:hAnsi="宋体" w:eastAsia="宋体" w:cs="宋体"/>
          <w:kern w:val="0"/>
          <w:sz w:val="24"/>
          <w:szCs w:val="24"/>
        </w:rPr>
        <w:t>施工组织设计的提交和修改</w:t>
      </w:r>
    </w:p>
    <w:p w14:paraId="335E01DC">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承包人提交详细施工组织设计的期限的约定：</w:t>
      </w:r>
      <w:r>
        <w:rPr>
          <w:rFonts w:hint="eastAsia" w:ascii="宋体" w:hAnsi="宋体" w:eastAsia="宋体" w:cs="宋体"/>
          <w:sz w:val="24"/>
          <w:szCs w:val="24"/>
        </w:rPr>
        <w:t>。</w:t>
      </w:r>
    </w:p>
    <w:p w14:paraId="5708C55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发包人和监理人在收到详细的施工组织设计后确认或提出修改意见的期限：。</w:t>
      </w:r>
    </w:p>
    <w:p w14:paraId="4082D88F">
      <w:pPr>
        <w:spacing w:line="360" w:lineRule="auto"/>
        <w:ind w:firstLine="480" w:firstLineChars="200"/>
        <w:jc w:val="left"/>
        <w:rPr>
          <w:rFonts w:hint="eastAsia" w:ascii="宋体" w:hAnsi="宋体" w:eastAsia="宋体" w:cs="宋体"/>
          <w:sz w:val="24"/>
          <w:szCs w:val="24"/>
        </w:rPr>
      </w:pPr>
    </w:p>
    <w:p w14:paraId="7ACD12D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246" w:name="_Toc303539123"/>
      <w:bookmarkStart w:id="247" w:name="_Toc312678005"/>
      <w:bookmarkStart w:id="248" w:name="_Toc300934966"/>
      <w:bookmarkStart w:id="249" w:name="_Toc297216173"/>
      <w:bookmarkStart w:id="250" w:name="_Toc304295541"/>
      <w:bookmarkStart w:id="251" w:name="_Toc312677479"/>
      <w:bookmarkStart w:id="252" w:name="_Toc297123514"/>
      <w:r>
        <w:rPr>
          <w:rFonts w:hint="eastAsia" w:ascii="宋体" w:hAnsi="宋体" w:eastAsia="宋体" w:cs="宋体"/>
          <w:sz w:val="24"/>
          <w:szCs w:val="24"/>
        </w:rPr>
        <w:t>.2 施工进度计划</w:t>
      </w:r>
    </w:p>
    <w:p w14:paraId="77B54CF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7.2.1 施工进度计划的修订</w:t>
      </w:r>
    </w:p>
    <w:p w14:paraId="3FB3EEF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承包人提供施工组织设计（施工方案）和进度计划的时间：。</w:t>
      </w:r>
    </w:p>
    <w:p w14:paraId="142F3BB6">
      <w:pPr>
        <w:spacing w:line="360" w:lineRule="auto"/>
        <w:ind w:firstLine="480" w:firstLineChars="200"/>
        <w:jc w:val="left"/>
        <w:rPr>
          <w:rFonts w:hint="eastAsia" w:ascii="宋体" w:hAnsi="宋体" w:eastAsia="宋体" w:cs="宋体"/>
          <w:sz w:val="24"/>
          <w:szCs w:val="24"/>
        </w:rPr>
      </w:pPr>
    </w:p>
    <w:p w14:paraId="3FC3023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开工</w:t>
      </w:r>
    </w:p>
    <w:p w14:paraId="6647C4D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7.3.1 开工准备</w:t>
      </w:r>
    </w:p>
    <w:p w14:paraId="1E19EAE0">
      <w:pPr>
        <w:spacing w:line="360" w:lineRule="auto"/>
        <w:ind w:firstLine="645"/>
        <w:jc w:val="left"/>
        <w:rPr>
          <w:rFonts w:hint="eastAsia" w:ascii="宋体" w:hAnsi="宋体" w:eastAsia="宋体" w:cs="宋体"/>
          <w:sz w:val="24"/>
          <w:szCs w:val="24"/>
        </w:rPr>
      </w:pPr>
      <w:r>
        <w:rPr>
          <w:rFonts w:hint="eastAsia" w:ascii="宋体" w:hAnsi="宋体" w:eastAsia="宋体" w:cs="宋体"/>
          <w:sz w:val="24"/>
          <w:szCs w:val="24"/>
        </w:rPr>
        <w:t>关于承包人提交</w:t>
      </w:r>
      <w:r>
        <w:rPr>
          <w:rFonts w:hint="eastAsia" w:ascii="宋体" w:hAnsi="宋体" w:eastAsia="宋体" w:cs="宋体"/>
          <w:kern w:val="0"/>
          <w:sz w:val="24"/>
          <w:szCs w:val="24"/>
        </w:rPr>
        <w:t>工程开工报审表的期限：</w:t>
      </w:r>
      <w:r>
        <w:rPr>
          <w:rFonts w:hint="eastAsia" w:ascii="宋体" w:hAnsi="宋体" w:eastAsia="宋体" w:cs="宋体"/>
          <w:sz w:val="24"/>
          <w:szCs w:val="24"/>
        </w:rPr>
        <w:t>。</w:t>
      </w:r>
    </w:p>
    <w:p w14:paraId="792FB306">
      <w:pPr>
        <w:spacing w:line="360" w:lineRule="auto"/>
        <w:ind w:firstLine="645"/>
        <w:jc w:val="left"/>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w:t>
      </w:r>
    </w:p>
    <w:p w14:paraId="15511874">
      <w:pPr>
        <w:spacing w:line="360" w:lineRule="auto"/>
        <w:ind w:firstLine="645"/>
        <w:jc w:val="left"/>
        <w:rPr>
          <w:rFonts w:hint="eastAsia" w:ascii="宋体" w:hAnsi="宋体" w:eastAsia="宋体" w:cs="宋体"/>
          <w:sz w:val="24"/>
          <w:szCs w:val="24"/>
        </w:rPr>
      </w:pPr>
      <w:r>
        <w:rPr>
          <w:rFonts w:hint="eastAsia" w:ascii="宋体" w:hAnsi="宋体" w:eastAsia="宋体" w:cs="宋体"/>
          <w:sz w:val="24"/>
          <w:szCs w:val="24"/>
        </w:rPr>
        <w:t>关于承包人应完成的其他开工准备工作及期限：。</w:t>
      </w:r>
    </w:p>
    <w:p w14:paraId="75904F8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7.3.2开工通知</w:t>
      </w:r>
    </w:p>
    <w:p w14:paraId="2EBA39F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因发包人原因造成监理人未能在计划开工日期之日起天X内发出开工通知的，承包人有权提出价格调整要求，或者解除合同。</w:t>
      </w:r>
    </w:p>
    <w:p w14:paraId="0443D78A">
      <w:pPr>
        <w:spacing w:line="360" w:lineRule="auto"/>
        <w:ind w:firstLine="480" w:firstLineChars="200"/>
        <w:jc w:val="left"/>
        <w:rPr>
          <w:rFonts w:hint="eastAsia" w:ascii="宋体" w:hAnsi="宋体" w:eastAsia="宋体" w:cs="宋体"/>
          <w:sz w:val="24"/>
          <w:szCs w:val="24"/>
        </w:rPr>
      </w:pPr>
    </w:p>
    <w:bookmarkEnd w:id="246"/>
    <w:bookmarkEnd w:id="247"/>
    <w:bookmarkEnd w:id="248"/>
    <w:bookmarkEnd w:id="249"/>
    <w:bookmarkEnd w:id="250"/>
    <w:bookmarkEnd w:id="251"/>
    <w:bookmarkEnd w:id="252"/>
    <w:p w14:paraId="67F662A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测量放线</w:t>
      </w:r>
    </w:p>
    <w:p w14:paraId="7F2E57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7.4.1发包人通过监理人向承包人提供测量基准点、基准线和水准点及其书面资料的期限：。</w:t>
      </w:r>
    </w:p>
    <w:p w14:paraId="77AA348D">
      <w:pPr>
        <w:spacing w:line="360" w:lineRule="auto"/>
        <w:ind w:firstLine="480" w:firstLineChars="200"/>
        <w:jc w:val="left"/>
        <w:rPr>
          <w:rFonts w:hint="eastAsia" w:ascii="宋体" w:hAnsi="宋体" w:eastAsia="宋体" w:cs="宋体"/>
          <w:sz w:val="24"/>
          <w:szCs w:val="24"/>
        </w:rPr>
      </w:pPr>
    </w:p>
    <w:p w14:paraId="6B45D965">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253" w:name="_Toc303539125"/>
      <w:bookmarkStart w:id="254" w:name="_Toc300934968"/>
      <w:bookmarkStart w:id="255" w:name="_Toc297123516"/>
      <w:bookmarkStart w:id="256" w:name="_Toc304295546"/>
      <w:bookmarkStart w:id="257" w:name="_Toc312677484"/>
      <w:bookmarkStart w:id="258" w:name="_Toc297216175"/>
      <w:bookmarkStart w:id="259" w:name="_Toc312678010"/>
      <w:r>
        <w:rPr>
          <w:rFonts w:hint="eastAsia" w:ascii="宋体" w:hAnsi="宋体" w:eastAsia="宋体" w:cs="宋体"/>
          <w:sz w:val="24"/>
          <w:szCs w:val="24"/>
        </w:rPr>
        <w:t>.5 工期延误</w:t>
      </w:r>
    </w:p>
    <w:bookmarkEnd w:id="253"/>
    <w:bookmarkEnd w:id="254"/>
    <w:bookmarkEnd w:id="255"/>
    <w:bookmarkEnd w:id="256"/>
    <w:bookmarkEnd w:id="257"/>
    <w:bookmarkEnd w:id="258"/>
    <w:bookmarkEnd w:id="259"/>
    <w:p w14:paraId="52E4941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1A2D927">
      <w:pPr>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因发包人原因导致工期延误的其他情形：。</w:t>
      </w:r>
    </w:p>
    <w:p w14:paraId="2943263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bookmarkStart w:id="260" w:name="_Toc312677486"/>
      <w:bookmarkStart w:id="261" w:name="_Toc318581169"/>
      <w:bookmarkStart w:id="262" w:name="_Toc312678012"/>
      <w:bookmarkStart w:id="263" w:name="_Toc297123518"/>
      <w:bookmarkStart w:id="264" w:name="_Toc297216177"/>
      <w:bookmarkStart w:id="265" w:name="_Toc303539127"/>
      <w:bookmarkStart w:id="266" w:name="_Toc304295548"/>
      <w:bookmarkStart w:id="267" w:name="_Toc300934970"/>
      <w:r>
        <w:rPr>
          <w:rFonts w:hint="eastAsia" w:ascii="宋体" w:hAnsi="宋体" w:eastAsia="宋体" w:cs="宋体"/>
          <w:sz w:val="24"/>
          <w:szCs w:val="24"/>
        </w:rPr>
        <w:t>.5.2 因承包人原因导致工期延误</w:t>
      </w:r>
    </w:p>
    <w:bookmarkEnd w:id="260"/>
    <w:bookmarkEnd w:id="261"/>
    <w:bookmarkEnd w:id="262"/>
    <w:p w14:paraId="7DCC124C">
      <w:pPr>
        <w:spacing w:line="360" w:lineRule="auto"/>
        <w:ind w:firstLine="720" w:firstLineChars="300"/>
        <w:jc w:val="left"/>
        <w:rPr>
          <w:rFonts w:hint="eastAsia" w:ascii="宋体" w:hAnsi="宋体" w:eastAsia="宋体" w:cs="宋体"/>
          <w:sz w:val="24"/>
          <w:szCs w:val="24"/>
          <w:u w:val="single"/>
        </w:rPr>
      </w:pPr>
      <w:r>
        <w:rPr>
          <w:rFonts w:hint="eastAsia" w:ascii="宋体" w:hAnsi="宋体" w:eastAsia="宋体" w:cs="宋体"/>
          <w:sz w:val="24"/>
          <w:szCs w:val="24"/>
        </w:rPr>
        <w:t>因</w:t>
      </w:r>
      <w:bookmarkStart w:id="268" w:name="_Toc318581170"/>
      <w:bookmarkStart w:id="269" w:name="_Toc312677487"/>
      <w:bookmarkStart w:id="270" w:name="_Toc312678013"/>
      <w:r>
        <w:rPr>
          <w:rFonts w:hint="eastAsia" w:ascii="宋体" w:hAnsi="宋体" w:eastAsia="宋体" w:cs="宋体"/>
          <w:sz w:val="24"/>
          <w:szCs w:val="24"/>
        </w:rPr>
        <w:t>承包人原因造成工期延误，逾期竣工违约金的计算方法为：。</w:t>
      </w:r>
    </w:p>
    <w:bookmarkEnd w:id="263"/>
    <w:bookmarkEnd w:id="264"/>
    <w:bookmarkEnd w:id="265"/>
    <w:bookmarkEnd w:id="266"/>
    <w:bookmarkEnd w:id="267"/>
    <w:bookmarkEnd w:id="268"/>
    <w:bookmarkEnd w:id="269"/>
    <w:bookmarkEnd w:id="270"/>
    <w:p w14:paraId="4B7EB444">
      <w:pPr>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271" w:name="_Toc318581171"/>
      <w:bookmarkStart w:id="272" w:name="_Toc312678014"/>
      <w:r>
        <w:rPr>
          <w:rFonts w:hint="eastAsia" w:ascii="宋体" w:hAnsi="宋体" w:eastAsia="宋体" w:cs="宋体"/>
          <w:sz w:val="24"/>
          <w:szCs w:val="24"/>
        </w:rPr>
        <w:t>期竣工违约金的上限：</w:t>
      </w:r>
      <w:r>
        <w:rPr>
          <w:rFonts w:hint="eastAsia" w:ascii="宋体" w:hAnsi="宋体" w:eastAsia="宋体" w:cs="宋体"/>
          <w:sz w:val="24"/>
          <w:szCs w:val="24"/>
          <w:u w:val="single"/>
        </w:rPr>
        <w:t>签约合同价款的10%</w:t>
      </w:r>
      <w:r>
        <w:rPr>
          <w:rFonts w:hint="eastAsia" w:ascii="宋体" w:hAnsi="宋体" w:eastAsia="宋体" w:cs="宋体"/>
          <w:sz w:val="24"/>
          <w:szCs w:val="24"/>
        </w:rPr>
        <w:t>。</w:t>
      </w:r>
    </w:p>
    <w:p w14:paraId="0039231A">
      <w:pPr>
        <w:spacing w:line="360" w:lineRule="auto"/>
        <w:ind w:firstLine="480" w:firstLineChars="200"/>
        <w:jc w:val="left"/>
        <w:rPr>
          <w:rFonts w:hint="eastAsia" w:ascii="宋体" w:hAnsi="宋体" w:eastAsia="宋体" w:cs="宋体"/>
          <w:sz w:val="24"/>
          <w:szCs w:val="24"/>
        </w:rPr>
      </w:pPr>
    </w:p>
    <w:bookmarkEnd w:id="271"/>
    <w:bookmarkEnd w:id="272"/>
    <w:p w14:paraId="5040525C">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273" w:name="_Toc304295549"/>
      <w:bookmarkStart w:id="274" w:name="_Toc312678015"/>
      <w:bookmarkStart w:id="275" w:name="_Toc297123519"/>
      <w:bookmarkStart w:id="276" w:name="_Toc297216178"/>
      <w:bookmarkStart w:id="277" w:name="_Toc300934971"/>
      <w:bookmarkStart w:id="278" w:name="_Toc303539128"/>
      <w:r>
        <w:rPr>
          <w:rFonts w:hint="eastAsia" w:ascii="宋体" w:hAnsi="宋体" w:eastAsia="宋体" w:cs="宋体"/>
          <w:sz w:val="24"/>
          <w:szCs w:val="24"/>
        </w:rPr>
        <w:t>.6 不</w:t>
      </w:r>
      <w:bookmarkEnd w:id="273"/>
      <w:bookmarkEnd w:id="274"/>
      <w:bookmarkEnd w:id="275"/>
      <w:bookmarkEnd w:id="276"/>
      <w:bookmarkEnd w:id="277"/>
      <w:bookmarkEnd w:id="278"/>
      <w:r>
        <w:rPr>
          <w:rFonts w:hint="eastAsia" w:ascii="宋体" w:hAnsi="宋体" w:eastAsia="宋体" w:cs="宋体"/>
          <w:sz w:val="24"/>
          <w:szCs w:val="24"/>
        </w:rPr>
        <w:t>利物质条件</w:t>
      </w:r>
    </w:p>
    <w:p w14:paraId="0C5DAA70">
      <w:pPr>
        <w:spacing w:line="360" w:lineRule="auto"/>
        <w:ind w:firstLine="480" w:firstLineChars="200"/>
        <w:jc w:val="left"/>
        <w:rPr>
          <w:rFonts w:hint="eastAsia" w:ascii="宋体" w:hAnsi="宋体" w:eastAsia="宋体" w:cs="宋体"/>
          <w:sz w:val="24"/>
          <w:szCs w:val="24"/>
        </w:rPr>
      </w:pPr>
      <w:bookmarkStart w:id="279" w:name="_Toc297216179"/>
      <w:bookmarkStart w:id="280" w:name="_Toc297123520"/>
      <w:bookmarkStart w:id="281" w:name="_Toc304295550"/>
      <w:bookmarkStart w:id="282" w:name="_Toc303539129"/>
      <w:bookmarkStart w:id="283" w:name="_Toc318581172"/>
      <w:bookmarkStart w:id="284" w:name="_Toc300934972"/>
      <w:bookmarkStart w:id="285" w:name="_Toc312678016"/>
      <w:r>
        <w:rPr>
          <w:rFonts w:hint="eastAsia" w:ascii="宋体" w:hAnsi="宋体" w:eastAsia="宋体" w:cs="宋体"/>
          <w:sz w:val="24"/>
          <w:szCs w:val="24"/>
        </w:rPr>
        <w:t>不利物质条件的其他情形和有关约定：。</w:t>
      </w:r>
    </w:p>
    <w:p w14:paraId="2407B073">
      <w:pPr>
        <w:spacing w:line="360" w:lineRule="auto"/>
        <w:ind w:firstLine="480" w:firstLineChars="200"/>
        <w:jc w:val="left"/>
        <w:rPr>
          <w:rFonts w:hint="eastAsia" w:ascii="宋体" w:hAnsi="宋体" w:eastAsia="宋体" w:cs="宋体"/>
          <w:sz w:val="24"/>
          <w:szCs w:val="24"/>
        </w:rPr>
      </w:pPr>
    </w:p>
    <w:bookmarkEnd w:id="279"/>
    <w:bookmarkEnd w:id="280"/>
    <w:bookmarkEnd w:id="281"/>
    <w:bookmarkEnd w:id="282"/>
    <w:bookmarkEnd w:id="283"/>
    <w:bookmarkEnd w:id="284"/>
    <w:bookmarkEnd w:id="285"/>
    <w:p w14:paraId="4B4E5C7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286" w:name="_Toc300934973"/>
      <w:bookmarkStart w:id="287" w:name="_Toc303539130"/>
      <w:bookmarkStart w:id="288" w:name="_Toc304295551"/>
      <w:bookmarkStart w:id="289" w:name="_Toc297216180"/>
      <w:bookmarkStart w:id="290" w:name="_Toc297123521"/>
      <w:bookmarkStart w:id="291" w:name="_Toc312678017"/>
      <w:r>
        <w:rPr>
          <w:rFonts w:hint="eastAsia" w:ascii="宋体" w:hAnsi="宋体" w:eastAsia="宋体" w:cs="宋体"/>
          <w:sz w:val="24"/>
          <w:szCs w:val="24"/>
        </w:rPr>
        <w:t>.7异常恶劣的气候条件</w:t>
      </w:r>
    </w:p>
    <w:bookmarkEnd w:id="286"/>
    <w:bookmarkEnd w:id="287"/>
    <w:bookmarkEnd w:id="288"/>
    <w:bookmarkEnd w:id="289"/>
    <w:bookmarkEnd w:id="290"/>
    <w:bookmarkEnd w:id="291"/>
    <w:p w14:paraId="51FD568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581FF70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p>
    <w:p w14:paraId="776706D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p>
    <w:p w14:paraId="0157AE6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p>
    <w:p w14:paraId="62299E9D">
      <w:pPr>
        <w:spacing w:line="360" w:lineRule="auto"/>
        <w:ind w:firstLine="480" w:firstLineChars="200"/>
        <w:jc w:val="left"/>
        <w:rPr>
          <w:rFonts w:hint="eastAsia" w:ascii="宋体" w:hAnsi="宋体" w:eastAsia="宋体" w:cs="宋体"/>
          <w:sz w:val="24"/>
          <w:szCs w:val="24"/>
        </w:rPr>
      </w:pPr>
    </w:p>
    <w:p w14:paraId="0ED30F0E">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7.8 提前竣工的奖励</w:t>
      </w:r>
    </w:p>
    <w:p w14:paraId="6F40362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7.8.1提前竣工的奖励：</w:t>
      </w:r>
      <w:r>
        <w:rPr>
          <w:rFonts w:hint="eastAsia" w:ascii="宋体" w:hAnsi="宋体" w:eastAsia="宋体" w:cs="宋体"/>
          <w:sz w:val="24"/>
          <w:szCs w:val="24"/>
          <w:u w:val="single"/>
        </w:rPr>
        <w:t>无</w:t>
      </w:r>
      <w:r>
        <w:rPr>
          <w:rFonts w:hint="eastAsia" w:ascii="宋体" w:hAnsi="宋体" w:eastAsia="宋体" w:cs="宋体"/>
          <w:sz w:val="24"/>
          <w:szCs w:val="24"/>
        </w:rPr>
        <w:t>。</w:t>
      </w:r>
    </w:p>
    <w:p w14:paraId="242485DB">
      <w:pPr>
        <w:spacing w:line="360" w:lineRule="auto"/>
        <w:ind w:firstLine="480" w:firstLineChars="200"/>
        <w:jc w:val="left"/>
        <w:rPr>
          <w:rFonts w:hint="eastAsia" w:ascii="宋体" w:hAnsi="宋体" w:eastAsia="宋体" w:cs="宋体"/>
          <w:sz w:val="24"/>
          <w:szCs w:val="24"/>
        </w:rPr>
      </w:pPr>
    </w:p>
    <w:p w14:paraId="15C94E4A">
      <w:pPr>
        <w:keepNext/>
        <w:keepLines/>
        <w:spacing w:before="120" w:after="120" w:line="360" w:lineRule="auto"/>
        <w:outlineLvl w:val="3"/>
        <w:rPr>
          <w:rFonts w:hint="eastAsia" w:ascii="宋体" w:hAnsi="宋体" w:eastAsia="宋体" w:cs="宋体"/>
          <w:sz w:val="24"/>
          <w:szCs w:val="24"/>
        </w:rPr>
      </w:pPr>
      <w:bookmarkStart w:id="292" w:name="_Toc351203640"/>
      <w:r>
        <w:rPr>
          <w:rFonts w:hint="eastAsia" w:ascii="宋体" w:hAnsi="宋体" w:eastAsia="宋体" w:cs="宋体"/>
          <w:sz w:val="24"/>
          <w:szCs w:val="24"/>
        </w:rPr>
        <w:t>8. 材料与设备</w:t>
      </w:r>
      <w:bookmarkEnd w:id="292"/>
    </w:p>
    <w:p w14:paraId="25BD6E0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8.1承包人采购材料与工程设备</w:t>
      </w:r>
    </w:p>
    <w:p w14:paraId="60079155">
      <w:pPr>
        <w:spacing w:after="120" w:line="360" w:lineRule="auto"/>
        <w:ind w:firstLine="480" w:firstLineChars="200"/>
        <w:rPr>
          <w:rFonts w:hint="eastAsia" w:ascii="宋体" w:hAnsi="宋体" w:eastAsia="宋体" w:cs="宋体"/>
          <w:sz w:val="24"/>
          <w:szCs w:val="24"/>
        </w:rPr>
      </w:pPr>
    </w:p>
    <w:bookmarkEnd w:id="227"/>
    <w:bookmarkEnd w:id="228"/>
    <w:bookmarkEnd w:id="229"/>
    <w:bookmarkEnd w:id="230"/>
    <w:bookmarkEnd w:id="231"/>
    <w:bookmarkEnd w:id="232"/>
    <w:bookmarkEnd w:id="233"/>
    <w:bookmarkEnd w:id="234"/>
    <w:bookmarkEnd w:id="235"/>
    <w:bookmarkEnd w:id="236"/>
    <w:p w14:paraId="5205C639">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bookmarkStart w:id="293" w:name="_Toc296346668"/>
      <w:bookmarkStart w:id="294" w:name="_Toc296890995"/>
      <w:bookmarkStart w:id="295" w:name="_Toc300934979"/>
      <w:bookmarkStart w:id="296" w:name="_Toc297048353"/>
      <w:bookmarkStart w:id="297" w:name="_Toc297120467"/>
      <w:bookmarkStart w:id="298" w:name="_Toc297216186"/>
      <w:bookmarkStart w:id="299" w:name="_Toc292559372"/>
      <w:bookmarkStart w:id="300" w:name="_Toc303539136"/>
      <w:bookmarkStart w:id="301" w:name="_Toc312678019"/>
      <w:bookmarkStart w:id="302" w:name="_Toc304295556"/>
      <w:bookmarkStart w:id="303" w:name="_Toc296503167"/>
      <w:bookmarkStart w:id="304" w:name="_Toc312677493"/>
      <w:bookmarkStart w:id="305" w:name="_Toc296891207"/>
      <w:bookmarkStart w:id="306" w:name="_Toc296944506"/>
      <w:bookmarkStart w:id="307" w:name="_Toc296347166"/>
      <w:bookmarkStart w:id="308" w:name="_Toc280868654"/>
      <w:bookmarkStart w:id="309" w:name="_Toc292559877"/>
      <w:bookmarkStart w:id="310" w:name="_Toc297123527"/>
      <w:bookmarkStart w:id="311" w:name="_Toc267251424"/>
      <w:bookmarkStart w:id="312" w:name="_Toc280868655"/>
      <w:bookmarkStart w:id="313" w:name="_Toc280868656"/>
      <w:r>
        <w:rPr>
          <w:rFonts w:hint="eastAsia" w:ascii="宋体" w:hAnsi="宋体" w:eastAsia="宋体" w:cs="宋体"/>
          <w:sz w:val="24"/>
          <w:szCs w:val="24"/>
        </w:rPr>
        <w:t>.2材料与工程设备的保管与使用</w:t>
      </w:r>
    </w:p>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464C660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bookmarkStart w:id="314" w:name="_Toc292559373"/>
      <w:bookmarkStart w:id="315" w:name="_Toc292559878"/>
      <w:bookmarkStart w:id="316" w:name="_Toc297123528"/>
      <w:bookmarkStart w:id="317" w:name="_Toc304295557"/>
      <w:bookmarkStart w:id="318" w:name="_Toc296347167"/>
      <w:bookmarkStart w:id="319" w:name="_Toc297048354"/>
      <w:bookmarkStart w:id="320" w:name="_Toc296891208"/>
      <w:bookmarkStart w:id="321" w:name="_Toc297120468"/>
      <w:bookmarkStart w:id="322" w:name="_Toc297216187"/>
      <w:bookmarkStart w:id="323" w:name="_Toc296944507"/>
      <w:bookmarkStart w:id="324" w:name="_Toc312678020"/>
      <w:bookmarkStart w:id="325" w:name="_Toc303539137"/>
      <w:bookmarkStart w:id="326" w:name="_Toc296346669"/>
      <w:bookmarkStart w:id="327" w:name="_Toc296890996"/>
      <w:bookmarkStart w:id="328" w:name="_Toc318581173"/>
      <w:bookmarkStart w:id="329" w:name="_Toc312677494"/>
      <w:bookmarkStart w:id="330" w:name="_Toc296503168"/>
      <w:bookmarkStart w:id="331" w:name="_Toc300934980"/>
      <w:r>
        <w:rPr>
          <w:rFonts w:hint="eastAsia" w:ascii="宋体" w:hAnsi="宋体" w:eastAsia="宋体" w:cs="宋体"/>
          <w:sz w:val="24"/>
          <w:szCs w:val="24"/>
        </w:rPr>
        <w:t>.2.1发包人供应的材料设备的保管费用的承担：。</w:t>
      </w:r>
      <w:bookmarkEnd w:id="314"/>
      <w:bookmarkEnd w:id="315"/>
    </w:p>
    <w:p w14:paraId="6886ABC9">
      <w:pPr>
        <w:spacing w:line="360" w:lineRule="auto"/>
        <w:ind w:firstLine="480" w:firstLineChars="200"/>
        <w:jc w:val="left"/>
        <w:rPr>
          <w:rFonts w:hint="eastAsia" w:ascii="宋体" w:hAnsi="宋体" w:eastAsia="宋体" w:cs="宋体"/>
          <w:sz w:val="24"/>
          <w:szCs w:val="24"/>
        </w:rPr>
      </w:pPr>
    </w:p>
    <w:p w14:paraId="4653B01B">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8.3 样品</w:t>
      </w:r>
    </w:p>
    <w:p w14:paraId="4EA9BAA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8.3.1</w:t>
      </w:r>
      <w:r>
        <w:rPr>
          <w:rFonts w:hint="eastAsia" w:ascii="宋体" w:hAnsi="宋体" w:eastAsia="宋体" w:cs="宋体"/>
          <w:kern w:val="0"/>
          <w:sz w:val="24"/>
          <w:szCs w:val="24"/>
        </w:rPr>
        <w:tab/>
      </w:r>
      <w:r>
        <w:rPr>
          <w:rFonts w:hint="eastAsia" w:ascii="宋体" w:hAnsi="宋体" w:eastAsia="宋体" w:cs="宋体"/>
          <w:kern w:val="0"/>
          <w:sz w:val="24"/>
          <w:szCs w:val="24"/>
        </w:rPr>
        <w:t>样品的报送与封存</w:t>
      </w:r>
    </w:p>
    <w:p w14:paraId="37D7F1EC">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需要承包人报送样品的材料或工程设备，样品的种类、名称、规格、数量要求：</w:t>
      </w:r>
      <w:r>
        <w:rPr>
          <w:rFonts w:hint="eastAsia" w:ascii="宋体" w:hAnsi="宋体" w:eastAsia="宋体" w:cs="宋体"/>
          <w:sz w:val="24"/>
          <w:szCs w:val="24"/>
        </w:rPr>
        <w:t>。</w:t>
      </w:r>
    </w:p>
    <w:p w14:paraId="1671A4BD">
      <w:pPr>
        <w:autoSpaceDE w:val="0"/>
        <w:autoSpaceDN w:val="0"/>
        <w:adjustRightInd w:val="0"/>
        <w:spacing w:line="360" w:lineRule="auto"/>
        <w:ind w:firstLine="480" w:firstLineChars="200"/>
        <w:jc w:val="left"/>
        <w:rPr>
          <w:rFonts w:hint="eastAsia" w:ascii="宋体" w:hAnsi="宋体" w:eastAsia="宋体" w:cs="宋体"/>
          <w:sz w:val="24"/>
          <w:szCs w:val="24"/>
        </w:rPr>
      </w:pPr>
    </w:p>
    <w:p w14:paraId="3A46D304">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8.4 施工设备和临时设施</w:t>
      </w:r>
    </w:p>
    <w:p w14:paraId="6E68ED98">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8.4.1 承包人提供的施工设备和临时设施</w:t>
      </w:r>
    </w:p>
    <w:p w14:paraId="26024C83">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8.4.2 关于修建临时设施费用承担的约定：。</w:t>
      </w:r>
    </w:p>
    <w:p w14:paraId="6C33254F">
      <w:pPr>
        <w:autoSpaceDE w:val="0"/>
        <w:autoSpaceDN w:val="0"/>
        <w:adjustRightInd w:val="0"/>
        <w:spacing w:line="360" w:lineRule="auto"/>
        <w:ind w:firstLine="480" w:firstLineChars="200"/>
        <w:rPr>
          <w:rFonts w:hint="eastAsia" w:ascii="宋体" w:hAnsi="宋体" w:eastAsia="宋体" w:cs="宋体"/>
          <w:sz w:val="24"/>
          <w:szCs w:val="24"/>
        </w:rPr>
      </w:pP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14:paraId="7CC69DFB">
      <w:pPr>
        <w:keepNext/>
        <w:keepLines/>
        <w:spacing w:before="120" w:after="120" w:line="360" w:lineRule="auto"/>
        <w:outlineLvl w:val="3"/>
        <w:rPr>
          <w:rFonts w:hint="eastAsia" w:ascii="宋体" w:hAnsi="宋体" w:eastAsia="宋体" w:cs="宋体"/>
          <w:sz w:val="24"/>
          <w:szCs w:val="24"/>
        </w:rPr>
      </w:pPr>
      <w:bookmarkStart w:id="332" w:name="_Toc351203641"/>
      <w:r>
        <w:rPr>
          <w:rFonts w:hint="eastAsia" w:ascii="宋体" w:hAnsi="宋体" w:eastAsia="宋体" w:cs="宋体"/>
          <w:sz w:val="24"/>
          <w:szCs w:val="24"/>
        </w:rPr>
        <w:t>9</w:t>
      </w:r>
      <w:bookmarkEnd w:id="311"/>
      <w:bookmarkEnd w:id="312"/>
      <w:bookmarkEnd w:id="313"/>
      <w:bookmarkStart w:id="333" w:name="_Toc297123533"/>
      <w:bookmarkStart w:id="334" w:name="_Toc312677495"/>
      <w:bookmarkStart w:id="335" w:name="_Toc303539139"/>
      <w:bookmarkStart w:id="336" w:name="_Toc300934982"/>
      <w:bookmarkStart w:id="337" w:name="_Toc312678021"/>
      <w:bookmarkStart w:id="338" w:name="_Toc304295559"/>
      <w:bookmarkStart w:id="339" w:name="_Toc297216192"/>
      <w:bookmarkStart w:id="340" w:name="_Toc296503173"/>
      <w:bookmarkStart w:id="341" w:name="_Toc296347172"/>
      <w:bookmarkStart w:id="342" w:name="_Toc296346674"/>
      <w:bookmarkStart w:id="343" w:name="_Toc297048359"/>
      <w:bookmarkStart w:id="344" w:name="_Toc296944512"/>
      <w:bookmarkStart w:id="345" w:name="_Toc297120473"/>
      <w:bookmarkStart w:id="346" w:name="_Toc292559883"/>
      <w:bookmarkStart w:id="347" w:name="_Toc296891213"/>
      <w:bookmarkStart w:id="348" w:name="_Toc267251428"/>
      <w:bookmarkStart w:id="349" w:name="_Toc296891001"/>
      <w:bookmarkStart w:id="350" w:name="_Toc267251427"/>
      <w:bookmarkStart w:id="351" w:name="_Toc292559378"/>
      <w:r>
        <w:rPr>
          <w:rFonts w:hint="eastAsia" w:ascii="宋体" w:hAnsi="宋体" w:eastAsia="宋体" w:cs="宋体"/>
          <w:sz w:val="24"/>
          <w:szCs w:val="24"/>
        </w:rPr>
        <w:t>. 试验与检验</w:t>
      </w:r>
      <w:bookmarkEnd w:id="332"/>
    </w:p>
    <w:bookmarkEnd w:id="333"/>
    <w:bookmarkEnd w:id="334"/>
    <w:bookmarkEnd w:id="335"/>
    <w:bookmarkEnd w:id="336"/>
    <w:bookmarkEnd w:id="337"/>
    <w:bookmarkEnd w:id="338"/>
    <w:bookmarkEnd w:id="339"/>
    <w:p w14:paraId="2CCF559F">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bookmarkStart w:id="352" w:name="_Toc297216193"/>
      <w:bookmarkStart w:id="353" w:name="_Toc303539140"/>
      <w:bookmarkStart w:id="354" w:name="_Toc297123534"/>
      <w:bookmarkStart w:id="355" w:name="_Toc312677496"/>
      <w:bookmarkStart w:id="356" w:name="_Toc304295560"/>
      <w:bookmarkStart w:id="357" w:name="_Toc312678022"/>
      <w:bookmarkStart w:id="358" w:name="_Toc300934983"/>
      <w:r>
        <w:rPr>
          <w:rFonts w:hint="eastAsia" w:ascii="宋体" w:hAnsi="宋体" w:eastAsia="宋体" w:cs="宋体"/>
          <w:sz w:val="24"/>
          <w:szCs w:val="24"/>
        </w:rPr>
        <w:t>.1试验设备与试验人员</w:t>
      </w:r>
    </w:p>
    <w:bookmarkEnd w:id="352"/>
    <w:bookmarkEnd w:id="353"/>
    <w:bookmarkEnd w:id="354"/>
    <w:bookmarkEnd w:id="355"/>
    <w:bookmarkEnd w:id="356"/>
    <w:bookmarkEnd w:id="357"/>
    <w:bookmarkEnd w:id="358"/>
    <w:p w14:paraId="0736D14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bookmarkStart w:id="359" w:name="_Toc300934984"/>
      <w:bookmarkStart w:id="360" w:name="_Toc312678023"/>
      <w:bookmarkStart w:id="361" w:name="_Toc297123535"/>
      <w:bookmarkStart w:id="362" w:name="_Toc304295561"/>
      <w:bookmarkStart w:id="363" w:name="_Toc303539141"/>
      <w:bookmarkStart w:id="364" w:name="_Toc297216194"/>
      <w:bookmarkStart w:id="365" w:name="_Toc312677497"/>
      <w:bookmarkStart w:id="366" w:name="_Toc318581174"/>
      <w:r>
        <w:rPr>
          <w:rFonts w:hint="eastAsia" w:ascii="宋体" w:hAnsi="宋体" w:eastAsia="宋体" w:cs="宋体"/>
          <w:sz w:val="24"/>
          <w:szCs w:val="24"/>
        </w:rPr>
        <w:t>.1.1 试验设备</w:t>
      </w:r>
    </w:p>
    <w:p w14:paraId="00B28F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施工现场需要配置的试验场所：</w:t>
      </w:r>
      <w:bookmarkEnd w:id="359"/>
      <w:bookmarkEnd w:id="360"/>
      <w:bookmarkEnd w:id="361"/>
      <w:bookmarkEnd w:id="362"/>
      <w:bookmarkEnd w:id="363"/>
      <w:bookmarkEnd w:id="364"/>
      <w:bookmarkEnd w:id="365"/>
      <w:bookmarkStart w:id="367" w:name="_Toc304295562"/>
      <w:bookmarkStart w:id="368" w:name="_Toc312678024"/>
      <w:bookmarkStart w:id="369" w:name="_Toc297123536"/>
      <w:bookmarkStart w:id="370" w:name="_Toc312677498"/>
      <w:bookmarkStart w:id="371" w:name="_Toc300934985"/>
      <w:bookmarkStart w:id="372" w:name="_Toc297216195"/>
      <w:bookmarkStart w:id="373" w:name="_Toc303539142"/>
      <w:r>
        <w:rPr>
          <w:rFonts w:hint="eastAsia" w:ascii="宋体" w:hAnsi="宋体" w:eastAsia="宋体" w:cs="宋体"/>
          <w:sz w:val="24"/>
          <w:szCs w:val="24"/>
        </w:rPr>
        <w:t>。</w:t>
      </w:r>
    </w:p>
    <w:p w14:paraId="6E683BC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施工现场需要配备的试验设备：。</w:t>
      </w:r>
    </w:p>
    <w:p w14:paraId="6DBF7BB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施工现场需要具备的其他试验条件：。</w:t>
      </w:r>
    </w:p>
    <w:p w14:paraId="4FA1F300">
      <w:pPr>
        <w:spacing w:line="360" w:lineRule="auto"/>
        <w:ind w:firstLine="480" w:firstLineChars="200"/>
        <w:jc w:val="left"/>
        <w:rPr>
          <w:rFonts w:hint="eastAsia" w:ascii="宋体" w:hAnsi="宋体" w:eastAsia="宋体" w:cs="宋体"/>
          <w:sz w:val="24"/>
          <w:szCs w:val="24"/>
        </w:rPr>
      </w:pPr>
    </w:p>
    <w:p w14:paraId="40EE10E7">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9.2 现场工艺试验</w:t>
      </w:r>
    </w:p>
    <w:p w14:paraId="5009E5F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现场工艺试验的有关约定：。</w:t>
      </w:r>
    </w:p>
    <w:p w14:paraId="13AC4645">
      <w:pPr>
        <w:spacing w:line="360" w:lineRule="auto"/>
        <w:ind w:firstLine="480" w:firstLineChars="200"/>
        <w:jc w:val="left"/>
        <w:rPr>
          <w:rFonts w:hint="eastAsia" w:ascii="宋体" w:hAnsi="宋体" w:eastAsia="宋体" w:cs="宋体"/>
          <w:sz w:val="24"/>
          <w:szCs w:val="24"/>
        </w:rPr>
      </w:pPr>
    </w:p>
    <w:bookmarkEnd w:id="366"/>
    <w:bookmarkEnd w:id="367"/>
    <w:bookmarkEnd w:id="368"/>
    <w:bookmarkEnd w:id="369"/>
    <w:bookmarkEnd w:id="370"/>
    <w:bookmarkEnd w:id="371"/>
    <w:bookmarkEnd w:id="372"/>
    <w:bookmarkEnd w:id="373"/>
    <w:p w14:paraId="431EEA03">
      <w:pPr>
        <w:keepNext/>
        <w:keepLines/>
        <w:spacing w:before="120" w:after="120" w:line="360" w:lineRule="auto"/>
        <w:outlineLvl w:val="3"/>
        <w:rPr>
          <w:rFonts w:hint="eastAsia" w:ascii="宋体" w:hAnsi="宋体" w:eastAsia="宋体" w:cs="宋体"/>
          <w:sz w:val="24"/>
          <w:szCs w:val="24"/>
        </w:rPr>
      </w:pPr>
      <w:bookmarkStart w:id="374" w:name="_Toc351203642"/>
      <w:r>
        <w:rPr>
          <w:rFonts w:hint="eastAsia" w:ascii="宋体" w:hAnsi="宋体" w:eastAsia="宋体" w:cs="宋体"/>
          <w:sz w:val="24"/>
          <w:szCs w:val="24"/>
        </w:rPr>
        <w:t>1</w:t>
      </w:r>
      <w:bookmarkEnd w:id="340"/>
      <w:bookmarkEnd w:id="341"/>
      <w:bookmarkEnd w:id="342"/>
      <w:bookmarkEnd w:id="343"/>
      <w:bookmarkEnd w:id="344"/>
      <w:bookmarkEnd w:id="345"/>
      <w:bookmarkEnd w:id="346"/>
      <w:bookmarkEnd w:id="347"/>
      <w:bookmarkEnd w:id="348"/>
      <w:bookmarkEnd w:id="349"/>
      <w:bookmarkEnd w:id="350"/>
      <w:bookmarkEnd w:id="351"/>
      <w:bookmarkStart w:id="375" w:name="_Toc292559903"/>
      <w:bookmarkStart w:id="376" w:name="_Toc296503193"/>
      <w:bookmarkStart w:id="377" w:name="_Toc297123540"/>
      <w:bookmarkStart w:id="378" w:name="_Toc297048379"/>
      <w:bookmarkStart w:id="379" w:name="_Toc303539146"/>
      <w:bookmarkStart w:id="380" w:name="_Toc296944532"/>
      <w:bookmarkStart w:id="381" w:name="_Toc297216199"/>
      <w:bookmarkStart w:id="382" w:name="_Toc292559398"/>
      <w:bookmarkStart w:id="383" w:name="_Toc296891233"/>
      <w:bookmarkStart w:id="384" w:name="_Toc296891021"/>
      <w:bookmarkStart w:id="385" w:name="_Toc296346694"/>
      <w:bookmarkStart w:id="386" w:name="_Toc304295566"/>
      <w:bookmarkStart w:id="387" w:name="_Toc300934989"/>
      <w:bookmarkStart w:id="388" w:name="_Toc297120493"/>
      <w:bookmarkStart w:id="389" w:name="_Toc296347192"/>
      <w:bookmarkStart w:id="390" w:name="_Toc312678025"/>
      <w:bookmarkStart w:id="391" w:name="_Toc312677499"/>
      <w:bookmarkStart w:id="392" w:name="_Toc267251435"/>
      <w:bookmarkStart w:id="393" w:name="_Toc267251439"/>
      <w:bookmarkStart w:id="394" w:name="_Toc267251437"/>
      <w:bookmarkStart w:id="395" w:name="_Toc267251441"/>
      <w:bookmarkStart w:id="396" w:name="_Toc267251433"/>
      <w:bookmarkStart w:id="397" w:name="_Toc267251440"/>
      <w:bookmarkStart w:id="398" w:name="_Toc267251442"/>
      <w:r>
        <w:rPr>
          <w:rFonts w:hint="eastAsia" w:ascii="宋体" w:hAnsi="宋体" w:eastAsia="宋体" w:cs="宋体"/>
          <w:sz w:val="24"/>
          <w:szCs w:val="24"/>
        </w:rPr>
        <w:t>0. 变更</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bookmarkEnd w:id="390"/>
    <w:bookmarkEnd w:id="391"/>
    <w:p w14:paraId="12F55BB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399" w:name="_Toc312678026"/>
      <w:bookmarkStart w:id="400" w:name="_Toc296891022"/>
      <w:bookmarkStart w:id="401" w:name="_Toc296891234"/>
      <w:bookmarkStart w:id="402" w:name="_Toc297216200"/>
      <w:bookmarkStart w:id="403" w:name="_Toc296503194"/>
      <w:bookmarkStart w:id="404" w:name="_Toc304295567"/>
      <w:bookmarkStart w:id="405" w:name="_Toc292559904"/>
      <w:bookmarkStart w:id="406" w:name="_Toc297123541"/>
      <w:bookmarkStart w:id="407" w:name="_Toc303539147"/>
      <w:bookmarkStart w:id="408" w:name="_Toc297120494"/>
      <w:bookmarkStart w:id="409" w:name="_Toc296346695"/>
      <w:bookmarkStart w:id="410" w:name="_Toc292559399"/>
      <w:bookmarkStart w:id="411" w:name="_Toc297048380"/>
      <w:bookmarkStart w:id="412" w:name="_Toc296944533"/>
      <w:bookmarkStart w:id="413" w:name="_Toc296347193"/>
      <w:bookmarkStart w:id="414" w:name="_Toc312677500"/>
      <w:bookmarkStart w:id="415" w:name="_Toc300934990"/>
      <w:r>
        <w:rPr>
          <w:rFonts w:hint="eastAsia" w:ascii="宋体" w:hAnsi="宋体" w:eastAsia="宋体" w:cs="宋体"/>
          <w:sz w:val="24"/>
          <w:szCs w:val="24"/>
        </w:rPr>
        <w:t>0.1变更的范围</w:t>
      </w:r>
    </w:p>
    <w:p w14:paraId="2A92234B">
      <w:pPr>
        <w:spacing w:line="360" w:lineRule="auto"/>
        <w:ind w:firstLine="600"/>
        <w:jc w:val="left"/>
        <w:rPr>
          <w:rFonts w:hint="eastAsia" w:ascii="宋体" w:hAnsi="宋体" w:eastAsia="宋体" w:cs="宋体"/>
          <w:sz w:val="24"/>
          <w:szCs w:val="24"/>
        </w:rPr>
      </w:pPr>
      <w:r>
        <w:rPr>
          <w:rFonts w:hint="eastAsia" w:ascii="宋体" w:hAnsi="宋体" w:eastAsia="宋体" w:cs="宋体"/>
          <w:sz w:val="24"/>
          <w:szCs w:val="24"/>
        </w:rPr>
        <w:t>关于变更的范围的约定：。</w:t>
      </w:r>
    </w:p>
    <w:p w14:paraId="0B7F319A">
      <w:pPr>
        <w:spacing w:line="360" w:lineRule="auto"/>
        <w:ind w:firstLine="600"/>
        <w:jc w:val="left"/>
        <w:rPr>
          <w:rFonts w:hint="eastAsia" w:ascii="宋体" w:hAnsi="宋体" w:eastAsia="宋体" w:cs="宋体"/>
          <w:sz w:val="24"/>
          <w:szCs w:val="24"/>
        </w:rPr>
      </w:pPr>
    </w:p>
    <w:p w14:paraId="12656C1F">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10.2 变更估价</w:t>
      </w:r>
    </w:p>
    <w:p w14:paraId="6792A7E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10.2.1 变更估价原则</w:t>
      </w:r>
    </w:p>
    <w:p w14:paraId="272961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关于变更估价的约定: 。</w:t>
      </w:r>
    </w:p>
    <w:p w14:paraId="2E665957">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Start w:id="416" w:name="_Toc297216203"/>
      <w:bookmarkStart w:id="417" w:name="_Toc296891025"/>
      <w:bookmarkStart w:id="418" w:name="_Toc292559907"/>
      <w:bookmarkStart w:id="419" w:name="_Toc303539150"/>
      <w:bookmarkStart w:id="420" w:name="_Toc296503197"/>
      <w:bookmarkStart w:id="421" w:name="_Toc297048383"/>
      <w:bookmarkStart w:id="422" w:name="_Toc296346698"/>
      <w:bookmarkStart w:id="423" w:name="_Toc297123544"/>
      <w:bookmarkStart w:id="424" w:name="_Toc297120497"/>
      <w:bookmarkStart w:id="425" w:name="_Toc296891237"/>
      <w:bookmarkStart w:id="426" w:name="_Toc296347196"/>
      <w:bookmarkStart w:id="427" w:name="_Toc300934993"/>
      <w:bookmarkStart w:id="428" w:name="_Toc296944536"/>
      <w:bookmarkStart w:id="429" w:name="_Toc292559402"/>
      <w:bookmarkStart w:id="430" w:name="_Toc312677503"/>
      <w:bookmarkStart w:id="431" w:name="_Toc304295570"/>
      <w:bookmarkStart w:id="432" w:name="_Toc312678029"/>
      <w:r>
        <w:rPr>
          <w:rFonts w:hint="eastAsia" w:ascii="宋体" w:hAnsi="宋体" w:eastAsia="宋体" w:cs="宋体"/>
          <w:sz w:val="24"/>
          <w:szCs w:val="24"/>
        </w:rPr>
        <w:t>0.3 承</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Start w:id="433" w:name="_Toc296891243"/>
      <w:bookmarkStart w:id="434" w:name="_Toc297123545"/>
      <w:bookmarkStart w:id="435" w:name="_Toc303539151"/>
      <w:bookmarkStart w:id="436" w:name="_Toc297216204"/>
      <w:bookmarkStart w:id="437" w:name="_Toc297120503"/>
      <w:bookmarkStart w:id="438" w:name="_Toc296346704"/>
      <w:bookmarkStart w:id="439" w:name="_Toc296891031"/>
      <w:bookmarkStart w:id="440" w:name="_Toc296503203"/>
      <w:bookmarkStart w:id="441" w:name="_Toc292559913"/>
      <w:bookmarkStart w:id="442" w:name="_Toc300934994"/>
      <w:bookmarkStart w:id="443" w:name="_Toc296944542"/>
      <w:bookmarkStart w:id="444" w:name="_Toc296347202"/>
      <w:bookmarkStart w:id="445" w:name="_Toc292559408"/>
      <w:bookmarkStart w:id="446" w:name="_Toc297048389"/>
      <w:r>
        <w:rPr>
          <w:rFonts w:hint="eastAsia" w:ascii="宋体" w:hAnsi="宋体" w:eastAsia="宋体" w:cs="宋体"/>
          <w:sz w:val="24"/>
          <w:szCs w:val="24"/>
        </w:rPr>
        <w:t>包人的合理化建议</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3DBD212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p>
    <w:p w14:paraId="44A8C2C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p>
    <w:p w14:paraId="2DDA6F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w:t>
      </w:r>
      <w:bookmarkStart w:id="447" w:name="_Toc297123546"/>
      <w:bookmarkStart w:id="448" w:name="_Toc296346705"/>
      <w:bookmarkStart w:id="449" w:name="_Toc297120504"/>
      <w:bookmarkStart w:id="450" w:name="_Toc296891032"/>
      <w:bookmarkStart w:id="451" w:name="_Toc297216205"/>
      <w:bookmarkStart w:id="452" w:name="_Toc300934995"/>
      <w:bookmarkStart w:id="453" w:name="_Toc312677504"/>
      <w:bookmarkStart w:id="454" w:name="_Toc296503204"/>
      <w:bookmarkStart w:id="455" w:name="_Toc296891244"/>
      <w:bookmarkStart w:id="456" w:name="_Toc303539152"/>
      <w:bookmarkStart w:id="457" w:name="_Toc318581175"/>
      <w:bookmarkStart w:id="458" w:name="_Toc296944543"/>
      <w:bookmarkStart w:id="459" w:name="_Toc312678030"/>
      <w:bookmarkStart w:id="460" w:name="_Toc296347203"/>
      <w:bookmarkStart w:id="461" w:name="_Toc297048390"/>
      <w:bookmarkStart w:id="462" w:name="_Toc304295571"/>
      <w:bookmarkStart w:id="463" w:name="_Toc292559409"/>
      <w:bookmarkStart w:id="464" w:name="_Toc292559914"/>
      <w:r>
        <w:rPr>
          <w:rFonts w:hint="eastAsia" w:ascii="宋体" w:hAnsi="宋体" w:eastAsia="宋体" w:cs="宋体"/>
          <w:sz w:val="24"/>
          <w:szCs w:val="24"/>
        </w:rPr>
        <w:t>包人提出的合理化建议降低了合同价格或者提高了工程经济效益的奖励的方法和金额为：。</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14:paraId="5FA5153A">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w:t>
      </w:r>
      <w:bookmarkStart w:id="465" w:name="_Toc312678033"/>
      <w:bookmarkStart w:id="466" w:name="_Toc296891239"/>
      <w:bookmarkStart w:id="467" w:name="_Toc296891027"/>
      <w:bookmarkStart w:id="468" w:name="_Toc296347198"/>
      <w:bookmarkStart w:id="469" w:name="_Toc297048385"/>
      <w:bookmarkStart w:id="470" w:name="_Toc303539154"/>
      <w:bookmarkStart w:id="471" w:name="_Toc297120499"/>
      <w:bookmarkStart w:id="472" w:name="_Toc296346700"/>
      <w:bookmarkStart w:id="473" w:name="_Toc292559404"/>
      <w:bookmarkStart w:id="474" w:name="_Toc296503199"/>
      <w:bookmarkStart w:id="475" w:name="_Toc297123548"/>
      <w:bookmarkStart w:id="476" w:name="_Toc312677507"/>
      <w:bookmarkStart w:id="477" w:name="_Toc297216207"/>
      <w:bookmarkStart w:id="478" w:name="_Toc296944538"/>
      <w:bookmarkStart w:id="479" w:name="_Toc300934997"/>
      <w:bookmarkStart w:id="480" w:name="_Toc304295574"/>
      <w:bookmarkStart w:id="481" w:name="_Toc292559909"/>
      <w:r>
        <w:rPr>
          <w:rFonts w:hint="eastAsia" w:ascii="宋体" w:hAnsi="宋体" w:eastAsia="宋体" w:cs="宋体"/>
          <w:sz w:val="24"/>
          <w:szCs w:val="24"/>
        </w:rPr>
        <w:t>0.4 暂估价</w:t>
      </w:r>
    </w:p>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21A9523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482" w:name="_Toc312677509"/>
      <w:bookmarkStart w:id="483" w:name="_Toc312678035"/>
      <w:bookmarkStart w:id="484" w:name="_Toc318581177"/>
      <w:r>
        <w:rPr>
          <w:rFonts w:hint="eastAsia" w:ascii="宋体" w:hAnsi="宋体" w:eastAsia="宋体" w:cs="宋体"/>
          <w:sz w:val="24"/>
          <w:szCs w:val="24"/>
        </w:rPr>
        <w:t>0.4.1 依法必须招标的暂估价项目</w:t>
      </w:r>
    </w:p>
    <w:bookmarkEnd w:id="482"/>
    <w:bookmarkEnd w:id="483"/>
    <w:bookmarkEnd w:id="484"/>
    <w:p w14:paraId="459C961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对于依法必须招标的暂估价项目的确认和批准采取第X种方式确定。</w:t>
      </w:r>
    </w:p>
    <w:p w14:paraId="472C2F6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10.4.2 不属于依法必须招标的暂估价项目</w:t>
      </w:r>
    </w:p>
    <w:p w14:paraId="5BB9D4A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对于不属于依法必须招标的暂估价项目的确认和批准采取第X种方式确定。</w:t>
      </w:r>
    </w:p>
    <w:p w14:paraId="470FA98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第3种方式：</w:t>
      </w:r>
      <w:r>
        <w:rPr>
          <w:rFonts w:hint="eastAsia" w:ascii="宋体" w:hAnsi="宋体" w:eastAsia="宋体" w:cs="宋体"/>
          <w:kern w:val="0"/>
          <w:sz w:val="24"/>
          <w:szCs w:val="24"/>
        </w:rPr>
        <w:t>承包人直接实施的暂估价项目</w:t>
      </w:r>
    </w:p>
    <w:p w14:paraId="32DF2D4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p>
    <w:p w14:paraId="61B481A2">
      <w:pPr>
        <w:spacing w:line="360" w:lineRule="auto"/>
        <w:ind w:firstLine="480" w:firstLineChars="200"/>
        <w:jc w:val="left"/>
        <w:rPr>
          <w:rFonts w:hint="eastAsia" w:ascii="宋体" w:hAnsi="宋体" w:eastAsia="宋体" w:cs="宋体"/>
          <w:sz w:val="24"/>
          <w:szCs w:val="24"/>
        </w:rPr>
      </w:pPr>
    </w:p>
    <w:p w14:paraId="3FD176D2">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 暂列金额</w:t>
      </w:r>
    </w:p>
    <w:p w14:paraId="7C48DC5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合同当事人关于暂列金额使用的约定：。</w:t>
      </w:r>
    </w:p>
    <w:p w14:paraId="3C6D2509">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0628B24F">
      <w:pPr>
        <w:keepNext/>
        <w:keepLines/>
        <w:spacing w:before="120" w:after="120" w:line="360" w:lineRule="auto"/>
        <w:outlineLvl w:val="3"/>
        <w:rPr>
          <w:rFonts w:hint="eastAsia" w:ascii="宋体" w:hAnsi="宋体" w:eastAsia="宋体" w:cs="宋体"/>
          <w:sz w:val="24"/>
          <w:szCs w:val="24"/>
        </w:rPr>
      </w:pPr>
      <w:bookmarkStart w:id="485" w:name="_Toc351203643"/>
      <w:r>
        <w:rPr>
          <w:rFonts w:hint="eastAsia" w:ascii="宋体" w:hAnsi="宋体" w:eastAsia="宋体" w:cs="宋体"/>
          <w:sz w:val="24"/>
          <w:szCs w:val="24"/>
        </w:rPr>
        <w:t>11. 价格调整</w:t>
      </w:r>
      <w:bookmarkEnd w:id="485"/>
    </w:p>
    <w:p w14:paraId="5822974F">
      <w:pPr>
        <w:spacing w:after="120" w:line="360" w:lineRule="auto"/>
        <w:ind w:firstLine="480" w:firstLineChars="200"/>
        <w:rPr>
          <w:rFonts w:hint="eastAsia" w:ascii="宋体" w:hAnsi="宋体" w:eastAsia="宋体" w:cs="宋体"/>
          <w:sz w:val="24"/>
          <w:szCs w:val="24"/>
        </w:rPr>
      </w:pPr>
      <w:bookmarkStart w:id="486" w:name="_Toc292559406"/>
      <w:bookmarkStart w:id="487" w:name="_Toc304295577"/>
      <w:bookmarkStart w:id="488" w:name="_Toc296346702"/>
      <w:bookmarkStart w:id="489" w:name="_Toc303539157"/>
      <w:bookmarkStart w:id="490" w:name="_Toc300935000"/>
      <w:bookmarkStart w:id="491" w:name="_Toc297120501"/>
      <w:bookmarkStart w:id="492" w:name="_Toc296891029"/>
      <w:bookmarkStart w:id="493" w:name="_Toc296347200"/>
      <w:bookmarkStart w:id="494" w:name="_Toc297216209"/>
      <w:bookmarkStart w:id="495" w:name="_Toc296503201"/>
      <w:bookmarkStart w:id="496" w:name="_Toc296891241"/>
      <w:bookmarkStart w:id="497" w:name="_Toc296944540"/>
      <w:bookmarkStart w:id="498" w:name="_Toc292559911"/>
      <w:bookmarkStart w:id="499" w:name="_Toc297123550"/>
      <w:bookmarkStart w:id="500" w:name="_Toc297048387"/>
      <w:bookmarkStart w:id="501" w:name="_Toc312678039"/>
      <w:r>
        <w:rPr>
          <w:rFonts w:hint="eastAsia" w:ascii="宋体" w:hAnsi="宋体" w:eastAsia="宋体" w:cs="宋体"/>
          <w:sz w:val="24"/>
          <w:szCs w:val="24"/>
        </w:rPr>
        <w:t>11.1 市场价格波动引起的调整</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6C0281A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市场价格波动是否调整合同价格的约定：</w:t>
      </w:r>
      <w:r>
        <w:rPr>
          <w:rFonts w:hint="eastAsia" w:ascii="宋体" w:hAnsi="宋体" w:eastAsia="宋体" w:cs="宋体"/>
          <w:sz w:val="24"/>
          <w:szCs w:val="24"/>
          <w:u w:val="single"/>
        </w:rPr>
        <w:t>不调整</w:t>
      </w:r>
      <w:r>
        <w:rPr>
          <w:rFonts w:hint="eastAsia" w:ascii="宋体" w:hAnsi="宋体" w:eastAsia="宋体" w:cs="宋体"/>
          <w:sz w:val="24"/>
          <w:szCs w:val="24"/>
        </w:rPr>
        <w:t>。</w:t>
      </w:r>
    </w:p>
    <w:p w14:paraId="37A36D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因市场价格波动调整合同价格，采用以下第X种方式对合同价格进行调整：</w:t>
      </w:r>
    </w:p>
    <w:p w14:paraId="796FC9B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FA7FC34">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关于各可调因子、定值和变值权重，以及基本价格指数及其来源的约定：；</w:t>
      </w:r>
    </w:p>
    <w:p w14:paraId="5627D87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67F837F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关于基准价格的约定：。</w:t>
      </w:r>
    </w:p>
    <w:p w14:paraId="573D7E8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专用合同条款①承包人在已标价工程量清单或预算书中载明的材料单价低于基准价格的：专用合同条款合同履行期间材料单价涨幅以基准价格为基础超过X%时，或材料单价跌幅以已标价工程量清单或预算书中载明材料单价为基础超过X%时，其超过部分据实调整。</w:t>
      </w:r>
    </w:p>
    <w:p w14:paraId="64E638D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承包人在已标价工程量清单或预算书中载明的材料单价高于基准价格的：专用合同条款合同履行期间材料单价跌幅以基准价格为基础超过X%时，材料单价涨幅以已标价工程量清单或预算书中载明材料单价为基础超过X%时，其超过部分据实调整。</w:t>
      </w:r>
    </w:p>
    <w:p w14:paraId="1D3E6CE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③承包人在已标价工程量清单或预算书中载明的材料单价等于基准单价的：专用合同条款合同履行期间材料单价涨跌幅以基准单价为基础超过±X%时，其超过部分据实调整。</w:t>
      </w:r>
    </w:p>
    <w:p w14:paraId="50211F35">
      <w:pPr>
        <w:spacing w:line="360" w:lineRule="auto"/>
        <w:ind w:firstLine="645"/>
        <w:jc w:val="left"/>
        <w:rPr>
          <w:rFonts w:hint="eastAsia" w:ascii="宋体" w:hAnsi="宋体" w:eastAsia="宋体" w:cs="宋体"/>
          <w:sz w:val="24"/>
          <w:szCs w:val="24"/>
        </w:rPr>
      </w:pPr>
      <w:r>
        <w:rPr>
          <w:rFonts w:hint="eastAsia" w:ascii="宋体" w:hAnsi="宋体" w:eastAsia="宋体" w:cs="宋体"/>
          <w:sz w:val="24"/>
          <w:szCs w:val="24"/>
        </w:rPr>
        <w:t>第3种方式：其他价格调整方式：。</w:t>
      </w:r>
    </w:p>
    <w:bookmarkEnd w:id="392"/>
    <w:bookmarkEnd w:id="393"/>
    <w:bookmarkEnd w:id="394"/>
    <w:bookmarkEnd w:id="395"/>
    <w:bookmarkEnd w:id="396"/>
    <w:bookmarkEnd w:id="397"/>
    <w:p w14:paraId="7788B8AC">
      <w:pPr>
        <w:keepNext/>
        <w:keepLines/>
        <w:spacing w:before="120" w:after="120" w:line="360" w:lineRule="auto"/>
        <w:outlineLvl w:val="3"/>
        <w:rPr>
          <w:rFonts w:hint="eastAsia" w:ascii="宋体" w:hAnsi="宋体" w:eastAsia="宋体" w:cs="宋体"/>
          <w:sz w:val="24"/>
          <w:szCs w:val="24"/>
        </w:rPr>
      </w:pPr>
      <w:bookmarkStart w:id="502" w:name="_Toc297048391"/>
      <w:bookmarkStart w:id="503" w:name="_Toc292559410"/>
      <w:bookmarkStart w:id="504" w:name="_Toc297120505"/>
      <w:bookmarkStart w:id="505" w:name="_Toc296891033"/>
      <w:bookmarkStart w:id="506" w:name="_Toc296503205"/>
      <w:bookmarkStart w:id="507" w:name="_Toc292559915"/>
      <w:bookmarkStart w:id="508" w:name="_Toc296944544"/>
      <w:bookmarkStart w:id="509" w:name="_Toc296346706"/>
      <w:bookmarkStart w:id="510" w:name="_Toc296891245"/>
      <w:bookmarkStart w:id="511" w:name="_Toc296347204"/>
      <w:bookmarkStart w:id="512" w:name="_Toc351203644"/>
      <w:bookmarkStart w:id="513" w:name="_Toc304295579"/>
      <w:bookmarkStart w:id="514" w:name="_Toc312678040"/>
      <w:bookmarkStart w:id="515" w:name="_Toc300935002"/>
      <w:bookmarkStart w:id="516" w:name="_Toc297123552"/>
      <w:bookmarkStart w:id="517" w:name="_Toc303539159"/>
      <w:bookmarkStart w:id="518" w:name="_Toc297216211"/>
      <w:r>
        <w:rPr>
          <w:rFonts w:hint="eastAsia" w:ascii="宋体" w:hAnsi="宋体" w:eastAsia="宋体" w:cs="宋体"/>
          <w:sz w:val="24"/>
          <w:szCs w:val="24"/>
        </w:rPr>
        <w:t xml:space="preserve">12. </w:t>
      </w:r>
      <w:bookmarkEnd w:id="502"/>
      <w:bookmarkEnd w:id="503"/>
      <w:bookmarkEnd w:id="504"/>
      <w:bookmarkEnd w:id="505"/>
      <w:bookmarkEnd w:id="506"/>
      <w:bookmarkEnd w:id="507"/>
      <w:bookmarkEnd w:id="508"/>
      <w:bookmarkEnd w:id="509"/>
      <w:bookmarkEnd w:id="510"/>
      <w:bookmarkEnd w:id="511"/>
      <w:r>
        <w:rPr>
          <w:rFonts w:hint="eastAsia" w:ascii="宋体" w:hAnsi="宋体" w:eastAsia="宋体" w:cs="宋体"/>
          <w:sz w:val="24"/>
          <w:szCs w:val="24"/>
        </w:rPr>
        <w:t>合同价格、计量与支付</w:t>
      </w:r>
      <w:bookmarkEnd w:id="512"/>
    </w:p>
    <w:bookmarkEnd w:id="513"/>
    <w:bookmarkEnd w:id="514"/>
    <w:bookmarkEnd w:id="515"/>
    <w:bookmarkEnd w:id="516"/>
    <w:bookmarkEnd w:id="517"/>
    <w:bookmarkEnd w:id="518"/>
    <w:p w14:paraId="3407C1C1">
      <w:pPr>
        <w:spacing w:after="120" w:line="360" w:lineRule="auto"/>
        <w:ind w:firstLine="480" w:firstLineChars="200"/>
        <w:rPr>
          <w:rFonts w:hint="eastAsia" w:ascii="宋体" w:hAnsi="宋体" w:eastAsia="宋体" w:cs="宋体"/>
          <w:sz w:val="24"/>
          <w:szCs w:val="24"/>
        </w:rPr>
      </w:pPr>
      <w:bookmarkStart w:id="519" w:name="_Toc292559411"/>
      <w:bookmarkStart w:id="520" w:name="_Toc292559916"/>
      <w:bookmarkStart w:id="521" w:name="_Toc267251461"/>
      <w:bookmarkStart w:id="522" w:name="_Toc296891034"/>
      <w:bookmarkStart w:id="523" w:name="_Toc296503206"/>
      <w:bookmarkStart w:id="524" w:name="_Toc296944545"/>
      <w:bookmarkStart w:id="525" w:name="_Toc296891246"/>
      <w:bookmarkStart w:id="526" w:name="_Toc296347205"/>
      <w:bookmarkStart w:id="527" w:name="_Toc297048392"/>
      <w:bookmarkStart w:id="528" w:name="_Toc297120506"/>
      <w:bookmarkStart w:id="529" w:name="_Toc296346707"/>
      <w:bookmarkStart w:id="530" w:name="_Toc297123553"/>
      <w:bookmarkStart w:id="531" w:name="_Toc297216212"/>
      <w:bookmarkStart w:id="532" w:name="_Toc312678041"/>
      <w:bookmarkStart w:id="533" w:name="_Toc304295580"/>
      <w:bookmarkStart w:id="534" w:name="_Toc303539160"/>
      <w:bookmarkStart w:id="535" w:name="_Toc300935003"/>
      <w:r>
        <w:rPr>
          <w:rFonts w:hint="eastAsia" w:ascii="宋体" w:hAnsi="宋体" w:eastAsia="宋体" w:cs="宋体"/>
          <w:sz w:val="24"/>
          <w:szCs w:val="24"/>
        </w:rPr>
        <w:t>12.1 合</w:t>
      </w:r>
      <w:bookmarkEnd w:id="519"/>
      <w:bookmarkEnd w:id="520"/>
      <w:bookmarkEnd w:id="521"/>
      <w:r>
        <w:rPr>
          <w:rFonts w:hint="eastAsia" w:ascii="宋体" w:hAnsi="宋体" w:eastAsia="宋体" w:cs="宋体"/>
          <w:sz w:val="24"/>
          <w:szCs w:val="24"/>
        </w:rPr>
        <w:t>同价</w:t>
      </w:r>
      <w:bookmarkEnd w:id="522"/>
      <w:bookmarkEnd w:id="523"/>
      <w:bookmarkEnd w:id="524"/>
      <w:bookmarkEnd w:id="525"/>
      <w:bookmarkEnd w:id="526"/>
      <w:bookmarkEnd w:id="527"/>
      <w:bookmarkEnd w:id="528"/>
      <w:bookmarkEnd w:id="529"/>
      <w:r>
        <w:rPr>
          <w:rFonts w:hint="eastAsia" w:ascii="宋体" w:hAnsi="宋体" w:eastAsia="宋体" w:cs="宋体"/>
          <w:sz w:val="24"/>
          <w:szCs w:val="24"/>
        </w:rPr>
        <w:t>格形式</w:t>
      </w:r>
    </w:p>
    <w:bookmarkEnd w:id="530"/>
    <w:bookmarkEnd w:id="531"/>
    <w:bookmarkEnd w:id="532"/>
    <w:bookmarkEnd w:id="533"/>
    <w:bookmarkEnd w:id="534"/>
    <w:bookmarkEnd w:id="535"/>
    <w:p w14:paraId="3E024DF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12.1.1 单价合同。</w:t>
      </w:r>
    </w:p>
    <w:p w14:paraId="1C7F5F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综合单价包含的风险范围：。</w:t>
      </w:r>
    </w:p>
    <w:p w14:paraId="26B4728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风险费用的计算方法：</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73C75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40191E0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12.1.2 总价合同。</w:t>
      </w:r>
    </w:p>
    <w:p w14:paraId="7ED80B0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总价包含的风险范围：。</w:t>
      </w:r>
    </w:p>
    <w:p w14:paraId="54300FC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风险费用的计算方法：。</w:t>
      </w:r>
    </w:p>
    <w:p w14:paraId="7A78E96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137191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12.1.3 其他价格方式：。</w:t>
      </w:r>
    </w:p>
    <w:p w14:paraId="1D71E6CA">
      <w:pPr>
        <w:spacing w:line="360" w:lineRule="auto"/>
        <w:ind w:firstLine="480" w:firstLineChars="200"/>
        <w:jc w:val="left"/>
        <w:rPr>
          <w:rFonts w:hint="eastAsia" w:ascii="宋体" w:hAnsi="宋体" w:eastAsia="宋体" w:cs="宋体"/>
          <w:sz w:val="24"/>
          <w:szCs w:val="24"/>
        </w:rPr>
      </w:pPr>
    </w:p>
    <w:p w14:paraId="1E9BE5E1">
      <w:pPr>
        <w:spacing w:after="120" w:line="360" w:lineRule="auto"/>
        <w:ind w:firstLine="480" w:firstLineChars="200"/>
        <w:rPr>
          <w:rFonts w:hint="eastAsia" w:ascii="宋体" w:hAnsi="宋体" w:eastAsia="宋体" w:cs="宋体"/>
          <w:sz w:val="24"/>
          <w:szCs w:val="24"/>
        </w:rPr>
      </w:pPr>
      <w:bookmarkStart w:id="536" w:name="_Toc303539161"/>
      <w:bookmarkStart w:id="537" w:name="_Toc297216213"/>
      <w:bookmarkStart w:id="538" w:name="_Toc297123554"/>
      <w:bookmarkStart w:id="539" w:name="_Toc300935004"/>
      <w:bookmarkStart w:id="540" w:name="_Toc304295581"/>
      <w:bookmarkStart w:id="541" w:name="_Toc312678042"/>
      <w:bookmarkStart w:id="542" w:name="_Toc297048393"/>
      <w:bookmarkStart w:id="543" w:name="_Toc296346708"/>
      <w:bookmarkStart w:id="544" w:name="_Toc296891035"/>
      <w:bookmarkStart w:id="545" w:name="_Toc292559412"/>
      <w:bookmarkStart w:id="546" w:name="_Toc296503207"/>
      <w:bookmarkStart w:id="547" w:name="_Toc292559917"/>
      <w:bookmarkStart w:id="548" w:name="_Toc296891247"/>
      <w:bookmarkStart w:id="549" w:name="_Toc296944546"/>
      <w:bookmarkStart w:id="550" w:name="_Toc296347206"/>
      <w:bookmarkStart w:id="551" w:name="_Toc297120507"/>
      <w:r>
        <w:rPr>
          <w:rFonts w:hint="eastAsia" w:ascii="宋体" w:hAnsi="宋体" w:eastAsia="宋体" w:cs="宋体"/>
          <w:sz w:val="24"/>
          <w:szCs w:val="24"/>
        </w:rPr>
        <w:t>12.2 预付款</w:t>
      </w:r>
    </w:p>
    <w:bookmarkEnd w:id="536"/>
    <w:bookmarkEnd w:id="537"/>
    <w:bookmarkEnd w:id="538"/>
    <w:bookmarkEnd w:id="539"/>
    <w:bookmarkEnd w:id="540"/>
    <w:bookmarkEnd w:id="541"/>
    <w:p w14:paraId="325B2E2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12.2.1 预付款的支付</w:t>
      </w:r>
    </w:p>
    <w:p w14:paraId="76E8CA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预付款支付比例或金额（比例20%-40%）：。</w:t>
      </w:r>
    </w:p>
    <w:p w14:paraId="103D757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预付款支付期限：。</w:t>
      </w:r>
    </w:p>
    <w:p w14:paraId="15E2AA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预付款扣回的方式：。</w:t>
      </w:r>
    </w:p>
    <w:p w14:paraId="1A6D0C3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12.2.2 预付款担保</w:t>
      </w:r>
    </w:p>
    <w:p w14:paraId="6C36257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承包人提交预付款担保的期限：。</w:t>
      </w:r>
    </w:p>
    <w:p w14:paraId="4EA2E6A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预付款担保的形式为：。</w:t>
      </w:r>
    </w:p>
    <w:p w14:paraId="357F38A0">
      <w:pPr>
        <w:spacing w:line="360" w:lineRule="auto"/>
        <w:ind w:firstLine="480" w:firstLineChars="200"/>
        <w:jc w:val="left"/>
        <w:rPr>
          <w:rFonts w:hint="eastAsia" w:ascii="宋体" w:hAnsi="宋体" w:eastAsia="宋体" w:cs="宋体"/>
          <w:sz w:val="24"/>
          <w:szCs w:val="24"/>
        </w:rPr>
      </w:pPr>
    </w:p>
    <w:bookmarkEnd w:id="542"/>
    <w:bookmarkEnd w:id="543"/>
    <w:bookmarkEnd w:id="544"/>
    <w:bookmarkEnd w:id="545"/>
    <w:bookmarkEnd w:id="546"/>
    <w:bookmarkEnd w:id="547"/>
    <w:bookmarkEnd w:id="548"/>
    <w:bookmarkEnd w:id="549"/>
    <w:bookmarkEnd w:id="550"/>
    <w:bookmarkEnd w:id="551"/>
    <w:p w14:paraId="50AA15E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计量</w:t>
      </w:r>
    </w:p>
    <w:p w14:paraId="5A1AC8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12.3.1 计量原则</w:t>
      </w:r>
    </w:p>
    <w:p w14:paraId="24A366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工程量计算规则：。</w:t>
      </w:r>
    </w:p>
    <w:p w14:paraId="027AD39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12.3.1.1 总价措施项目的计量</w:t>
      </w:r>
    </w:p>
    <w:p w14:paraId="6F12D44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总价措施项目清单中的项目（除环境保护、安全施工、文明施工、临时设施等以费率计价的项目以外），包干计取，结算不作调整；进度支付时按发包人确认后的工程形象进度比例按月计量。</w:t>
      </w:r>
    </w:p>
    <w:p w14:paraId="723B77F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安全文明施工费的计量、支付与结算按川建发〔2017〕5号执行。</w:t>
      </w:r>
    </w:p>
    <w:p w14:paraId="5A49A52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12.3.1.2规费的计量</w:t>
      </w:r>
    </w:p>
    <w:p w14:paraId="3A6432A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按建设行政主管部门核定的承包人规费费率计量和结算。</w:t>
      </w:r>
    </w:p>
    <w:p w14:paraId="5536FDA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12.3.1.3税金</w:t>
      </w:r>
    </w:p>
    <w:p w14:paraId="7B241DC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税金按国家或省级、行业建设主管部门的规定计取。</w:t>
      </w:r>
    </w:p>
    <w:p w14:paraId="341D7F3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12.3.2 计量周期</w:t>
      </w:r>
    </w:p>
    <w:p w14:paraId="0F75666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关于计量周期的约定：。</w:t>
      </w:r>
    </w:p>
    <w:p w14:paraId="5F11CDE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12.3.3 单价合同的计量</w:t>
      </w:r>
    </w:p>
    <w:p w14:paraId="601E49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关于单价合同计量的约定：。</w:t>
      </w:r>
    </w:p>
    <w:p w14:paraId="14B2467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12.3.4 总价合同的计量</w:t>
      </w:r>
    </w:p>
    <w:p w14:paraId="0329FAF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关于总价合同计量的约定：。</w:t>
      </w:r>
    </w:p>
    <w:p w14:paraId="06D7F8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12.3.5总价合同采用支付分解表计量支付的，是否适用第</w:t>
      </w:r>
      <w:r>
        <w:rPr>
          <w:rFonts w:hint="eastAsia" w:ascii="宋体" w:hAnsi="宋体" w:eastAsia="宋体" w:cs="宋体"/>
          <w:kern w:val="0"/>
          <w:sz w:val="24"/>
          <w:szCs w:val="24"/>
        </w:rPr>
        <w:t xml:space="preserve">12.3.4 </w:t>
      </w:r>
      <w:r>
        <w:rPr>
          <w:rFonts w:hint="eastAsia" w:ascii="宋体" w:hAnsi="宋体" w:eastAsia="宋体" w:cs="宋体"/>
          <w:sz w:val="24"/>
          <w:szCs w:val="24"/>
        </w:rPr>
        <w:t>项</w:t>
      </w:r>
      <w:r>
        <w:rPr>
          <w:rFonts w:hint="eastAsia" w:ascii="宋体" w:hAnsi="宋体" w:eastAsia="宋体" w:cs="宋体"/>
          <w:kern w:val="0"/>
          <w:sz w:val="24"/>
          <w:szCs w:val="24"/>
        </w:rPr>
        <w:t>〔总价合同的计量〕</w:t>
      </w:r>
      <w:r>
        <w:rPr>
          <w:rFonts w:hint="eastAsia" w:ascii="宋体" w:hAnsi="宋体" w:eastAsia="宋体" w:cs="宋体"/>
          <w:sz w:val="24"/>
          <w:szCs w:val="24"/>
        </w:rPr>
        <w:t>约定进行计量：。</w:t>
      </w:r>
    </w:p>
    <w:p w14:paraId="559654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6DA376F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其他价格形式的计量方式和程序：。</w:t>
      </w:r>
    </w:p>
    <w:p w14:paraId="26AA7647">
      <w:pPr>
        <w:spacing w:line="360" w:lineRule="auto"/>
        <w:ind w:firstLine="480" w:firstLineChars="200"/>
        <w:jc w:val="left"/>
        <w:rPr>
          <w:rFonts w:hint="eastAsia" w:ascii="宋体" w:hAnsi="宋体" w:eastAsia="宋体" w:cs="宋体"/>
          <w:sz w:val="24"/>
          <w:szCs w:val="24"/>
        </w:rPr>
      </w:pPr>
    </w:p>
    <w:p w14:paraId="713894A5">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 工程进度款支付</w:t>
      </w:r>
    </w:p>
    <w:p w14:paraId="189B9C2E">
      <w:pPr>
        <w:spacing w:line="360" w:lineRule="auto"/>
        <w:ind w:firstLine="480" w:firstLineChars="200"/>
        <w:jc w:val="left"/>
        <w:rPr>
          <w:rFonts w:hint="eastAsia" w:ascii="宋体" w:hAnsi="宋体" w:eastAsia="宋体" w:cs="宋体"/>
          <w:sz w:val="24"/>
          <w:szCs w:val="24"/>
        </w:rPr>
      </w:pPr>
      <w:bookmarkStart w:id="552" w:name="_Toc296503211"/>
      <w:bookmarkStart w:id="553" w:name="_Toc296891251"/>
      <w:bookmarkStart w:id="554" w:name="_Toc300935006"/>
      <w:bookmarkStart w:id="555" w:name="_Toc292559416"/>
      <w:bookmarkStart w:id="556" w:name="_Toc297120511"/>
      <w:bookmarkStart w:id="557" w:name="_Toc297048397"/>
      <w:bookmarkStart w:id="558" w:name="_Toc297216215"/>
      <w:bookmarkStart w:id="559" w:name="_Toc296891039"/>
      <w:bookmarkStart w:id="560" w:name="_Toc296346712"/>
      <w:bookmarkStart w:id="561" w:name="_Toc296944550"/>
      <w:bookmarkStart w:id="562" w:name="_Toc297123556"/>
      <w:bookmarkStart w:id="563" w:name="_Toc292559921"/>
      <w:bookmarkStart w:id="564" w:name="_Toc296347210"/>
      <w:bookmarkStart w:id="565" w:name="_Toc303539163"/>
      <w:r>
        <w:rPr>
          <w:rFonts w:hint="eastAsia" w:ascii="宋体" w:hAnsi="宋体" w:eastAsia="宋体" w:cs="宋体"/>
          <w:sz w:val="24"/>
          <w:szCs w:val="24"/>
        </w:rPr>
        <w:t>12.4.1 付款周期</w:t>
      </w:r>
    </w:p>
    <w:p w14:paraId="64A84DFF">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关于付款周期的约定：。</w:t>
      </w:r>
    </w:p>
    <w:p w14:paraId="1E56457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18AA3FB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关于进度付款申请单编制的约定：。</w:t>
      </w:r>
    </w:p>
    <w:p w14:paraId="0ABFB04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rFonts w:hint="eastAsia" w:ascii="宋体" w:hAnsi="宋体" w:eastAsia="宋体" w:cs="宋体"/>
          <w:sz w:val="24"/>
          <w:szCs w:val="24"/>
        </w:rPr>
        <w:t>2.4.3 进度付款申请单的提交</w:t>
      </w:r>
    </w:p>
    <w:p w14:paraId="5FE9990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（1）单价合同进度付款申请单提交的约定：。</w:t>
      </w:r>
    </w:p>
    <w:p w14:paraId="64F01BB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（2）总价合同进度付款申请单提交的约定：。</w:t>
      </w:r>
    </w:p>
    <w:p w14:paraId="33BC1D5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p>
    <w:p w14:paraId="21801E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12.4.4 进度款审核和支付</w:t>
      </w:r>
    </w:p>
    <w:p w14:paraId="00B80E03">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（1）监理人审查并报送发包人的期限：。</w:t>
      </w:r>
    </w:p>
    <w:p w14:paraId="3B3193E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p>
    <w:p w14:paraId="62ADF0E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（2）发包人支付进度款的期限：。</w:t>
      </w:r>
    </w:p>
    <w:p w14:paraId="04284193">
      <w:pPr>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发包人逾期支付进度款的违约金的计算方式：。</w:t>
      </w:r>
    </w:p>
    <w:p w14:paraId="2CE52E37">
      <w:pPr>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12.4.5 支付分解表的编制</w:t>
      </w:r>
    </w:p>
    <w:p w14:paraId="19479B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（1）总价合同支付分解表的编制与审批：。</w:t>
      </w:r>
    </w:p>
    <w:p w14:paraId="26DA1D3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（2）单价合同的总价项目支付分解表的编制与审批：。</w:t>
      </w:r>
    </w:p>
    <w:p w14:paraId="761A1E4E">
      <w:pPr>
        <w:spacing w:line="360" w:lineRule="auto"/>
        <w:ind w:firstLine="480" w:firstLineChars="200"/>
        <w:jc w:val="left"/>
        <w:rPr>
          <w:rFonts w:hint="eastAsia" w:ascii="宋体" w:hAnsi="宋体" w:eastAsia="宋体" w:cs="宋体"/>
          <w:sz w:val="24"/>
          <w:szCs w:val="24"/>
        </w:rPr>
      </w:pPr>
    </w:p>
    <w:bookmarkEnd w:id="398"/>
    <w:p w14:paraId="731C6238">
      <w:pPr>
        <w:keepNext/>
        <w:keepLines/>
        <w:spacing w:before="120" w:after="120" w:line="360" w:lineRule="auto"/>
        <w:outlineLvl w:val="3"/>
        <w:rPr>
          <w:rFonts w:hint="eastAsia" w:ascii="宋体" w:hAnsi="宋体" w:eastAsia="宋体" w:cs="宋体"/>
          <w:sz w:val="24"/>
          <w:szCs w:val="24"/>
        </w:rPr>
      </w:pPr>
      <w:bookmarkStart w:id="566" w:name="_Toc351203645"/>
      <w:bookmarkStart w:id="567" w:name="_Toc296891259"/>
      <w:bookmarkStart w:id="568" w:name="_Toc292559929"/>
      <w:bookmarkStart w:id="569" w:name="_Toc300935015"/>
      <w:bookmarkStart w:id="570" w:name="_Toc297048405"/>
      <w:bookmarkStart w:id="571" w:name="_Toc296944558"/>
      <w:bookmarkStart w:id="572" w:name="_Toc296503219"/>
      <w:bookmarkStart w:id="573" w:name="_Toc303539172"/>
      <w:bookmarkStart w:id="574" w:name="_Toc296891047"/>
      <w:bookmarkStart w:id="575" w:name="_Toc297123564"/>
      <w:bookmarkStart w:id="576" w:name="_Toc297216223"/>
      <w:bookmarkStart w:id="577" w:name="_Toc292559424"/>
      <w:bookmarkStart w:id="578" w:name="_Toc297120519"/>
      <w:bookmarkStart w:id="579" w:name="_Toc296347218"/>
      <w:bookmarkStart w:id="580" w:name="_Toc312678053"/>
      <w:bookmarkStart w:id="581" w:name="_Toc296346720"/>
      <w:bookmarkStart w:id="582" w:name="_Toc304295593"/>
      <w:r>
        <w:rPr>
          <w:rFonts w:hint="eastAsia" w:ascii="宋体" w:hAnsi="宋体" w:eastAsia="宋体" w:cs="宋体"/>
          <w:sz w:val="24"/>
          <w:szCs w:val="24"/>
        </w:rPr>
        <w:t>13.验收和工程试车</w:t>
      </w:r>
      <w:bookmarkEnd w:id="566"/>
    </w:p>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14:paraId="691066E7">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分部分项工程验收</w:t>
      </w:r>
    </w:p>
    <w:p w14:paraId="1C658FC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13.1.1监理人不能按时进行验收时，应提前X小时提交书面延期要求。</w:t>
      </w:r>
    </w:p>
    <w:p w14:paraId="7D6C9ED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关于延期最长不得超过：X小时。</w:t>
      </w:r>
    </w:p>
    <w:p w14:paraId="7AFE613C">
      <w:pPr>
        <w:spacing w:line="360" w:lineRule="auto"/>
        <w:ind w:firstLine="480" w:firstLineChars="200"/>
        <w:jc w:val="left"/>
        <w:rPr>
          <w:rFonts w:hint="eastAsia" w:ascii="宋体" w:hAnsi="宋体" w:eastAsia="宋体" w:cs="宋体"/>
          <w:sz w:val="24"/>
          <w:szCs w:val="24"/>
        </w:rPr>
      </w:pPr>
    </w:p>
    <w:p w14:paraId="09FF5D1F">
      <w:pPr>
        <w:spacing w:after="120" w:line="360" w:lineRule="auto"/>
        <w:ind w:firstLine="480" w:firstLineChars="200"/>
        <w:rPr>
          <w:rFonts w:hint="eastAsia" w:ascii="宋体" w:hAnsi="宋体" w:eastAsia="宋体" w:cs="宋体"/>
          <w:sz w:val="24"/>
          <w:szCs w:val="24"/>
        </w:rPr>
      </w:pPr>
      <w:bookmarkStart w:id="583" w:name="_Toc292559428"/>
      <w:bookmarkStart w:id="584" w:name="_Toc297216224"/>
      <w:bookmarkStart w:id="585" w:name="_Toc292559933"/>
      <w:bookmarkStart w:id="586" w:name="_Toc296944562"/>
      <w:bookmarkStart w:id="587" w:name="_Toc296346724"/>
      <w:bookmarkStart w:id="588" w:name="_Toc300935016"/>
      <w:bookmarkStart w:id="589" w:name="_Toc312678056"/>
      <w:bookmarkStart w:id="590" w:name="_Toc297048409"/>
      <w:bookmarkStart w:id="591" w:name="_Toc296503223"/>
      <w:bookmarkStart w:id="592" w:name="_Toc296891263"/>
      <w:bookmarkStart w:id="593" w:name="_Toc303539173"/>
      <w:bookmarkStart w:id="594" w:name="_Toc297123565"/>
      <w:bookmarkStart w:id="595" w:name="_Toc296891051"/>
      <w:bookmarkStart w:id="596" w:name="_Toc296347222"/>
      <w:bookmarkStart w:id="597" w:name="_Toc304295596"/>
      <w:bookmarkStart w:id="598" w:name="_Toc297120523"/>
      <w:bookmarkStart w:id="599" w:name="_Toc267251471"/>
      <w:bookmarkStart w:id="600" w:name="_Toc267251472"/>
      <w:bookmarkStart w:id="601" w:name="_Toc267251476"/>
      <w:bookmarkStart w:id="602" w:name="_Toc267251473"/>
      <w:bookmarkStart w:id="603" w:name="_Toc267251470"/>
      <w:bookmarkStart w:id="604" w:name="_Toc267251475"/>
      <w:bookmarkStart w:id="605" w:name="_Toc267251474"/>
      <w:r>
        <w:rPr>
          <w:rFonts w:hint="eastAsia" w:ascii="宋体" w:hAnsi="宋体" w:eastAsia="宋体" w:cs="宋体"/>
          <w:sz w:val="24"/>
          <w:szCs w:val="24"/>
        </w:rPr>
        <w:t>13.2 竣工验收</w:t>
      </w:r>
    </w:p>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0B1F1307">
      <w:pPr>
        <w:spacing w:line="360" w:lineRule="auto"/>
        <w:ind w:firstLine="480" w:firstLineChars="200"/>
        <w:jc w:val="left"/>
        <w:rPr>
          <w:rFonts w:hint="eastAsia" w:ascii="宋体" w:hAnsi="宋体" w:eastAsia="宋体" w:cs="宋体"/>
          <w:sz w:val="24"/>
          <w:szCs w:val="24"/>
        </w:rPr>
      </w:pPr>
      <w:bookmarkStart w:id="606" w:name="_Toc280868704"/>
      <w:bookmarkStart w:id="607" w:name="_Toc280868705"/>
      <w:bookmarkStart w:id="608" w:name="_Toc280868706"/>
      <w:bookmarkStart w:id="609" w:name="_Toc280868707"/>
      <w:bookmarkStart w:id="610" w:name="_Toc280868708"/>
      <w:bookmarkStart w:id="611" w:name="_Toc280868709"/>
      <w:r>
        <w:rPr>
          <w:rFonts w:hint="eastAsia" w:ascii="宋体" w:hAnsi="宋体" w:eastAsia="宋体" w:cs="宋体"/>
          <w:sz w:val="24"/>
          <w:szCs w:val="24"/>
        </w:rPr>
        <w:t>13.2.1 竣工验收程序</w:t>
      </w:r>
    </w:p>
    <w:bookmarkEnd w:id="606"/>
    <w:p w14:paraId="3E4EBE3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关于竣工验收程序的约定：</w:t>
      </w:r>
      <w:r>
        <w:rPr>
          <w:rFonts w:hint="eastAsia" w:ascii="宋体" w:hAnsi="宋体" w:eastAsia="宋体" w:cs="宋体"/>
          <w:sz w:val="24"/>
          <w:szCs w:val="24"/>
        </w:rPr>
        <w:t>。</w:t>
      </w:r>
    </w:p>
    <w:p w14:paraId="0DB1BC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发包人不按照本项约定组织竣工验收、颁发工程接收证书的违约金的计算方法：</w:t>
      </w:r>
      <w:r>
        <w:rPr>
          <w:rFonts w:hint="eastAsia" w:ascii="宋体" w:hAnsi="宋体" w:eastAsia="宋体" w:cs="宋体"/>
          <w:sz w:val="24"/>
          <w:szCs w:val="24"/>
        </w:rPr>
        <w:t>。</w:t>
      </w:r>
    </w:p>
    <w:bookmarkEnd w:id="607"/>
    <w:p w14:paraId="762A3CB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13.2.2移交、接收全部与部分工程</w:t>
      </w:r>
    </w:p>
    <w:bookmarkEnd w:id="608"/>
    <w:p w14:paraId="7CFF262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承包人向发包人移交工程的期限：</w:t>
      </w:r>
      <w:r>
        <w:rPr>
          <w:rFonts w:hint="eastAsia" w:ascii="宋体" w:hAnsi="宋体" w:eastAsia="宋体" w:cs="宋体"/>
          <w:sz w:val="24"/>
          <w:szCs w:val="24"/>
        </w:rPr>
        <w:t>。</w:t>
      </w:r>
    </w:p>
    <w:p w14:paraId="2392E8B3">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kern w:val="0"/>
          <w:sz w:val="24"/>
          <w:szCs w:val="24"/>
        </w:rPr>
        <w:t>发包人未按本合同约定接收全部或部分工程的，违约金的计算方法为：</w:t>
      </w:r>
      <w:r>
        <w:rPr>
          <w:rFonts w:hint="eastAsia" w:ascii="宋体" w:hAnsi="宋体" w:eastAsia="宋体" w:cs="宋体"/>
          <w:sz w:val="24"/>
          <w:szCs w:val="24"/>
        </w:rPr>
        <w:t>。</w:t>
      </w:r>
    </w:p>
    <w:bookmarkEnd w:id="609"/>
    <w:p w14:paraId="78943D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p>
    <w:p w14:paraId="7980C670">
      <w:pPr>
        <w:spacing w:line="360" w:lineRule="auto"/>
        <w:ind w:firstLine="480" w:firstLineChars="200"/>
        <w:jc w:val="left"/>
        <w:rPr>
          <w:rFonts w:hint="eastAsia" w:ascii="宋体" w:hAnsi="宋体" w:eastAsia="宋体" w:cs="宋体"/>
          <w:sz w:val="24"/>
          <w:szCs w:val="24"/>
        </w:rPr>
      </w:pPr>
    </w:p>
    <w:p w14:paraId="49727B73">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工程试车</w:t>
      </w:r>
    </w:p>
    <w:bookmarkEnd w:id="610"/>
    <w:p w14:paraId="4820957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13.3.1 试车程序</w:t>
      </w:r>
    </w:p>
    <w:p w14:paraId="472CBC6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工程试车内容：</w:t>
      </w:r>
      <w:r>
        <w:rPr>
          <w:rFonts w:hint="eastAsia" w:ascii="宋体" w:hAnsi="宋体" w:eastAsia="宋体" w:cs="宋体"/>
          <w:sz w:val="24"/>
          <w:szCs w:val="24"/>
        </w:rPr>
        <w:t>。</w:t>
      </w:r>
    </w:p>
    <w:p w14:paraId="30C358E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（1）单机无负荷试车费用由承担；</w:t>
      </w:r>
    </w:p>
    <w:p w14:paraId="33DB3EEC">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（2）无负荷联动试车费用由承担。</w:t>
      </w:r>
    </w:p>
    <w:p w14:paraId="0BB0A14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13.3.2 投料试车</w:t>
      </w:r>
    </w:p>
    <w:p w14:paraId="4224497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关于投料试车相关事项的约定：</w:t>
      </w:r>
      <w:r>
        <w:rPr>
          <w:rFonts w:hint="eastAsia" w:ascii="宋体" w:hAnsi="宋体" w:eastAsia="宋体" w:cs="宋体"/>
          <w:sz w:val="24"/>
          <w:szCs w:val="24"/>
        </w:rPr>
        <w:t>。</w:t>
      </w:r>
    </w:p>
    <w:p w14:paraId="20266BD3">
      <w:pPr>
        <w:spacing w:line="360" w:lineRule="auto"/>
        <w:ind w:firstLine="480" w:firstLineChars="200"/>
        <w:jc w:val="left"/>
        <w:rPr>
          <w:rFonts w:hint="eastAsia" w:ascii="宋体" w:hAnsi="宋体" w:eastAsia="宋体" w:cs="宋体"/>
          <w:sz w:val="24"/>
          <w:szCs w:val="24"/>
        </w:rPr>
      </w:pPr>
    </w:p>
    <w:p w14:paraId="6F5BEBC6">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13.4 竣工退场</w:t>
      </w:r>
    </w:p>
    <w:p w14:paraId="33E0932C">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13.4.1 竣工退场</w:t>
      </w:r>
    </w:p>
    <w:p w14:paraId="6E7FD59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承包人完成竣工退场的期限：。</w:t>
      </w:r>
    </w:p>
    <w:p w14:paraId="65FB0B90">
      <w:pPr>
        <w:spacing w:line="360" w:lineRule="auto"/>
        <w:ind w:firstLine="480" w:firstLineChars="200"/>
        <w:jc w:val="left"/>
        <w:rPr>
          <w:rFonts w:hint="eastAsia" w:ascii="宋体" w:hAnsi="宋体" w:eastAsia="宋体" w:cs="宋体"/>
          <w:kern w:val="0"/>
          <w:sz w:val="24"/>
          <w:szCs w:val="24"/>
        </w:rPr>
      </w:pPr>
    </w:p>
    <w:p w14:paraId="3BFA1110">
      <w:pPr>
        <w:keepNext/>
        <w:keepLines/>
        <w:spacing w:before="120" w:after="120" w:line="360" w:lineRule="auto"/>
        <w:outlineLvl w:val="3"/>
        <w:rPr>
          <w:rFonts w:hint="eastAsia" w:ascii="宋体" w:hAnsi="宋体" w:eastAsia="宋体" w:cs="宋体"/>
          <w:sz w:val="24"/>
          <w:szCs w:val="24"/>
        </w:rPr>
      </w:pPr>
      <w:bookmarkStart w:id="612" w:name="_Toc351203646"/>
      <w:r>
        <w:rPr>
          <w:rFonts w:hint="eastAsia" w:ascii="宋体" w:hAnsi="宋体" w:eastAsia="宋体" w:cs="宋体"/>
          <w:sz w:val="24"/>
          <w:szCs w:val="24"/>
        </w:rPr>
        <w:t>14. 竣工结算</w:t>
      </w:r>
      <w:bookmarkEnd w:id="612"/>
    </w:p>
    <w:p w14:paraId="1D877E2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竣工结算申请</w:t>
      </w:r>
    </w:p>
    <w:p w14:paraId="62E3DF1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承包人提交竣工结算申请单的期限：。</w:t>
      </w:r>
    </w:p>
    <w:p w14:paraId="77C3A28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竣工结算申请单应包括的内容：。</w:t>
      </w:r>
    </w:p>
    <w:p w14:paraId="7844A96E">
      <w:pPr>
        <w:spacing w:line="360" w:lineRule="auto"/>
        <w:ind w:firstLine="480" w:firstLineChars="200"/>
        <w:jc w:val="left"/>
        <w:rPr>
          <w:rFonts w:hint="eastAsia" w:ascii="宋体" w:hAnsi="宋体" w:eastAsia="宋体" w:cs="宋体"/>
          <w:sz w:val="24"/>
          <w:szCs w:val="24"/>
        </w:rPr>
      </w:pPr>
    </w:p>
    <w:p w14:paraId="4E50E914">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14.2 竣工结算审核</w:t>
      </w:r>
    </w:p>
    <w:p w14:paraId="08D04B7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p w14:paraId="0ADD018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发包人完成竣工付款的期限：。</w:t>
      </w:r>
    </w:p>
    <w:p w14:paraId="58C68F5C">
      <w:pPr>
        <w:tabs>
          <w:tab w:val="left" w:pos="7797"/>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关于竣工付款证书异议部分复核的方式和程序：。</w:t>
      </w:r>
    </w:p>
    <w:p w14:paraId="371566CB">
      <w:pPr>
        <w:tabs>
          <w:tab w:val="left" w:pos="7797"/>
        </w:tabs>
        <w:spacing w:line="360" w:lineRule="auto"/>
        <w:ind w:firstLine="480" w:firstLineChars="200"/>
        <w:jc w:val="left"/>
        <w:rPr>
          <w:rFonts w:hint="eastAsia" w:ascii="宋体" w:hAnsi="宋体" w:eastAsia="宋体" w:cs="宋体"/>
          <w:sz w:val="24"/>
          <w:szCs w:val="24"/>
        </w:rPr>
      </w:pPr>
    </w:p>
    <w:p w14:paraId="26E43BE0">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 最终结清</w:t>
      </w:r>
    </w:p>
    <w:p w14:paraId="0BE28F6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14.3.1 最终结清申请单</w:t>
      </w:r>
    </w:p>
    <w:p w14:paraId="578F0998">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承包人提交最终结清申请单的份数：</w:t>
      </w:r>
      <w:r>
        <w:rPr>
          <w:rFonts w:hint="eastAsia" w:ascii="宋体" w:hAnsi="宋体" w:eastAsia="宋体" w:cs="宋体"/>
          <w:sz w:val="24"/>
          <w:szCs w:val="24"/>
        </w:rPr>
        <w:t>。</w:t>
      </w:r>
    </w:p>
    <w:p w14:paraId="749D18A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承包人提交最终结算申请单的期限：</w:t>
      </w:r>
      <w:r>
        <w:rPr>
          <w:rFonts w:hint="eastAsia" w:ascii="宋体" w:hAnsi="宋体" w:eastAsia="宋体" w:cs="宋体"/>
          <w:sz w:val="24"/>
          <w:szCs w:val="24"/>
        </w:rPr>
        <w:t>。</w:t>
      </w:r>
    </w:p>
    <w:p w14:paraId="47D2113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14.3.2 最终结清证书和支付</w:t>
      </w:r>
    </w:p>
    <w:p w14:paraId="03E93F5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p>
    <w:p w14:paraId="3AF2F5D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（2）发包人完成支付的期限：。</w:t>
      </w:r>
    </w:p>
    <w:p w14:paraId="24DFD7C0">
      <w:pPr>
        <w:spacing w:line="360" w:lineRule="auto"/>
        <w:ind w:firstLine="480" w:firstLineChars="200"/>
        <w:jc w:val="left"/>
        <w:rPr>
          <w:rFonts w:hint="eastAsia" w:ascii="宋体" w:hAnsi="宋体" w:eastAsia="宋体" w:cs="宋体"/>
          <w:sz w:val="24"/>
          <w:szCs w:val="24"/>
        </w:rPr>
      </w:pPr>
    </w:p>
    <w:bookmarkEnd w:id="599"/>
    <w:bookmarkEnd w:id="600"/>
    <w:bookmarkEnd w:id="601"/>
    <w:bookmarkEnd w:id="602"/>
    <w:bookmarkEnd w:id="603"/>
    <w:bookmarkEnd w:id="604"/>
    <w:bookmarkEnd w:id="605"/>
    <w:bookmarkEnd w:id="611"/>
    <w:p w14:paraId="2391345F">
      <w:pPr>
        <w:keepNext/>
        <w:keepLines/>
        <w:spacing w:before="120" w:after="120" w:line="360" w:lineRule="auto"/>
        <w:outlineLvl w:val="3"/>
        <w:rPr>
          <w:rFonts w:hint="eastAsia" w:ascii="宋体" w:hAnsi="宋体" w:eastAsia="宋体" w:cs="宋体"/>
          <w:sz w:val="24"/>
          <w:szCs w:val="24"/>
        </w:rPr>
      </w:pPr>
      <w:bookmarkStart w:id="613" w:name="_Toc351203647"/>
      <w:bookmarkStart w:id="614" w:name="_Toc267251483"/>
      <w:bookmarkStart w:id="615" w:name="_Toc267251484"/>
      <w:bookmarkStart w:id="616" w:name="_Toc267251482"/>
      <w:bookmarkStart w:id="617" w:name="_Toc267251485"/>
      <w:bookmarkStart w:id="618" w:name="_Toc267251488"/>
      <w:bookmarkStart w:id="619" w:name="_Toc267251490"/>
      <w:bookmarkStart w:id="620" w:name="_Toc267251489"/>
      <w:bookmarkStart w:id="621" w:name="_Toc267251486"/>
      <w:bookmarkStart w:id="622" w:name="_Toc267251492"/>
      <w:bookmarkStart w:id="623" w:name="_Toc267251496"/>
      <w:bookmarkStart w:id="624" w:name="_Toc267251493"/>
      <w:bookmarkStart w:id="625" w:name="_Toc267251501"/>
      <w:bookmarkStart w:id="626" w:name="_Toc267251495"/>
      <w:bookmarkStart w:id="627" w:name="_Toc267251498"/>
      <w:bookmarkStart w:id="628" w:name="_Toc267251503"/>
      <w:bookmarkStart w:id="629" w:name="_Toc267251502"/>
      <w:bookmarkStart w:id="630" w:name="_Toc267251499"/>
      <w:bookmarkStart w:id="631" w:name="_Toc267251491"/>
      <w:bookmarkStart w:id="632" w:name="_Toc267251494"/>
      <w:bookmarkStart w:id="633" w:name="_Toc267251497"/>
      <w:bookmarkStart w:id="634" w:name="_Toc267251506"/>
      <w:bookmarkStart w:id="635" w:name="_Toc267251504"/>
      <w:bookmarkStart w:id="636" w:name="_Toc267251507"/>
      <w:bookmarkStart w:id="637" w:name="_Toc267251508"/>
      <w:bookmarkStart w:id="638" w:name="_Toc267251509"/>
      <w:bookmarkStart w:id="639" w:name="_Toc267251515"/>
      <w:bookmarkStart w:id="640" w:name="_Toc267251511"/>
      <w:bookmarkStart w:id="641" w:name="_Toc267251514"/>
      <w:bookmarkStart w:id="642" w:name="_Toc267251510"/>
      <w:bookmarkStart w:id="643" w:name="_Toc267251513"/>
      <w:r>
        <w:rPr>
          <w:rFonts w:hint="eastAsia" w:ascii="宋体" w:hAnsi="宋体" w:eastAsia="宋体" w:cs="宋体"/>
          <w:sz w:val="24"/>
          <w:szCs w:val="24"/>
        </w:rPr>
        <w:t>15. 缺陷责任期与保修</w:t>
      </w:r>
      <w:bookmarkEnd w:id="613"/>
    </w:p>
    <w:p w14:paraId="1DB7713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15.1缺陷责任期</w:t>
      </w:r>
      <w:bookmarkEnd w:id="614"/>
    </w:p>
    <w:p w14:paraId="76372A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缺陷责任期的具体期限：。</w:t>
      </w:r>
    </w:p>
    <w:p w14:paraId="7FD8B8E7">
      <w:pPr>
        <w:spacing w:line="360" w:lineRule="auto"/>
        <w:ind w:firstLine="480" w:firstLineChars="200"/>
        <w:jc w:val="left"/>
        <w:rPr>
          <w:rFonts w:hint="eastAsia" w:ascii="宋体" w:hAnsi="宋体" w:eastAsia="宋体" w:cs="宋体"/>
          <w:sz w:val="24"/>
          <w:szCs w:val="24"/>
        </w:rPr>
      </w:pPr>
    </w:p>
    <w:p w14:paraId="577064BE">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15.2 质量保证金</w:t>
      </w:r>
    </w:p>
    <w:p w14:paraId="5D2D797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关于是否扣留质量保证金的约定：。在工程项目竣工前，承包人按专用合同条款第3.7条提供履约担保的，发包人不得同时预留工程质量保证金。</w:t>
      </w:r>
    </w:p>
    <w:p w14:paraId="65FCC5A8">
      <w:pPr>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15.2.1 承包人提供质量保证金的方式</w:t>
      </w:r>
    </w:p>
    <w:p w14:paraId="774F3A7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质量保证金采用以下第种方式：</w:t>
      </w:r>
    </w:p>
    <w:p w14:paraId="21FEA75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（1）质量保证金保函，保证金额为：；</w:t>
      </w:r>
    </w:p>
    <w:p w14:paraId="4F38FBD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（2）%的工程款；</w:t>
      </w:r>
    </w:p>
    <w:p w14:paraId="0E2BBD31">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（3）其他方式:。</w:t>
      </w:r>
    </w:p>
    <w:p w14:paraId="615794E6">
      <w:pPr>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15.2.2 质量保证金的扣留</w:t>
      </w:r>
    </w:p>
    <w:p w14:paraId="408EE9C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1E236960">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（1）在支付工程进度款时逐次扣留，在此情形下，质量保证金的计算基数不包括预付款的支付、扣回以及价格调整的金额；</w:t>
      </w:r>
    </w:p>
    <w:p w14:paraId="4509577F">
      <w:pPr>
        <w:autoSpaceDE w:val="0"/>
        <w:autoSpaceDN w:val="0"/>
        <w:adjustRightInd w:val="0"/>
        <w:spacing w:line="360" w:lineRule="auto"/>
        <w:ind w:firstLine="480" w:firstLineChars="200"/>
        <w:jc w:val="left"/>
        <w:outlineLvl w:val="0"/>
        <w:rPr>
          <w:rFonts w:hint="eastAsia" w:ascii="宋体" w:hAnsi="宋体" w:eastAsia="宋体" w:cs="宋体"/>
          <w:kern w:val="0"/>
          <w:sz w:val="24"/>
          <w:szCs w:val="24"/>
        </w:rPr>
      </w:pPr>
      <w:r>
        <w:rPr>
          <w:rFonts w:hint="eastAsia" w:ascii="宋体" w:hAnsi="宋体" w:eastAsia="宋体" w:cs="宋体"/>
          <w:kern w:val="0"/>
          <w:sz w:val="24"/>
          <w:szCs w:val="24"/>
        </w:rPr>
        <w:t>（2）工程竣工结算时一次性扣留质量保证金；</w:t>
      </w:r>
    </w:p>
    <w:p w14:paraId="3E1F516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（3）其他扣留方式:。</w:t>
      </w:r>
    </w:p>
    <w:p w14:paraId="750EB32C">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关于质量保证金的补充约定：</w:t>
      </w:r>
      <w:r>
        <w:rPr>
          <w:rFonts w:hint="eastAsia" w:ascii="宋体" w:hAnsi="宋体" w:eastAsia="宋体" w:cs="宋体"/>
          <w:kern w:val="0"/>
          <w:sz w:val="24"/>
          <w:szCs w:val="24"/>
        </w:rPr>
        <w:t>。</w:t>
      </w:r>
    </w:p>
    <w:p w14:paraId="315B2AD3">
      <w:pPr>
        <w:spacing w:line="360" w:lineRule="auto"/>
        <w:ind w:firstLine="480" w:firstLineChars="200"/>
        <w:jc w:val="left"/>
        <w:rPr>
          <w:rFonts w:hint="eastAsia" w:ascii="宋体" w:hAnsi="宋体" w:eastAsia="宋体" w:cs="宋体"/>
          <w:kern w:val="0"/>
          <w:sz w:val="24"/>
          <w:szCs w:val="24"/>
        </w:rPr>
      </w:pPr>
    </w:p>
    <w:bookmarkEnd w:id="615"/>
    <w:bookmarkEnd w:id="616"/>
    <w:p w14:paraId="2BEF07F0">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15.3保修</w:t>
      </w:r>
    </w:p>
    <w:bookmarkEnd w:id="617"/>
    <w:p w14:paraId="777175BF">
      <w:pPr>
        <w:spacing w:line="36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15.3.1 保修责任</w:t>
      </w:r>
    </w:p>
    <w:p w14:paraId="6580F56C">
      <w:pPr>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sz w:val="24"/>
          <w:szCs w:val="24"/>
        </w:rPr>
        <w:t>工程保修期为：</w:t>
      </w:r>
      <w:r>
        <w:rPr>
          <w:rFonts w:hint="eastAsia" w:ascii="宋体" w:hAnsi="宋体" w:eastAsia="宋体" w:cs="宋体"/>
          <w:kern w:val="0"/>
          <w:sz w:val="24"/>
          <w:szCs w:val="24"/>
        </w:rPr>
        <w:t>。</w:t>
      </w:r>
    </w:p>
    <w:p w14:paraId="51B92DE7">
      <w:pPr>
        <w:spacing w:line="36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15.3.2 修复通知</w:t>
      </w:r>
    </w:p>
    <w:p w14:paraId="1FEE5B2E">
      <w:pPr>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承包人收到保修通知并到达工程现场的合理时间：。</w:t>
      </w:r>
    </w:p>
    <w:p w14:paraId="5D3D23C4">
      <w:pPr>
        <w:spacing w:line="360" w:lineRule="auto"/>
        <w:ind w:firstLine="468" w:firstLineChars="195"/>
        <w:jc w:val="left"/>
        <w:rPr>
          <w:rFonts w:hint="eastAsia" w:ascii="宋体" w:hAnsi="宋体" w:eastAsia="宋体" w:cs="宋体"/>
          <w:kern w:val="0"/>
          <w:sz w:val="24"/>
          <w:szCs w:val="24"/>
        </w:rPr>
      </w:pPr>
    </w:p>
    <w:bookmarkEnd w:id="618"/>
    <w:bookmarkEnd w:id="619"/>
    <w:bookmarkEnd w:id="620"/>
    <w:bookmarkEnd w:id="621"/>
    <w:p w14:paraId="0BEFDB31">
      <w:pPr>
        <w:keepNext/>
        <w:keepLines/>
        <w:spacing w:before="120" w:after="120" w:line="360" w:lineRule="auto"/>
        <w:outlineLvl w:val="3"/>
        <w:rPr>
          <w:rFonts w:hint="eastAsia" w:ascii="宋体" w:hAnsi="宋体" w:eastAsia="宋体" w:cs="宋体"/>
          <w:sz w:val="24"/>
          <w:szCs w:val="24"/>
        </w:rPr>
      </w:pPr>
      <w:bookmarkStart w:id="644" w:name="_Toc351203648"/>
      <w:bookmarkStart w:id="645" w:name="_Toc280868717"/>
      <w:bookmarkStart w:id="646" w:name="_Toc280868718"/>
      <w:r>
        <w:rPr>
          <w:rFonts w:hint="eastAsia" w:ascii="宋体" w:hAnsi="宋体" w:eastAsia="宋体" w:cs="宋体"/>
          <w:sz w:val="24"/>
          <w:szCs w:val="24"/>
        </w:rPr>
        <w:t>16. 违约</w:t>
      </w:r>
      <w:bookmarkEnd w:id="644"/>
    </w:p>
    <w:p w14:paraId="396589E0">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16.1 发包人违约</w:t>
      </w:r>
    </w:p>
    <w:p w14:paraId="13167DA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16.1.1发包人违约的情形</w:t>
      </w:r>
    </w:p>
    <w:p w14:paraId="2CE3848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发包人违约的其他情形：。</w:t>
      </w:r>
    </w:p>
    <w:p w14:paraId="19060D1C">
      <w:pPr>
        <w:spacing w:line="360" w:lineRule="auto"/>
        <w:ind w:left="31680" w:hanging="1200" w:hangingChars="5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16.1.2 发包人违约的责任</w:t>
      </w:r>
    </w:p>
    <w:p w14:paraId="6E398D1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发包人违约责任的承担方式和计算方法：</w:t>
      </w:r>
    </w:p>
    <w:p w14:paraId="10BC8133">
      <w:pPr>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（1）因发包人原因未能在计划开工日期前7天内下达开工通知的违约责任：。</w:t>
      </w:r>
    </w:p>
    <w:p w14:paraId="312D5EC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（2）因发包人原因未能按合同约定支付合同价款的违约责任：。</w:t>
      </w:r>
    </w:p>
    <w:p w14:paraId="7B87CAE6">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（3）发包人违反第10.1款〔变更的范围〕第（2）项约定，自行实施被取消的工作或转由他人实施的违约责任：。</w:t>
      </w:r>
    </w:p>
    <w:p w14:paraId="0037CDE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（4）发包人提供的材料、工程设备的规格、数量或质量不符合合同约定，或因发包人原因导致交货日期延误或交货地点变更等情况的违约责任：。</w:t>
      </w:r>
    </w:p>
    <w:p w14:paraId="34D856B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（5）因发包人违反合同约定造成暂停施工的违约责任：。</w:t>
      </w:r>
    </w:p>
    <w:p w14:paraId="2746C6C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（6）发包人无正当理由没有在约定期限内发出复工指示，导致承包人无法复工的违约责任：。</w:t>
      </w:r>
    </w:p>
    <w:p w14:paraId="191F764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（7）其他：。</w:t>
      </w:r>
    </w:p>
    <w:p w14:paraId="1338F81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5F336364">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承包人按16.1.1项〔发包人违约的情形〕约定暂停施工满天后发包人仍不纠正其违约行为并致使合同目的不能实现的，承包人有权解除合同。</w:t>
      </w:r>
    </w:p>
    <w:p w14:paraId="3E6AE852">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358E3A82">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16.2 承包人违约</w:t>
      </w:r>
    </w:p>
    <w:p w14:paraId="5F00AC7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16.2.1 承包人违约的情形</w:t>
      </w:r>
    </w:p>
    <w:p w14:paraId="06D5B927">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承包人违约的其他情形：。</w:t>
      </w:r>
    </w:p>
    <w:p w14:paraId="6C51561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16.2.2承包人违约的责任</w:t>
      </w:r>
    </w:p>
    <w:p w14:paraId="5BC57C3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承包人违约责任的承担方式和计算方法：。</w:t>
      </w:r>
    </w:p>
    <w:p w14:paraId="45D1BF3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16.2.3 因承包人违约解除合同</w:t>
      </w:r>
    </w:p>
    <w:p w14:paraId="7A9B5690">
      <w:pPr>
        <w:spacing w:before="120" w:after="12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关于承包人违约解除合同的特别约定：。</w:t>
      </w:r>
    </w:p>
    <w:p w14:paraId="14459F60">
      <w:pPr>
        <w:spacing w:before="120" w:after="12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发包人继续使用承包人在施工现场的材料、设备、临时工程、承包人文件和由承包人或以其名义编制的其他文件的费用承担方式：。</w:t>
      </w:r>
    </w:p>
    <w:p w14:paraId="1803B518">
      <w:pPr>
        <w:spacing w:before="120" w:after="120" w:line="360" w:lineRule="auto"/>
        <w:ind w:firstLine="480" w:firstLineChars="200"/>
        <w:rPr>
          <w:rFonts w:hint="eastAsia" w:ascii="宋体" w:hAnsi="宋体" w:eastAsia="宋体" w:cs="宋体"/>
          <w:kern w:val="0"/>
          <w:sz w:val="24"/>
          <w:szCs w:val="24"/>
        </w:rPr>
      </w:pPr>
    </w:p>
    <w:p w14:paraId="72D0F673">
      <w:pPr>
        <w:keepNext/>
        <w:keepLines/>
        <w:spacing w:before="120" w:after="120" w:line="360" w:lineRule="auto"/>
        <w:outlineLvl w:val="3"/>
        <w:rPr>
          <w:rFonts w:hint="eastAsia" w:ascii="宋体" w:hAnsi="宋体" w:eastAsia="宋体" w:cs="宋体"/>
          <w:sz w:val="24"/>
          <w:szCs w:val="24"/>
        </w:rPr>
      </w:pPr>
      <w:bookmarkStart w:id="647" w:name="_Toc351203649"/>
      <w:r>
        <w:rPr>
          <w:rFonts w:hint="eastAsia" w:ascii="宋体" w:hAnsi="宋体" w:eastAsia="宋体" w:cs="宋体"/>
          <w:sz w:val="24"/>
          <w:szCs w:val="24"/>
        </w:rPr>
        <w:t>17. 不可抗力</w:t>
      </w:r>
      <w:bookmarkEnd w:id="645"/>
      <w:bookmarkEnd w:id="647"/>
    </w:p>
    <w:p w14:paraId="378C1B32">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不可抗力的确认</w:t>
      </w:r>
    </w:p>
    <w:p w14:paraId="0965F19E">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kern w:val="0"/>
          <w:sz w:val="24"/>
          <w:szCs w:val="24"/>
        </w:rPr>
        <w:t>。</w:t>
      </w:r>
    </w:p>
    <w:p w14:paraId="6C70B5E7">
      <w:pPr>
        <w:spacing w:line="360" w:lineRule="auto"/>
        <w:ind w:firstLine="480" w:firstLineChars="200"/>
        <w:jc w:val="left"/>
        <w:rPr>
          <w:rFonts w:hint="eastAsia" w:ascii="宋体" w:hAnsi="宋体" w:eastAsia="宋体" w:cs="宋体"/>
          <w:kern w:val="0"/>
          <w:sz w:val="24"/>
          <w:szCs w:val="24"/>
        </w:rPr>
      </w:pPr>
    </w:p>
    <w:p w14:paraId="6CF631C7">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17.2 因不可抗力解除合同</w:t>
      </w:r>
    </w:p>
    <w:p w14:paraId="3FE832F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合同解除后，发包人应在商定或确定发包人应支付款项后天内完成款项的支付。</w:t>
      </w:r>
    </w:p>
    <w:p w14:paraId="75625F8B">
      <w:pPr>
        <w:spacing w:line="360" w:lineRule="auto"/>
        <w:ind w:firstLine="480" w:firstLineChars="200"/>
        <w:jc w:val="left"/>
        <w:rPr>
          <w:rFonts w:hint="eastAsia" w:ascii="宋体" w:hAnsi="宋体" w:eastAsia="宋体" w:cs="宋体"/>
          <w:sz w:val="24"/>
          <w:szCs w:val="24"/>
        </w:rPr>
      </w:pPr>
    </w:p>
    <w:p w14:paraId="1C08CF68">
      <w:pPr>
        <w:keepNext/>
        <w:keepLines/>
        <w:spacing w:before="120" w:after="120" w:line="360" w:lineRule="auto"/>
        <w:outlineLvl w:val="3"/>
        <w:rPr>
          <w:rFonts w:hint="eastAsia" w:ascii="宋体" w:hAnsi="宋体" w:eastAsia="宋体" w:cs="宋体"/>
          <w:sz w:val="24"/>
          <w:szCs w:val="24"/>
        </w:rPr>
      </w:pPr>
      <w:bookmarkStart w:id="648" w:name="_Toc351203650"/>
      <w:r>
        <w:rPr>
          <w:rFonts w:hint="eastAsia" w:ascii="宋体" w:hAnsi="宋体" w:eastAsia="宋体" w:cs="宋体"/>
          <w:sz w:val="24"/>
          <w:szCs w:val="24"/>
        </w:rPr>
        <w:t>18. 保险</w:t>
      </w:r>
      <w:bookmarkEnd w:id="648"/>
    </w:p>
    <w:bookmarkEnd w:id="646"/>
    <w:p w14:paraId="2C73602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工程保险</w:t>
      </w:r>
    </w:p>
    <w:p w14:paraId="449300E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关于工程保险的特别约定：</w:t>
      </w:r>
      <w:r>
        <w:rPr>
          <w:rFonts w:hint="eastAsia" w:ascii="宋体" w:hAnsi="宋体" w:eastAsia="宋体" w:cs="宋体"/>
          <w:kern w:val="0"/>
          <w:sz w:val="24"/>
          <w:szCs w:val="24"/>
        </w:rPr>
        <w:t>。</w:t>
      </w:r>
    </w:p>
    <w:p w14:paraId="4741CC8A">
      <w:pPr>
        <w:spacing w:line="360" w:lineRule="auto"/>
        <w:ind w:firstLine="480" w:firstLineChars="200"/>
        <w:jc w:val="left"/>
        <w:rPr>
          <w:rFonts w:hint="eastAsia" w:ascii="宋体" w:hAnsi="宋体" w:eastAsia="宋体" w:cs="宋体"/>
          <w:kern w:val="0"/>
          <w:sz w:val="24"/>
          <w:szCs w:val="24"/>
        </w:rPr>
      </w:pPr>
    </w:p>
    <w:p w14:paraId="15E04A62">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18.2 其他保险</w:t>
      </w:r>
    </w:p>
    <w:p w14:paraId="6EE6E9B8">
      <w:pPr>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sz w:val="24"/>
          <w:szCs w:val="24"/>
        </w:rPr>
        <w:t>关于其他保险的约定：</w:t>
      </w:r>
      <w:r>
        <w:rPr>
          <w:rFonts w:hint="eastAsia" w:ascii="宋体" w:hAnsi="宋体" w:eastAsia="宋体" w:cs="宋体"/>
          <w:kern w:val="0"/>
          <w:sz w:val="24"/>
          <w:szCs w:val="24"/>
        </w:rPr>
        <w:t>。</w:t>
      </w:r>
    </w:p>
    <w:p w14:paraId="4E1B6C5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应当</w:t>
      </w:r>
      <w:r>
        <w:rPr>
          <w:rFonts w:hint="eastAsia" w:ascii="宋体" w:hAnsi="宋体" w:eastAsia="宋体" w:cs="宋体"/>
          <w:sz w:val="24"/>
          <w:szCs w:val="24"/>
        </w:rPr>
        <w:t>。</w:t>
      </w:r>
    </w:p>
    <w:p w14:paraId="5E9E9AB0">
      <w:pPr>
        <w:spacing w:line="360" w:lineRule="auto"/>
        <w:ind w:firstLine="480" w:firstLineChars="200"/>
        <w:jc w:val="left"/>
        <w:rPr>
          <w:rFonts w:hint="eastAsia" w:ascii="宋体" w:hAnsi="宋体" w:eastAsia="宋体" w:cs="宋体"/>
          <w:sz w:val="24"/>
          <w:szCs w:val="24"/>
        </w:rPr>
      </w:pPr>
    </w:p>
    <w:p w14:paraId="513782C2">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 通知义务</w:t>
      </w:r>
    </w:p>
    <w:p w14:paraId="6B3D31D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关于变更保险合同时的通知义务的约定：</w:t>
      </w:r>
      <w:r>
        <w:rPr>
          <w:rFonts w:hint="eastAsia" w:ascii="宋体" w:hAnsi="宋体" w:eastAsia="宋体" w:cs="宋体"/>
          <w:sz w:val="24"/>
          <w:szCs w:val="24"/>
        </w:rPr>
        <w:t>。</w:t>
      </w:r>
    </w:p>
    <w:p w14:paraId="48113C44">
      <w:pPr>
        <w:spacing w:line="360" w:lineRule="auto"/>
        <w:ind w:firstLine="480" w:firstLineChars="200"/>
        <w:jc w:val="left"/>
        <w:rPr>
          <w:rFonts w:hint="eastAsia" w:ascii="宋体" w:hAnsi="宋体" w:eastAsia="宋体" w:cs="宋体"/>
          <w:sz w:val="24"/>
          <w:szCs w:val="24"/>
        </w:rPr>
      </w:pPr>
    </w:p>
    <w:bookmarkEnd w:id="622"/>
    <w:bookmarkEnd w:id="623"/>
    <w:bookmarkEnd w:id="624"/>
    <w:bookmarkEnd w:id="625"/>
    <w:bookmarkEnd w:id="626"/>
    <w:bookmarkEnd w:id="627"/>
    <w:bookmarkEnd w:id="628"/>
    <w:bookmarkEnd w:id="629"/>
    <w:bookmarkEnd w:id="630"/>
    <w:bookmarkEnd w:id="631"/>
    <w:bookmarkEnd w:id="632"/>
    <w:bookmarkEnd w:id="633"/>
    <w:p w14:paraId="25C12A77">
      <w:pPr>
        <w:keepNext/>
        <w:keepLines/>
        <w:spacing w:before="120" w:after="120" w:line="360" w:lineRule="auto"/>
        <w:outlineLvl w:val="3"/>
        <w:rPr>
          <w:rFonts w:hint="eastAsia" w:ascii="宋体" w:hAnsi="宋体" w:eastAsia="宋体" w:cs="宋体"/>
          <w:sz w:val="24"/>
          <w:szCs w:val="24"/>
        </w:rPr>
      </w:pPr>
      <w:bookmarkStart w:id="649" w:name="_Toc351203651"/>
      <w:r>
        <w:rPr>
          <w:rFonts w:hint="eastAsia" w:ascii="宋体" w:hAnsi="宋体" w:eastAsia="宋体" w:cs="宋体"/>
          <w:sz w:val="24"/>
          <w:szCs w:val="24"/>
        </w:rPr>
        <w:t>19. 争议解决</w:t>
      </w:r>
      <w:bookmarkEnd w:id="649"/>
    </w:p>
    <w:bookmarkEnd w:id="634"/>
    <w:bookmarkEnd w:id="635"/>
    <w:p w14:paraId="0EB37993">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19.1 争</w:t>
      </w:r>
      <w:bookmarkEnd w:id="636"/>
      <w:r>
        <w:rPr>
          <w:rFonts w:hint="eastAsia" w:ascii="宋体" w:hAnsi="宋体" w:eastAsia="宋体" w:cs="宋体"/>
          <w:sz w:val="24"/>
          <w:szCs w:val="24"/>
        </w:rPr>
        <w:t>议评审</w:t>
      </w:r>
    </w:p>
    <w:p w14:paraId="688FC2F3">
      <w:pPr>
        <w:spacing w:line="360" w:lineRule="auto"/>
        <w:ind w:left="149" w:leftChars="71" w:firstLine="360" w:firstLineChars="150"/>
        <w:jc w:val="left"/>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合同当事人是否同意将工程争议提交争议评审小组决定：。</w:t>
      </w:r>
    </w:p>
    <w:p w14:paraId="7003C948">
      <w:pPr>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19.1.1 争议评审小组的确定</w:t>
      </w:r>
    </w:p>
    <w:p w14:paraId="7270245C">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争议评审小组成员的确定：。</w:t>
      </w:r>
    </w:p>
    <w:p w14:paraId="3ED017B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选定争议评审员的期限：。</w:t>
      </w:r>
    </w:p>
    <w:p w14:paraId="08463A9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争议评审小组成员的报酬承担方式：。</w:t>
      </w:r>
    </w:p>
    <w:p w14:paraId="0292B8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其他事项的约定：。</w:t>
      </w:r>
    </w:p>
    <w:p w14:paraId="2E54F745">
      <w:pPr>
        <w:autoSpaceDE w:val="0"/>
        <w:autoSpaceDN w:val="0"/>
        <w:adjustRightInd w:val="0"/>
        <w:spacing w:line="360" w:lineRule="auto"/>
        <w:ind w:firstLine="480" w:firstLineChars="200"/>
        <w:jc w:val="left"/>
        <w:outlineLvl w:val="0"/>
        <w:rPr>
          <w:rFonts w:hint="eastAsia" w:ascii="宋体" w:hAnsi="宋体" w:eastAsia="宋体" w:cs="宋体"/>
          <w:kern w:val="0"/>
          <w:sz w:val="24"/>
          <w:szCs w:val="24"/>
        </w:rPr>
      </w:pPr>
      <w:r>
        <w:rPr>
          <w:rFonts w:hint="eastAsia" w:ascii="宋体" w:hAnsi="宋体" w:eastAsia="宋体" w:cs="宋体"/>
          <w:kern w:val="0"/>
          <w:sz w:val="24"/>
          <w:szCs w:val="24"/>
        </w:rPr>
        <w:t>19.1.2 争议评审小组的决定</w:t>
      </w:r>
    </w:p>
    <w:p w14:paraId="12BB33C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合同当事人关于本项的约定：。</w:t>
      </w:r>
    </w:p>
    <w:p w14:paraId="47FA4986">
      <w:pPr>
        <w:spacing w:line="360" w:lineRule="auto"/>
        <w:ind w:firstLine="480" w:firstLineChars="200"/>
        <w:jc w:val="left"/>
        <w:rPr>
          <w:rFonts w:hint="eastAsia" w:ascii="宋体" w:hAnsi="宋体" w:eastAsia="宋体" w:cs="宋体"/>
          <w:sz w:val="24"/>
          <w:szCs w:val="24"/>
        </w:rPr>
      </w:pPr>
    </w:p>
    <w:p w14:paraId="1E3459E7">
      <w:pPr>
        <w:spacing w:after="12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19.2 仲裁或诉讼</w:t>
      </w:r>
      <w:bookmarkEnd w:id="637"/>
    </w:p>
    <w:p w14:paraId="75BB310D">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因合同及合同有关事项发生的争议，按下列第种方式解决：</w:t>
      </w:r>
    </w:p>
    <w:p w14:paraId="0AA6F2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（1）向仲裁委员会申请仲裁；</w:t>
      </w:r>
    </w:p>
    <w:p w14:paraId="71673E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（2）向人民法院起诉。</w:t>
      </w:r>
      <w:bookmarkEnd w:id="638"/>
      <w:bookmarkEnd w:id="639"/>
      <w:bookmarkEnd w:id="640"/>
      <w:bookmarkEnd w:id="641"/>
      <w:bookmarkEnd w:id="642"/>
      <w:bookmarkEnd w:id="643"/>
    </w:p>
    <w:p w14:paraId="7D57DEBD">
      <w:pPr>
        <w:tabs>
          <w:tab w:val="left" w:pos="4040"/>
        </w:tabs>
        <w:autoSpaceDE w:val="0"/>
        <w:autoSpaceDN w:val="0"/>
        <w:adjustRightInd w:val="0"/>
        <w:spacing w:line="360" w:lineRule="auto"/>
        <w:jc w:val="center"/>
        <w:rPr>
          <w:rFonts w:hint="eastAsia" w:ascii="宋体" w:hAnsi="宋体" w:eastAsia="宋体" w:cs="宋体"/>
          <w:b/>
          <w:bCs/>
          <w:kern w:val="0"/>
          <w:sz w:val="24"/>
          <w:szCs w:val="24"/>
        </w:rPr>
      </w:pPr>
    </w:p>
    <w:p w14:paraId="2D0B7587">
      <w:pPr>
        <w:widowControl/>
        <w:jc w:val="left"/>
        <w:rPr>
          <w:rFonts w:hint="eastAsia" w:ascii="宋体" w:hAnsi="宋体" w:eastAsia="宋体" w:cs="宋体"/>
          <w:sz w:val="24"/>
          <w:szCs w:val="24"/>
        </w:rPr>
      </w:pPr>
    </w:p>
    <w:p w14:paraId="55D1AE22">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182D4A45">
      <w:pPr>
        <w:keepNext/>
        <w:keepLines/>
        <w:spacing w:before="260" w:after="260" w:line="413" w:lineRule="auto"/>
        <w:jc w:val="center"/>
        <w:outlineLvl w:val="2"/>
        <w:rPr>
          <w:rFonts w:hint="eastAsia" w:ascii="宋体" w:hAnsi="宋体" w:eastAsia="宋体" w:cs="宋体"/>
          <w:sz w:val="24"/>
          <w:szCs w:val="24"/>
        </w:rPr>
      </w:pPr>
      <w:r>
        <w:rPr>
          <w:rFonts w:hint="eastAsia" w:ascii="宋体" w:hAnsi="宋体" w:eastAsia="宋体" w:cs="宋体"/>
          <w:sz w:val="24"/>
          <w:szCs w:val="24"/>
        </w:rPr>
        <w:t>第四节合同附件格式</w:t>
      </w:r>
    </w:p>
    <w:p w14:paraId="1709D801">
      <w:pPr>
        <w:autoSpaceDE w:val="0"/>
        <w:autoSpaceDN w:val="0"/>
        <w:adjustRightInd w:val="0"/>
        <w:spacing w:line="360" w:lineRule="auto"/>
        <w:jc w:val="left"/>
        <w:rPr>
          <w:rFonts w:hint="eastAsia" w:ascii="宋体" w:hAnsi="宋体" w:eastAsia="宋体" w:cs="宋体"/>
          <w:kern w:val="0"/>
          <w:sz w:val="24"/>
          <w:szCs w:val="24"/>
        </w:rPr>
      </w:pPr>
    </w:p>
    <w:p w14:paraId="1E177C2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附件一：工程质量保修书</w:t>
      </w:r>
    </w:p>
    <w:p w14:paraId="0DA90A6A">
      <w:pPr>
        <w:spacing w:line="360" w:lineRule="auto"/>
        <w:ind w:firstLine="482" w:firstLineChars="200"/>
        <w:jc w:val="center"/>
        <w:rPr>
          <w:rFonts w:hint="eastAsia" w:ascii="宋体" w:hAnsi="宋体" w:eastAsia="宋体" w:cs="宋体"/>
          <w:b/>
          <w:bCs/>
          <w:sz w:val="24"/>
          <w:szCs w:val="24"/>
        </w:rPr>
      </w:pPr>
    </w:p>
    <w:p w14:paraId="0786637E">
      <w:pPr>
        <w:spacing w:line="360" w:lineRule="auto"/>
        <w:jc w:val="center"/>
        <w:rPr>
          <w:rFonts w:hint="eastAsia" w:ascii="宋体" w:hAnsi="宋体" w:eastAsia="宋体" w:cs="宋体"/>
          <w:b/>
          <w:bCs/>
          <w:sz w:val="24"/>
          <w:szCs w:val="24"/>
        </w:rPr>
      </w:pPr>
    </w:p>
    <w:p w14:paraId="3CD90EF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工程质量保修书</w:t>
      </w:r>
    </w:p>
    <w:p w14:paraId="5CD8460D">
      <w:pPr>
        <w:spacing w:line="360" w:lineRule="auto"/>
        <w:rPr>
          <w:rFonts w:hint="eastAsia" w:ascii="宋体" w:hAnsi="宋体" w:eastAsia="宋体" w:cs="宋体"/>
          <w:sz w:val="24"/>
          <w:szCs w:val="24"/>
          <w:u w:val="single"/>
        </w:rPr>
      </w:pPr>
      <w:r>
        <w:rPr>
          <w:rFonts w:hint="eastAsia" w:ascii="宋体" w:hAnsi="宋体" w:eastAsia="宋体" w:cs="宋体"/>
          <w:sz w:val="24"/>
          <w:szCs w:val="24"/>
        </w:rPr>
        <w:t>发包人（全称）：</w:t>
      </w:r>
    </w:p>
    <w:p w14:paraId="1DA29AE7">
      <w:pPr>
        <w:spacing w:line="360" w:lineRule="auto"/>
        <w:rPr>
          <w:rFonts w:hint="eastAsia" w:ascii="宋体" w:hAnsi="宋体" w:eastAsia="宋体" w:cs="宋体"/>
          <w:sz w:val="24"/>
          <w:szCs w:val="24"/>
          <w:u w:val="single"/>
        </w:rPr>
      </w:pPr>
      <w:r>
        <w:rPr>
          <w:rFonts w:hint="eastAsia" w:ascii="宋体" w:hAnsi="宋体" w:eastAsia="宋体" w:cs="宋体"/>
          <w:sz w:val="24"/>
          <w:szCs w:val="24"/>
        </w:rPr>
        <w:t>承包人（全称）：</w:t>
      </w:r>
    </w:p>
    <w:p w14:paraId="507D09D5">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发包人、承包人根据《中华人民共和国建筑法》、《建设工程质量管理条例》和《房屋建筑工程质量保修办法》，经协商一致，对签订工程质量保修书。</w:t>
      </w:r>
    </w:p>
    <w:p w14:paraId="2AE499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1、工程质量保修范围和内容</w:t>
      </w:r>
    </w:p>
    <w:p w14:paraId="76E460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承包人在质量保修期内，按照有关法律、法规、规章规定和双方约定，承担本工程质量保修责任。</w:t>
      </w:r>
    </w:p>
    <w:p w14:paraId="22E831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保期：</w:t>
      </w:r>
      <w:r>
        <w:rPr>
          <w:rFonts w:hint="eastAsia" w:ascii="宋体" w:hAnsi="宋体" w:eastAsia="宋体" w:cs="宋体"/>
          <w:sz w:val="24"/>
          <w:szCs w:val="24"/>
          <w:u w:val="single"/>
        </w:rPr>
        <w:t>详见《建设工程质量管理条例》第六章第39—42条。</w:t>
      </w:r>
    </w:p>
    <w:p w14:paraId="6C201F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2、质量保修期</w:t>
      </w:r>
    </w:p>
    <w:p w14:paraId="246710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2.1双方根据《建设工程质量管理条例》及有关规定，约定本工程的质量保修期如下：</w:t>
      </w:r>
    </w:p>
    <w:p w14:paraId="3ABE45C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（1）基础设施工程、房屋建筑的地基基础工程和主体结构工程为设计文件规定的该工程合理使用年限；</w:t>
      </w:r>
    </w:p>
    <w:p w14:paraId="66D527EC">
      <w:pPr>
        <w:spacing w:line="360" w:lineRule="auto"/>
        <w:ind w:firstLine="342" w:firstLineChars="150"/>
        <w:rPr>
          <w:rFonts w:hint="eastAsia" w:ascii="宋体" w:hAnsi="宋体" w:eastAsia="宋体" w:cs="宋体"/>
          <w:spacing w:val="-6"/>
          <w:sz w:val="24"/>
          <w:szCs w:val="24"/>
        </w:rPr>
      </w:pPr>
      <w:r>
        <w:rPr>
          <w:rFonts w:hint="eastAsia" w:ascii="宋体" w:hAnsi="宋体" w:eastAsia="宋体" w:cs="宋体"/>
          <w:spacing w:val="-6"/>
          <w:sz w:val="24"/>
          <w:szCs w:val="24"/>
        </w:rPr>
        <w:t>（2）屋面防水工程、有防水要求的卫生间、房间和外墙面的防渗漏为</w:t>
      </w:r>
      <w:r>
        <w:rPr>
          <w:rFonts w:hint="eastAsia" w:ascii="宋体" w:hAnsi="宋体" w:eastAsia="宋体" w:cs="宋体"/>
          <w:spacing w:val="-6"/>
          <w:sz w:val="24"/>
          <w:szCs w:val="24"/>
          <w:u w:val="single"/>
        </w:rPr>
        <w:t>5</w:t>
      </w:r>
      <w:r>
        <w:rPr>
          <w:rFonts w:hint="eastAsia" w:ascii="宋体" w:hAnsi="宋体" w:eastAsia="宋体" w:cs="宋体"/>
          <w:spacing w:val="-6"/>
          <w:sz w:val="24"/>
          <w:szCs w:val="24"/>
        </w:rPr>
        <w:t>年；</w:t>
      </w:r>
    </w:p>
    <w:p w14:paraId="6DB57E4F">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（3）装修工程为</w:t>
      </w:r>
      <w:r>
        <w:rPr>
          <w:rFonts w:hint="eastAsia" w:ascii="宋体" w:hAnsi="宋体" w:eastAsia="宋体" w:cs="宋体"/>
          <w:sz w:val="24"/>
          <w:szCs w:val="24"/>
          <w:u w:val="single"/>
        </w:rPr>
        <w:t>2</w:t>
      </w:r>
      <w:r>
        <w:rPr>
          <w:rFonts w:hint="eastAsia" w:ascii="宋体" w:hAnsi="宋体" w:eastAsia="宋体" w:cs="宋体"/>
          <w:sz w:val="24"/>
          <w:szCs w:val="24"/>
        </w:rPr>
        <w:t>年；</w:t>
      </w:r>
    </w:p>
    <w:p w14:paraId="765E1998">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（4）供热与供冷系统为</w:t>
      </w:r>
      <w:r>
        <w:rPr>
          <w:rFonts w:hint="eastAsia" w:ascii="宋体" w:hAnsi="宋体" w:eastAsia="宋体" w:cs="宋体"/>
          <w:sz w:val="24"/>
          <w:szCs w:val="24"/>
          <w:u w:val="single"/>
        </w:rPr>
        <w:t>2</w:t>
      </w:r>
      <w:r>
        <w:rPr>
          <w:rFonts w:hint="eastAsia" w:ascii="宋体" w:hAnsi="宋体" w:eastAsia="宋体" w:cs="宋体"/>
          <w:sz w:val="24"/>
          <w:szCs w:val="24"/>
        </w:rPr>
        <w:t>个采暖期、供冷期；</w:t>
      </w:r>
    </w:p>
    <w:p w14:paraId="45B97DCC">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（5）电气管线、给排水管道、设备安装工程为</w:t>
      </w:r>
      <w:r>
        <w:rPr>
          <w:rFonts w:hint="eastAsia" w:ascii="宋体" w:hAnsi="宋体" w:eastAsia="宋体" w:cs="宋体"/>
          <w:sz w:val="24"/>
          <w:szCs w:val="24"/>
          <w:u w:val="single"/>
        </w:rPr>
        <w:t>2</w:t>
      </w:r>
      <w:r>
        <w:rPr>
          <w:rFonts w:hint="eastAsia" w:ascii="宋体" w:hAnsi="宋体" w:eastAsia="宋体" w:cs="宋体"/>
          <w:sz w:val="24"/>
          <w:szCs w:val="24"/>
        </w:rPr>
        <w:t>年；</w:t>
      </w:r>
    </w:p>
    <w:p w14:paraId="24DCFC02">
      <w:pPr>
        <w:pStyle w:val="3"/>
        <w:spacing w:line="360" w:lineRule="auto"/>
        <w:ind w:firstLine="357" w:firstLineChars="149"/>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w:t>
      </w:r>
      <w:r>
        <w:rPr>
          <w:rFonts w:hint="eastAsia" w:ascii="宋体" w:hAnsi="宋体" w:eastAsia="宋体" w:cs="宋体"/>
          <w:sz w:val="24"/>
          <w:szCs w:val="24"/>
          <w:u w:val="single"/>
        </w:rPr>
        <w:t>2</w:t>
      </w:r>
      <w:r>
        <w:rPr>
          <w:rFonts w:hint="eastAsia" w:ascii="宋体" w:hAnsi="宋体" w:eastAsia="宋体" w:cs="宋体"/>
          <w:sz w:val="24"/>
          <w:szCs w:val="24"/>
        </w:rPr>
        <w:t>年；</w:t>
      </w:r>
    </w:p>
    <w:p w14:paraId="78C5D0BB">
      <w:pPr>
        <w:pStyle w:val="3"/>
        <w:spacing w:line="360" w:lineRule="auto"/>
        <w:ind w:firstLine="357" w:firstLineChars="149"/>
        <w:rPr>
          <w:rFonts w:hint="eastAsia" w:ascii="宋体" w:hAnsi="宋体" w:eastAsia="宋体" w:cs="宋体"/>
          <w:sz w:val="24"/>
          <w:szCs w:val="24"/>
        </w:rPr>
      </w:pPr>
      <w:r>
        <w:rPr>
          <w:rFonts w:hint="eastAsia" w:ascii="宋体" w:hAnsi="宋体" w:eastAsia="宋体" w:cs="宋体"/>
          <w:sz w:val="24"/>
          <w:szCs w:val="24"/>
        </w:rPr>
        <w:t>（7）其他项目的保修期限为</w:t>
      </w:r>
      <w:r>
        <w:rPr>
          <w:rFonts w:hint="eastAsia" w:ascii="宋体" w:hAnsi="宋体" w:eastAsia="宋体" w:cs="宋体"/>
          <w:sz w:val="24"/>
          <w:szCs w:val="24"/>
          <w:u w:val="single"/>
        </w:rPr>
        <w:t xml:space="preserve">  2  </w:t>
      </w:r>
      <w:r>
        <w:rPr>
          <w:rFonts w:hint="eastAsia" w:ascii="宋体" w:hAnsi="宋体" w:eastAsia="宋体" w:cs="宋体"/>
          <w:sz w:val="24"/>
          <w:szCs w:val="24"/>
        </w:rPr>
        <w:t>年。</w:t>
      </w:r>
    </w:p>
    <w:p w14:paraId="2FF8CCE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2.2 质量保修期自工程竣工验收合格之日起计算。</w:t>
      </w:r>
    </w:p>
    <w:p w14:paraId="612C7C0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3、质量保修责任</w:t>
      </w:r>
    </w:p>
    <w:p w14:paraId="1E2A222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3.1 属于保修范围、内容的项目，承包人应当在接到保修通知之日起7天内派人保修。承包人不在约定期限内派人保修的，发包人可以委托他人修理。</w:t>
      </w:r>
    </w:p>
    <w:p w14:paraId="68ECDD1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3.2 发生紧急抢修事故的，承包人在接到事故通知后，应当立即到达事故现场抢修。</w:t>
      </w:r>
    </w:p>
    <w:p w14:paraId="32CE260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ADB089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3.4 质量保修完成后，由发包人组织验收。</w:t>
      </w:r>
    </w:p>
    <w:p w14:paraId="160755B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4、保修费用</w:t>
      </w:r>
    </w:p>
    <w:p w14:paraId="19C9AE5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4.1保修费用由造成质量缺陷的责任方承担。</w:t>
      </w:r>
    </w:p>
    <w:p w14:paraId="11F2A6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w:t>
      </w:r>
    </w:p>
    <w:p w14:paraId="1D92F6CB">
      <w:pPr>
        <w:spacing w:line="360" w:lineRule="auto"/>
        <w:ind w:firstLine="480" w:firstLineChars="200"/>
        <w:outlineLvl w:val="0"/>
        <w:rPr>
          <w:rFonts w:hint="eastAsia" w:ascii="宋体" w:hAnsi="宋体" w:eastAsia="宋体" w:cs="宋体"/>
          <w:sz w:val="24"/>
          <w:szCs w:val="24"/>
        </w:rPr>
      </w:pPr>
      <w:bookmarkStart w:id="650" w:name="_Toc247945911"/>
      <w:bookmarkStart w:id="651" w:name="_Toc211643904"/>
      <w:bookmarkStart w:id="652" w:name="_Toc199318336"/>
      <w:bookmarkStart w:id="653" w:name="_Toc435626179"/>
      <w:bookmarkStart w:id="654" w:name="_Toc207526821"/>
      <w:r>
        <w:rPr>
          <w:rFonts w:hint="eastAsia" w:ascii="宋体" w:hAnsi="宋体" w:eastAsia="宋体" w:cs="宋体"/>
          <w:sz w:val="24"/>
          <w:szCs w:val="24"/>
        </w:rPr>
        <w:t>5.1 双方约定的其他工程质量保修事项:</w:t>
      </w:r>
      <w:bookmarkEnd w:id="650"/>
      <w:bookmarkEnd w:id="651"/>
      <w:bookmarkEnd w:id="652"/>
      <w:bookmarkEnd w:id="653"/>
      <w:bookmarkEnd w:id="654"/>
    </w:p>
    <w:p w14:paraId="78E95C2C">
      <w:pPr>
        <w:spacing w:line="360" w:lineRule="auto"/>
        <w:ind w:firstLine="480" w:firstLineChars="200"/>
        <w:outlineLvl w:val="0"/>
        <w:rPr>
          <w:rFonts w:hint="eastAsia" w:ascii="宋体" w:hAnsi="宋体" w:eastAsia="宋体" w:cs="宋体"/>
          <w:sz w:val="24"/>
          <w:szCs w:val="24"/>
        </w:rPr>
      </w:pPr>
      <w:bookmarkStart w:id="655" w:name="_Toc207526822"/>
      <w:bookmarkStart w:id="656" w:name="_Toc211643905"/>
      <w:bookmarkStart w:id="657" w:name="_Toc199318337"/>
      <w:bookmarkStart w:id="658" w:name="_Toc247945912"/>
      <w:bookmarkStart w:id="659" w:name="_Toc435626180"/>
      <w:r>
        <w:rPr>
          <w:rFonts w:hint="eastAsia" w:ascii="宋体" w:hAnsi="宋体" w:eastAsia="宋体" w:cs="宋体"/>
          <w:sz w:val="24"/>
          <w:szCs w:val="24"/>
        </w:rPr>
        <w:t>5.2 本工程质量保修书,由施工合同发包人、承包人双方在竣工验收前共同签署，作为施工合同附件，其有效期限至保修期满。</w:t>
      </w:r>
      <w:bookmarkEnd w:id="655"/>
      <w:bookmarkEnd w:id="656"/>
      <w:bookmarkEnd w:id="657"/>
      <w:bookmarkEnd w:id="658"/>
      <w:bookmarkEnd w:id="659"/>
    </w:p>
    <w:p w14:paraId="0AF16321">
      <w:pPr>
        <w:spacing w:line="360" w:lineRule="auto"/>
        <w:rPr>
          <w:rFonts w:hint="eastAsia" w:ascii="宋体" w:hAnsi="宋体" w:eastAsia="宋体" w:cs="宋体"/>
          <w:sz w:val="24"/>
          <w:szCs w:val="24"/>
        </w:rPr>
      </w:pPr>
    </w:p>
    <w:p w14:paraId="77025628">
      <w:pPr>
        <w:spacing w:line="360" w:lineRule="auto"/>
        <w:rPr>
          <w:rFonts w:hint="eastAsia" w:ascii="宋体" w:hAnsi="宋体" w:eastAsia="宋体" w:cs="宋体"/>
          <w:sz w:val="24"/>
          <w:szCs w:val="24"/>
        </w:rPr>
      </w:pPr>
    </w:p>
    <w:p w14:paraId="681CDFF9">
      <w:pPr>
        <w:spacing w:line="360" w:lineRule="auto"/>
        <w:rPr>
          <w:rFonts w:hint="eastAsia" w:ascii="宋体" w:hAnsi="宋体" w:eastAsia="宋体" w:cs="宋体"/>
          <w:sz w:val="24"/>
          <w:szCs w:val="24"/>
        </w:rPr>
      </w:pPr>
    </w:p>
    <w:p w14:paraId="7E783E95">
      <w:pPr>
        <w:spacing w:line="360" w:lineRule="auto"/>
        <w:rPr>
          <w:rFonts w:hint="eastAsia" w:ascii="宋体" w:hAnsi="宋体" w:eastAsia="宋体" w:cs="宋体"/>
          <w:sz w:val="24"/>
          <w:szCs w:val="24"/>
        </w:rPr>
      </w:pPr>
      <w:r>
        <w:rPr>
          <w:rFonts w:hint="eastAsia" w:ascii="宋体" w:hAnsi="宋体" w:eastAsia="宋体" w:cs="宋体"/>
          <w:sz w:val="24"/>
          <w:szCs w:val="24"/>
        </w:rPr>
        <w:t>发包人（公章）：承包人（公章）：</w:t>
      </w:r>
    </w:p>
    <w:p w14:paraId="1EAE1215">
      <w:pPr>
        <w:spacing w:line="360" w:lineRule="auto"/>
        <w:rPr>
          <w:rFonts w:hint="eastAsia" w:ascii="宋体" w:hAnsi="宋体" w:eastAsia="宋体" w:cs="宋体"/>
          <w:sz w:val="24"/>
          <w:szCs w:val="24"/>
        </w:rPr>
      </w:pPr>
    </w:p>
    <w:p w14:paraId="15A9B033">
      <w:pPr>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法定代表人（签字）：法定代表人（签字）：</w:t>
      </w:r>
    </w:p>
    <w:p w14:paraId="000C84F8">
      <w:pPr>
        <w:spacing w:line="360" w:lineRule="auto"/>
        <w:rPr>
          <w:rFonts w:hint="eastAsia" w:ascii="宋体" w:hAnsi="宋体" w:eastAsia="宋体" w:cs="宋体"/>
          <w:sz w:val="24"/>
          <w:szCs w:val="24"/>
        </w:rPr>
      </w:pPr>
    </w:p>
    <w:p w14:paraId="1F48B4F4">
      <w:pPr>
        <w:autoSpaceDE w:val="0"/>
        <w:autoSpaceDN w:val="0"/>
        <w:adjustRightInd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sz w:val="24"/>
          <w:szCs w:val="24"/>
        </w:rPr>
        <w:t>年月日年月日</w:t>
      </w:r>
    </w:p>
    <w:p w14:paraId="1F64D391">
      <w:pPr>
        <w:jc w:val="center"/>
        <w:rPr>
          <w:rFonts w:hint="eastAsia" w:ascii="宋体" w:hAnsi="宋体" w:eastAsia="宋体" w:cs="宋体"/>
          <w:b/>
          <w:bCs/>
          <w:sz w:val="24"/>
          <w:szCs w:val="24"/>
        </w:rPr>
      </w:pPr>
    </w:p>
    <w:p w14:paraId="51289515">
      <w:pPr>
        <w:jc w:val="center"/>
        <w:rPr>
          <w:rFonts w:hint="eastAsia" w:ascii="宋体" w:hAnsi="宋体" w:eastAsia="宋体" w:cs="宋体"/>
          <w:b/>
          <w:bCs/>
          <w:sz w:val="24"/>
          <w:szCs w:val="24"/>
        </w:rPr>
      </w:pPr>
    </w:p>
    <w:p w14:paraId="6224BE4D">
      <w:pPr>
        <w:jc w:val="center"/>
        <w:rPr>
          <w:rFonts w:hint="eastAsia" w:ascii="宋体" w:hAnsi="宋体" w:eastAsia="宋体" w:cs="宋体"/>
          <w:b/>
          <w:bCs/>
          <w:sz w:val="24"/>
          <w:szCs w:val="24"/>
        </w:rPr>
      </w:pPr>
    </w:p>
    <w:p w14:paraId="0C184F85">
      <w:pPr>
        <w:jc w:val="center"/>
        <w:rPr>
          <w:rFonts w:hint="eastAsia" w:ascii="宋体" w:hAnsi="宋体" w:eastAsia="宋体" w:cs="宋体"/>
          <w:b/>
          <w:bCs/>
          <w:sz w:val="24"/>
          <w:szCs w:val="24"/>
        </w:rPr>
      </w:pPr>
    </w:p>
    <w:p w14:paraId="2713C06F">
      <w:pPr>
        <w:jc w:val="center"/>
        <w:rPr>
          <w:rFonts w:hint="eastAsia" w:ascii="宋体" w:hAnsi="宋体" w:eastAsia="宋体" w:cs="宋体"/>
          <w:b/>
          <w:bCs/>
          <w:sz w:val="24"/>
          <w:szCs w:val="24"/>
        </w:rPr>
      </w:pPr>
    </w:p>
    <w:p w14:paraId="312D570A">
      <w:pPr>
        <w:jc w:val="center"/>
        <w:rPr>
          <w:rFonts w:hint="eastAsia" w:ascii="宋体" w:hAnsi="宋体" w:eastAsia="宋体" w:cs="宋体"/>
          <w:b/>
          <w:bCs/>
          <w:sz w:val="24"/>
          <w:szCs w:val="24"/>
        </w:rPr>
      </w:pPr>
    </w:p>
    <w:bookmarkEnd w:id="120"/>
    <w:p w14:paraId="2579ADCA">
      <w:pPr>
        <w:spacing w:line="400" w:lineRule="exact"/>
        <w:rPr>
          <w:rFonts w:hint="eastAsia" w:ascii="宋体" w:hAnsi="宋体" w:eastAsia="宋体" w:cs="宋体"/>
          <w:b/>
          <w:bCs/>
          <w:sz w:val="24"/>
          <w:szCs w:val="24"/>
        </w:rPr>
      </w:pPr>
    </w:p>
    <w:p w14:paraId="784F2894">
      <w:pPr>
        <w:pStyle w:val="59"/>
        <w:rPr>
          <w:rFonts w:hint="eastAsia" w:ascii="宋体" w:hAnsi="宋体" w:eastAsia="宋体" w:cs="宋体"/>
          <w:b/>
          <w:bCs/>
          <w:sz w:val="24"/>
          <w:szCs w:val="24"/>
        </w:rPr>
      </w:pPr>
    </w:p>
    <w:p w14:paraId="37325C0C">
      <w:pPr>
        <w:rPr>
          <w:rFonts w:hint="eastAsia" w:ascii="宋体" w:hAnsi="宋体" w:eastAsia="宋体" w:cs="宋体"/>
          <w:sz w:val="24"/>
          <w:szCs w:val="24"/>
        </w:rPr>
      </w:pPr>
      <w:r>
        <w:rPr>
          <w:rFonts w:hint="eastAsia" w:ascii="宋体" w:hAnsi="宋体" w:eastAsia="宋体" w:cs="宋体"/>
          <w:sz w:val="24"/>
          <w:szCs w:val="24"/>
        </w:rPr>
        <w:br w:type="page"/>
      </w:r>
    </w:p>
    <w:p w14:paraId="5CCC42FC">
      <w:pPr>
        <w:pStyle w:val="178"/>
        <w:ind w:left="0" w:leftChars="0" w:firstLine="0" w:firstLineChars="0"/>
        <w:rPr>
          <w:rFonts w:hint="eastAsia" w:ascii="宋体" w:hAnsi="宋体" w:eastAsia="宋体" w:cs="宋体"/>
          <w:sz w:val="24"/>
          <w:szCs w:val="24"/>
        </w:rPr>
      </w:pPr>
    </w:p>
    <w:p w14:paraId="088E18C4">
      <w:pPr>
        <w:pStyle w:val="178"/>
        <w:jc w:val="both"/>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工程量清单另册</w:t>
      </w:r>
    </w:p>
    <w:p w14:paraId="4C14972C">
      <w:pPr>
        <w:pStyle w:val="60"/>
        <w:rPr>
          <w:rFonts w:hint="eastAsia" w:ascii="宋体" w:hAnsi="宋体" w:eastAsia="宋体" w:cs="宋体"/>
          <w:sz w:val="24"/>
          <w:szCs w:val="24"/>
        </w:rPr>
      </w:pPr>
    </w:p>
    <w:p w14:paraId="23FFB7E0">
      <w:pPr>
        <w:pStyle w:val="60"/>
        <w:rPr>
          <w:rFonts w:hint="eastAsia" w:ascii="宋体" w:hAnsi="宋体" w:eastAsia="宋体" w:cs="宋体"/>
          <w:sz w:val="24"/>
          <w:szCs w:val="24"/>
        </w:rPr>
      </w:pPr>
    </w:p>
    <w:p w14:paraId="2F4775B9">
      <w:pPr>
        <w:pStyle w:val="60"/>
        <w:rPr>
          <w:rFonts w:hint="eastAsia" w:ascii="宋体" w:hAnsi="宋体" w:eastAsia="宋体" w:cs="宋体"/>
          <w:sz w:val="24"/>
          <w:szCs w:val="24"/>
        </w:rPr>
      </w:pPr>
    </w:p>
    <w:p w14:paraId="0D97A6C6">
      <w:pPr>
        <w:pStyle w:val="60"/>
        <w:rPr>
          <w:rFonts w:hint="eastAsia" w:ascii="宋体" w:hAnsi="宋体" w:eastAsia="宋体" w:cs="宋体"/>
          <w:sz w:val="24"/>
          <w:szCs w:val="24"/>
        </w:rPr>
      </w:pPr>
    </w:p>
    <w:p w14:paraId="1399F669">
      <w:pPr>
        <w:pStyle w:val="60"/>
        <w:rPr>
          <w:rFonts w:hint="eastAsia" w:ascii="宋体" w:hAnsi="宋体" w:eastAsia="宋体" w:cs="宋体"/>
          <w:sz w:val="24"/>
          <w:szCs w:val="24"/>
        </w:rPr>
      </w:pPr>
    </w:p>
    <w:p w14:paraId="10A6E242">
      <w:pPr>
        <w:pStyle w:val="60"/>
        <w:rPr>
          <w:rFonts w:hint="eastAsia" w:ascii="宋体" w:hAnsi="宋体" w:eastAsia="宋体" w:cs="宋体"/>
          <w:sz w:val="24"/>
          <w:szCs w:val="24"/>
        </w:rPr>
      </w:pPr>
    </w:p>
    <w:p w14:paraId="0ADB5124">
      <w:pPr>
        <w:rPr>
          <w:rFonts w:hint="eastAsia" w:ascii="宋体" w:hAnsi="宋体" w:eastAsia="宋体" w:cs="宋体"/>
          <w:sz w:val="24"/>
          <w:szCs w:val="24"/>
          <w:lang w:eastAsia="zh-CN"/>
        </w:rPr>
      </w:pPr>
    </w:p>
    <w:sectPr>
      <w:headerReference r:id="rId8" w:type="default"/>
      <w:footerReference r:id="rId9" w:type="default"/>
      <w:pgSz w:w="11907" w:h="16840"/>
      <w:pgMar w:top="1440" w:right="1800"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ms Rmn">
    <w:altName w:val="Times New Roman"/>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B931">
    <w:pPr>
      <w:pStyle w:val="28"/>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4151">
    <w:pPr>
      <w:pStyle w:val="28"/>
      <w:jc w:val="center"/>
    </w:pPr>
    <w:r>
      <w:fldChar w:fldCharType="begin"/>
    </w:r>
    <w:r>
      <w:instrText xml:space="preserve"> PAGE   \* MERGEFORMAT </w:instrText>
    </w:r>
    <w:r>
      <w:fldChar w:fldCharType="separate"/>
    </w:r>
    <w:r>
      <w:rPr>
        <w:lang w:val="zh-CN"/>
      </w:rPr>
      <w:t>29</w:t>
    </w:r>
    <w:r>
      <w:rPr>
        <w:lang w:val="zh-CN"/>
      </w:rPr>
      <w:fldChar w:fldCharType="end"/>
    </w:r>
  </w:p>
  <w:p w14:paraId="6BFB95F9">
    <w:pPr>
      <w:pStyle w:val="28"/>
      <w:jc w:val="center"/>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39B3">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D53C9">
                          <w:pPr>
                            <w:pStyle w:val="28"/>
                            <w:jc w:val="center"/>
                          </w:pPr>
                          <w:r>
                            <w:fldChar w:fldCharType="begin"/>
                          </w:r>
                          <w:r>
                            <w:instrText xml:space="preserve"> PAGE   \* MERGEFORMAT </w:instrText>
                          </w:r>
                          <w:r>
                            <w:fldChar w:fldCharType="separate"/>
                          </w:r>
                          <w:r>
                            <w:rPr>
                              <w:lang w:val="zh-CN"/>
                            </w:rPr>
                            <w:t>57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6D53C9">
                    <w:pPr>
                      <w:pStyle w:val="28"/>
                      <w:jc w:val="center"/>
                    </w:pPr>
                    <w:r>
                      <w:fldChar w:fldCharType="begin"/>
                    </w:r>
                    <w:r>
                      <w:instrText xml:space="preserve"> PAGE   \* MERGEFORMAT </w:instrText>
                    </w:r>
                    <w:r>
                      <w:fldChar w:fldCharType="separate"/>
                    </w:r>
                    <w:r>
                      <w:rPr>
                        <w:lang w:val="zh-CN"/>
                      </w:rPr>
                      <w:t>57</w:t>
                    </w:r>
                    <w:r>
                      <w:rPr>
                        <w:lang w:val="zh-CN"/>
                      </w:rPr>
                      <w:fldChar w:fldCharType="end"/>
                    </w:r>
                  </w:p>
                </w:txbxContent>
              </v:textbox>
            </v:shape>
          </w:pict>
        </mc:Fallback>
      </mc:AlternateContent>
    </w:r>
  </w:p>
  <w:p w14:paraId="22CCF02E">
    <w:pPr>
      <w:pStyle w:val="28"/>
      <w:tabs>
        <w:tab w:val="center" w:pos="4533"/>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67CC">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36A06">
                          <w:pPr>
                            <w:pStyle w:val="28"/>
                            <w:jc w:val="center"/>
                          </w:pPr>
                          <w:r>
                            <w:fldChar w:fldCharType="begin"/>
                          </w:r>
                          <w:r>
                            <w:instrText xml:space="preserve"> PAGE   \* MERGEFORMAT </w:instrText>
                          </w:r>
                          <w:r>
                            <w:fldChar w:fldCharType="separate"/>
                          </w:r>
                          <w:r>
                            <w:rPr>
                              <w:lang w:val="zh-CN"/>
                            </w:rPr>
                            <w:t>-</w:t>
                          </w:r>
                          <w:r>
                            <w:t xml:space="preserve"> 106 -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236A06">
                    <w:pPr>
                      <w:pStyle w:val="28"/>
                      <w:jc w:val="center"/>
                    </w:pPr>
                    <w:r>
                      <w:fldChar w:fldCharType="begin"/>
                    </w:r>
                    <w:r>
                      <w:instrText xml:space="preserve"> PAGE   \* MERGEFORMAT </w:instrText>
                    </w:r>
                    <w:r>
                      <w:fldChar w:fldCharType="separate"/>
                    </w:r>
                    <w:r>
                      <w:rPr>
                        <w:lang w:val="zh-CN"/>
                      </w:rPr>
                      <w:t>-</w:t>
                    </w:r>
                    <w:r>
                      <w:t xml:space="preserve"> 106 -</w:t>
                    </w:r>
                    <w:r>
                      <w:fldChar w:fldCharType="end"/>
                    </w:r>
                  </w:p>
                </w:txbxContent>
              </v:textbox>
            </v:shape>
          </w:pict>
        </mc:Fallback>
      </mc:AlternateContent>
    </w:r>
  </w:p>
  <w:p w14:paraId="5CC96C42">
    <w:pPr>
      <w:pStyle w:val="28"/>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894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CA7E">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845A">
    <w:pPr>
      <w:pStyle w:val="2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2"/>
      <w:numFmt w:val="decimal"/>
      <w:lvlText w:val="%1）"/>
      <w:lvlJc w:val="left"/>
      <w:pPr>
        <w:tabs>
          <w:tab w:val="left" w:pos="719"/>
        </w:tabs>
        <w:ind w:left="719" w:hanging="360"/>
      </w:pPr>
      <w:rPr>
        <w:rFonts w:hint="default"/>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pStyle w:val="171"/>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
    <w:nsid w:val="065E6111"/>
    <w:multiLevelType w:val="singleLevel"/>
    <w:tmpl w:val="065E6111"/>
    <w:lvl w:ilvl="0" w:tentative="0">
      <w:start w:val="5"/>
      <w:numFmt w:val="chineseCounting"/>
      <w:suff w:val="space"/>
      <w:lvlText w:val="第%1章"/>
      <w:lvlJc w:val="left"/>
      <w:rPr>
        <w:rFonts w:hint="eastAsia"/>
      </w:rPr>
    </w:lvl>
  </w:abstractNum>
  <w:abstractNum w:abstractNumId="2">
    <w:nsid w:val="1F59586A"/>
    <w:multiLevelType w:val="multilevel"/>
    <w:tmpl w:val="1F59586A"/>
    <w:lvl w:ilvl="0" w:tentative="0">
      <w:start w:val="1"/>
      <w:numFmt w:val="lowerLetter"/>
      <w:lvlText w:val="%1."/>
      <w:lvlJc w:val="left"/>
      <w:pPr>
        <w:ind w:left="1440" w:hanging="420"/>
      </w:pPr>
      <w:rPr>
        <w:rFonts w:hint="eastAsia"/>
      </w:rPr>
    </w:lvl>
    <w:lvl w:ilvl="1" w:tentative="0">
      <w:start w:val="1"/>
      <w:numFmt w:val="lowerLetter"/>
      <w:lvlText w:val="%2)"/>
      <w:lvlJc w:val="left"/>
      <w:pPr>
        <w:ind w:left="840" w:hanging="420"/>
      </w:pPr>
    </w:lvl>
    <w:lvl w:ilvl="2" w:tentative="0">
      <w:start w:val="1"/>
      <w:numFmt w:val="lowerLetter"/>
      <w:lvlText w:val="%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1CC626"/>
    <w:multiLevelType w:val="singleLevel"/>
    <w:tmpl w:val="241CC626"/>
    <w:lvl w:ilvl="0" w:tentative="0">
      <w:start w:val="4"/>
      <w:numFmt w:val="chineseCounting"/>
      <w:suff w:val="space"/>
      <w:lvlText w:val="第%1章"/>
      <w:lvlJc w:val="left"/>
      <w:rPr>
        <w:rFonts w:hint="eastAsia"/>
      </w:rPr>
    </w:lvl>
  </w:abstractNum>
  <w:abstractNum w:abstractNumId="4">
    <w:nsid w:val="28EA551B"/>
    <w:multiLevelType w:val="multilevel"/>
    <w:tmpl w:val="28EA55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7C3BE1"/>
    <w:multiLevelType w:val="singleLevel"/>
    <w:tmpl w:val="417C3BE1"/>
    <w:lvl w:ilvl="0" w:tentative="0">
      <w:start w:val="3"/>
      <w:numFmt w:val="chineseCounting"/>
      <w:suff w:val="nothing"/>
      <w:lvlText w:val="%1、"/>
      <w:lvlJc w:val="left"/>
      <w:rPr>
        <w:rFonts w:hint="eastAsia"/>
      </w:rPr>
    </w:lvl>
  </w:abstractNum>
  <w:abstractNum w:abstractNumId="6">
    <w:nsid w:val="55B4330A"/>
    <w:multiLevelType w:val="multilevel"/>
    <w:tmpl w:val="55B4330A"/>
    <w:lvl w:ilvl="0" w:tentative="0">
      <w:start w:val="1"/>
      <w:numFmt w:val="decimal"/>
      <w:suff w:val="space"/>
      <w:lvlText w:val="16.%1"/>
      <w:lvlJc w:val="left"/>
      <w:pPr>
        <w:ind w:left="704" w:hanging="420"/>
      </w:pPr>
      <w:rPr>
        <w:rFonts w:hint="default"/>
        <w:b w:val="0"/>
        <w:bCs w:val="0"/>
        <w:color w:val="auto"/>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7">
    <w:nsid w:val="56C33A13"/>
    <w:multiLevelType w:val="multilevel"/>
    <w:tmpl w:val="56C33A13"/>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9C07086"/>
    <w:multiLevelType w:val="singleLevel"/>
    <w:tmpl w:val="59C07086"/>
    <w:lvl w:ilvl="0" w:tentative="0">
      <w:start w:val="1"/>
      <w:numFmt w:val="decimal"/>
      <w:suff w:val="nothing"/>
      <w:lvlText w:val="%1、"/>
      <w:lvlJc w:val="left"/>
    </w:lvl>
  </w:abstractNum>
  <w:abstractNum w:abstractNumId="9">
    <w:nsid w:val="750E7C1E"/>
    <w:multiLevelType w:val="multilevel"/>
    <w:tmpl w:val="750E7C1E"/>
    <w:lvl w:ilvl="0" w:tentative="0">
      <w:start w:val="1"/>
      <w:numFmt w:val="decimal"/>
      <w:suff w:val="space"/>
      <w:lvlText w:val="4.%1"/>
      <w:lvlJc w:val="left"/>
      <w:pPr>
        <w:ind w:left="1130" w:hanging="420"/>
      </w:pPr>
      <w:rPr>
        <w:rFonts w:hint="default"/>
        <w:b w:val="0"/>
        <w:bCs w:val="0"/>
        <w:color w:val="auto"/>
      </w:rPr>
    </w:lvl>
    <w:lvl w:ilvl="1" w:tentative="0">
      <w:start w:val="1"/>
      <w:numFmt w:val="japaneseCounting"/>
      <w:lvlText w:val="（%2）"/>
      <w:lvlJc w:val="left"/>
      <w:pPr>
        <w:ind w:left="1850" w:hanging="720"/>
      </w:pPr>
      <w:rPr>
        <w:rFonts w:hint="default"/>
      </w:r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0">
    <w:nsid w:val="7B7F0ECB"/>
    <w:multiLevelType w:val="multilevel"/>
    <w:tmpl w:val="7B7F0ECB"/>
    <w:lvl w:ilvl="0" w:tentative="0">
      <w:start w:val="1"/>
      <w:numFmt w:val="decimal"/>
      <w:suff w:val="space"/>
      <w:lvlText w:val="5.%1"/>
      <w:lvlJc w:val="left"/>
      <w:pPr>
        <w:ind w:left="900" w:hanging="42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7"/>
  </w:num>
  <w:num w:numId="4">
    <w:abstractNumId w:val="3"/>
  </w:num>
  <w:num w:numId="5">
    <w:abstractNumId w:val="1"/>
  </w:num>
  <w:num w:numId="6">
    <w:abstractNumId w:val="5"/>
  </w:num>
  <w:num w:numId="7">
    <w:abstractNumId w:val="4"/>
  </w:num>
  <w:num w:numId="8">
    <w:abstractNumId w:val="8"/>
  </w:num>
  <w:num w:numId="9">
    <w:abstractNumId w:val="9"/>
  </w:num>
  <w:num w:numId="10">
    <w:abstractNumId w:val="10"/>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N2RiMWVlYTc3YzQwYTZhNDhkNjFiNjA3MmYwYTIifQ=="/>
  </w:docVars>
  <w:rsids>
    <w:rsidRoot w:val="004963CF"/>
    <w:rsid w:val="000002C9"/>
    <w:rsid w:val="00001BA6"/>
    <w:rsid w:val="0000280D"/>
    <w:rsid w:val="000045B2"/>
    <w:rsid w:val="00005366"/>
    <w:rsid w:val="00005ED2"/>
    <w:rsid w:val="00006B76"/>
    <w:rsid w:val="00007C75"/>
    <w:rsid w:val="000118D6"/>
    <w:rsid w:val="00011D5F"/>
    <w:rsid w:val="0001383C"/>
    <w:rsid w:val="000142E9"/>
    <w:rsid w:val="0001445E"/>
    <w:rsid w:val="0001644F"/>
    <w:rsid w:val="00024AAB"/>
    <w:rsid w:val="00025453"/>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ECD"/>
    <w:rsid w:val="00056AF4"/>
    <w:rsid w:val="0005711D"/>
    <w:rsid w:val="00057788"/>
    <w:rsid w:val="000618F1"/>
    <w:rsid w:val="00063229"/>
    <w:rsid w:val="00065A79"/>
    <w:rsid w:val="00065B86"/>
    <w:rsid w:val="0007080C"/>
    <w:rsid w:val="00075C45"/>
    <w:rsid w:val="00076B9A"/>
    <w:rsid w:val="000771C9"/>
    <w:rsid w:val="000805C3"/>
    <w:rsid w:val="00080D90"/>
    <w:rsid w:val="00080EF8"/>
    <w:rsid w:val="00084B9B"/>
    <w:rsid w:val="00085618"/>
    <w:rsid w:val="00085C54"/>
    <w:rsid w:val="00090C38"/>
    <w:rsid w:val="00090C4E"/>
    <w:rsid w:val="00093573"/>
    <w:rsid w:val="000944EF"/>
    <w:rsid w:val="00097C46"/>
    <w:rsid w:val="000A08BB"/>
    <w:rsid w:val="000A12BE"/>
    <w:rsid w:val="000A4C23"/>
    <w:rsid w:val="000B079C"/>
    <w:rsid w:val="000B6A3F"/>
    <w:rsid w:val="000B718E"/>
    <w:rsid w:val="000B7A9E"/>
    <w:rsid w:val="000B7D6B"/>
    <w:rsid w:val="000C10A0"/>
    <w:rsid w:val="000C166E"/>
    <w:rsid w:val="000C1FF6"/>
    <w:rsid w:val="000C339F"/>
    <w:rsid w:val="000C4C4B"/>
    <w:rsid w:val="000C637A"/>
    <w:rsid w:val="000C65F1"/>
    <w:rsid w:val="000C6E82"/>
    <w:rsid w:val="000C7291"/>
    <w:rsid w:val="000C770F"/>
    <w:rsid w:val="000D0B1C"/>
    <w:rsid w:val="000D3DE4"/>
    <w:rsid w:val="000D5CC4"/>
    <w:rsid w:val="000E170E"/>
    <w:rsid w:val="000E1C7E"/>
    <w:rsid w:val="000F0293"/>
    <w:rsid w:val="000F5193"/>
    <w:rsid w:val="000F6146"/>
    <w:rsid w:val="000F6963"/>
    <w:rsid w:val="0010372F"/>
    <w:rsid w:val="00103EF3"/>
    <w:rsid w:val="00104100"/>
    <w:rsid w:val="0010456F"/>
    <w:rsid w:val="00110935"/>
    <w:rsid w:val="00112184"/>
    <w:rsid w:val="00114F40"/>
    <w:rsid w:val="0011501C"/>
    <w:rsid w:val="001205C1"/>
    <w:rsid w:val="00122204"/>
    <w:rsid w:val="00122ABF"/>
    <w:rsid w:val="00122F61"/>
    <w:rsid w:val="00123C23"/>
    <w:rsid w:val="001258F3"/>
    <w:rsid w:val="00125BDF"/>
    <w:rsid w:val="00125C11"/>
    <w:rsid w:val="00134E24"/>
    <w:rsid w:val="00135774"/>
    <w:rsid w:val="0013646E"/>
    <w:rsid w:val="00136E45"/>
    <w:rsid w:val="00137AD4"/>
    <w:rsid w:val="001430BB"/>
    <w:rsid w:val="00143782"/>
    <w:rsid w:val="0014617C"/>
    <w:rsid w:val="00146917"/>
    <w:rsid w:val="001471E1"/>
    <w:rsid w:val="00154637"/>
    <w:rsid w:val="001562CC"/>
    <w:rsid w:val="00161605"/>
    <w:rsid w:val="001619E0"/>
    <w:rsid w:val="00163CFF"/>
    <w:rsid w:val="00163DCD"/>
    <w:rsid w:val="00164D5B"/>
    <w:rsid w:val="001673A2"/>
    <w:rsid w:val="00167967"/>
    <w:rsid w:val="00170D1A"/>
    <w:rsid w:val="00171519"/>
    <w:rsid w:val="00177983"/>
    <w:rsid w:val="00180C7B"/>
    <w:rsid w:val="0018155B"/>
    <w:rsid w:val="001830FA"/>
    <w:rsid w:val="0018628A"/>
    <w:rsid w:val="00186F46"/>
    <w:rsid w:val="00186F9A"/>
    <w:rsid w:val="001870EF"/>
    <w:rsid w:val="001903C6"/>
    <w:rsid w:val="001908E4"/>
    <w:rsid w:val="0019108A"/>
    <w:rsid w:val="001917C3"/>
    <w:rsid w:val="001921F2"/>
    <w:rsid w:val="0019526D"/>
    <w:rsid w:val="00195CCF"/>
    <w:rsid w:val="00197003"/>
    <w:rsid w:val="00197F6D"/>
    <w:rsid w:val="001A3E74"/>
    <w:rsid w:val="001A4537"/>
    <w:rsid w:val="001A5C81"/>
    <w:rsid w:val="001A60FF"/>
    <w:rsid w:val="001A644E"/>
    <w:rsid w:val="001B0DDC"/>
    <w:rsid w:val="001B21E6"/>
    <w:rsid w:val="001B3A88"/>
    <w:rsid w:val="001B5643"/>
    <w:rsid w:val="001C00B8"/>
    <w:rsid w:val="001C25E2"/>
    <w:rsid w:val="001C5CD0"/>
    <w:rsid w:val="001C6E8F"/>
    <w:rsid w:val="001C765F"/>
    <w:rsid w:val="001C7906"/>
    <w:rsid w:val="001C7AFA"/>
    <w:rsid w:val="001D0047"/>
    <w:rsid w:val="001D1EC9"/>
    <w:rsid w:val="001D21A7"/>
    <w:rsid w:val="001D3D83"/>
    <w:rsid w:val="001D4AFE"/>
    <w:rsid w:val="001D6B0D"/>
    <w:rsid w:val="001D7434"/>
    <w:rsid w:val="001D7D77"/>
    <w:rsid w:val="001E10B6"/>
    <w:rsid w:val="001E3951"/>
    <w:rsid w:val="001E4F12"/>
    <w:rsid w:val="001E78D3"/>
    <w:rsid w:val="001E7E2D"/>
    <w:rsid w:val="001F0C43"/>
    <w:rsid w:val="001F468E"/>
    <w:rsid w:val="001F4A11"/>
    <w:rsid w:val="001F4B4F"/>
    <w:rsid w:val="001F50A2"/>
    <w:rsid w:val="001F5C93"/>
    <w:rsid w:val="002006F5"/>
    <w:rsid w:val="002009C2"/>
    <w:rsid w:val="00201B60"/>
    <w:rsid w:val="00203961"/>
    <w:rsid w:val="002043D9"/>
    <w:rsid w:val="002045CB"/>
    <w:rsid w:val="00206470"/>
    <w:rsid w:val="00215A5B"/>
    <w:rsid w:val="00217462"/>
    <w:rsid w:val="002308E0"/>
    <w:rsid w:val="00231731"/>
    <w:rsid w:val="002319FD"/>
    <w:rsid w:val="002341E5"/>
    <w:rsid w:val="00234840"/>
    <w:rsid w:val="00235948"/>
    <w:rsid w:val="00236F74"/>
    <w:rsid w:val="00240ACF"/>
    <w:rsid w:val="00241FB1"/>
    <w:rsid w:val="00243EFE"/>
    <w:rsid w:val="002501A9"/>
    <w:rsid w:val="00251126"/>
    <w:rsid w:val="0025237B"/>
    <w:rsid w:val="00254D85"/>
    <w:rsid w:val="00255520"/>
    <w:rsid w:val="0025607A"/>
    <w:rsid w:val="00266A70"/>
    <w:rsid w:val="002671EC"/>
    <w:rsid w:val="0026792F"/>
    <w:rsid w:val="00270166"/>
    <w:rsid w:val="0027469A"/>
    <w:rsid w:val="00277FC7"/>
    <w:rsid w:val="00281F04"/>
    <w:rsid w:val="002836B8"/>
    <w:rsid w:val="002879B4"/>
    <w:rsid w:val="00287FEF"/>
    <w:rsid w:val="00292EB2"/>
    <w:rsid w:val="00294BB9"/>
    <w:rsid w:val="00294D41"/>
    <w:rsid w:val="002951C3"/>
    <w:rsid w:val="00297E22"/>
    <w:rsid w:val="002A1CE0"/>
    <w:rsid w:val="002A1E25"/>
    <w:rsid w:val="002A20DF"/>
    <w:rsid w:val="002A3BD4"/>
    <w:rsid w:val="002A70BB"/>
    <w:rsid w:val="002B4916"/>
    <w:rsid w:val="002B5DA8"/>
    <w:rsid w:val="002B78F0"/>
    <w:rsid w:val="002C2FC5"/>
    <w:rsid w:val="002C4B42"/>
    <w:rsid w:val="002C5839"/>
    <w:rsid w:val="002C593F"/>
    <w:rsid w:val="002C5C0C"/>
    <w:rsid w:val="002C6271"/>
    <w:rsid w:val="002C7030"/>
    <w:rsid w:val="002D1422"/>
    <w:rsid w:val="002D2264"/>
    <w:rsid w:val="002D4948"/>
    <w:rsid w:val="002D60CA"/>
    <w:rsid w:val="002E08D9"/>
    <w:rsid w:val="002E47D1"/>
    <w:rsid w:val="002E4CEA"/>
    <w:rsid w:val="002E7B61"/>
    <w:rsid w:val="002F0009"/>
    <w:rsid w:val="002F59B1"/>
    <w:rsid w:val="0030072D"/>
    <w:rsid w:val="00303F64"/>
    <w:rsid w:val="00304070"/>
    <w:rsid w:val="00304BB6"/>
    <w:rsid w:val="003106B2"/>
    <w:rsid w:val="00311633"/>
    <w:rsid w:val="00311C55"/>
    <w:rsid w:val="0031394A"/>
    <w:rsid w:val="00313A80"/>
    <w:rsid w:val="003153A8"/>
    <w:rsid w:val="00315D8B"/>
    <w:rsid w:val="003162F4"/>
    <w:rsid w:val="003178CB"/>
    <w:rsid w:val="00317B78"/>
    <w:rsid w:val="00317D06"/>
    <w:rsid w:val="0032672E"/>
    <w:rsid w:val="00327C0C"/>
    <w:rsid w:val="003303C0"/>
    <w:rsid w:val="0033168C"/>
    <w:rsid w:val="00332C92"/>
    <w:rsid w:val="00334212"/>
    <w:rsid w:val="003361D1"/>
    <w:rsid w:val="0033631C"/>
    <w:rsid w:val="0033766F"/>
    <w:rsid w:val="0034034E"/>
    <w:rsid w:val="003417F8"/>
    <w:rsid w:val="00342009"/>
    <w:rsid w:val="003426D7"/>
    <w:rsid w:val="00344A9F"/>
    <w:rsid w:val="0034663D"/>
    <w:rsid w:val="003469FF"/>
    <w:rsid w:val="00346BEF"/>
    <w:rsid w:val="00346C0D"/>
    <w:rsid w:val="00346C9C"/>
    <w:rsid w:val="003502EC"/>
    <w:rsid w:val="00355F0C"/>
    <w:rsid w:val="003562B1"/>
    <w:rsid w:val="003579D0"/>
    <w:rsid w:val="00360133"/>
    <w:rsid w:val="00360576"/>
    <w:rsid w:val="00361AB0"/>
    <w:rsid w:val="00364CD9"/>
    <w:rsid w:val="00366093"/>
    <w:rsid w:val="0037038E"/>
    <w:rsid w:val="00374B12"/>
    <w:rsid w:val="00375AFF"/>
    <w:rsid w:val="00377D57"/>
    <w:rsid w:val="003803E0"/>
    <w:rsid w:val="00383128"/>
    <w:rsid w:val="0038506C"/>
    <w:rsid w:val="00391056"/>
    <w:rsid w:val="00391C6E"/>
    <w:rsid w:val="003946BC"/>
    <w:rsid w:val="00394768"/>
    <w:rsid w:val="0039603D"/>
    <w:rsid w:val="003964FD"/>
    <w:rsid w:val="003A1458"/>
    <w:rsid w:val="003A2B58"/>
    <w:rsid w:val="003A3EBE"/>
    <w:rsid w:val="003A3ED5"/>
    <w:rsid w:val="003A63F4"/>
    <w:rsid w:val="003A6752"/>
    <w:rsid w:val="003B2363"/>
    <w:rsid w:val="003B2462"/>
    <w:rsid w:val="003B5A53"/>
    <w:rsid w:val="003C0005"/>
    <w:rsid w:val="003C0916"/>
    <w:rsid w:val="003C179C"/>
    <w:rsid w:val="003C3544"/>
    <w:rsid w:val="003C46EC"/>
    <w:rsid w:val="003C4E7E"/>
    <w:rsid w:val="003C4FA1"/>
    <w:rsid w:val="003D07F1"/>
    <w:rsid w:val="003D111B"/>
    <w:rsid w:val="003D1341"/>
    <w:rsid w:val="003D18C4"/>
    <w:rsid w:val="003D224D"/>
    <w:rsid w:val="003D378F"/>
    <w:rsid w:val="003D6413"/>
    <w:rsid w:val="003D698E"/>
    <w:rsid w:val="003D6A42"/>
    <w:rsid w:val="003E25E3"/>
    <w:rsid w:val="003F3B66"/>
    <w:rsid w:val="003F6E87"/>
    <w:rsid w:val="003F71D0"/>
    <w:rsid w:val="003F7D73"/>
    <w:rsid w:val="0040095C"/>
    <w:rsid w:val="00400ADA"/>
    <w:rsid w:val="004014E2"/>
    <w:rsid w:val="00401858"/>
    <w:rsid w:val="00402669"/>
    <w:rsid w:val="00402CD6"/>
    <w:rsid w:val="00404536"/>
    <w:rsid w:val="004061B6"/>
    <w:rsid w:val="00414634"/>
    <w:rsid w:val="00417AD7"/>
    <w:rsid w:val="004213B7"/>
    <w:rsid w:val="00425BFC"/>
    <w:rsid w:val="00426A9B"/>
    <w:rsid w:val="0042738C"/>
    <w:rsid w:val="00430C54"/>
    <w:rsid w:val="004313A0"/>
    <w:rsid w:val="00432917"/>
    <w:rsid w:val="00434105"/>
    <w:rsid w:val="004348E7"/>
    <w:rsid w:val="004363C4"/>
    <w:rsid w:val="00436855"/>
    <w:rsid w:val="00437E7E"/>
    <w:rsid w:val="00437F74"/>
    <w:rsid w:val="004429D7"/>
    <w:rsid w:val="00442AA5"/>
    <w:rsid w:val="00442FCA"/>
    <w:rsid w:val="00443672"/>
    <w:rsid w:val="004467BC"/>
    <w:rsid w:val="00446D90"/>
    <w:rsid w:val="00454CC8"/>
    <w:rsid w:val="00456B96"/>
    <w:rsid w:val="004622A8"/>
    <w:rsid w:val="00464AAC"/>
    <w:rsid w:val="00465791"/>
    <w:rsid w:val="00466819"/>
    <w:rsid w:val="00471382"/>
    <w:rsid w:val="00471CDE"/>
    <w:rsid w:val="00472E4C"/>
    <w:rsid w:val="004738F5"/>
    <w:rsid w:val="00474A4C"/>
    <w:rsid w:val="004761FA"/>
    <w:rsid w:val="0047791E"/>
    <w:rsid w:val="004803C2"/>
    <w:rsid w:val="00481777"/>
    <w:rsid w:val="00481AF0"/>
    <w:rsid w:val="004824AC"/>
    <w:rsid w:val="00482521"/>
    <w:rsid w:val="00482650"/>
    <w:rsid w:val="00482974"/>
    <w:rsid w:val="0048681D"/>
    <w:rsid w:val="00486B78"/>
    <w:rsid w:val="0049059C"/>
    <w:rsid w:val="00490C59"/>
    <w:rsid w:val="00491ECD"/>
    <w:rsid w:val="00492D02"/>
    <w:rsid w:val="00493269"/>
    <w:rsid w:val="00494218"/>
    <w:rsid w:val="004948F7"/>
    <w:rsid w:val="004951B2"/>
    <w:rsid w:val="00495EAC"/>
    <w:rsid w:val="004963CF"/>
    <w:rsid w:val="0049661D"/>
    <w:rsid w:val="00496D41"/>
    <w:rsid w:val="004A02C0"/>
    <w:rsid w:val="004A14C7"/>
    <w:rsid w:val="004A1B5B"/>
    <w:rsid w:val="004A1EFE"/>
    <w:rsid w:val="004A2209"/>
    <w:rsid w:val="004A2E20"/>
    <w:rsid w:val="004A6A55"/>
    <w:rsid w:val="004A6CFC"/>
    <w:rsid w:val="004B0B86"/>
    <w:rsid w:val="004B1667"/>
    <w:rsid w:val="004B2429"/>
    <w:rsid w:val="004B30A8"/>
    <w:rsid w:val="004B477A"/>
    <w:rsid w:val="004B5F7C"/>
    <w:rsid w:val="004C121E"/>
    <w:rsid w:val="004C1809"/>
    <w:rsid w:val="004C267B"/>
    <w:rsid w:val="004C31F7"/>
    <w:rsid w:val="004C41D4"/>
    <w:rsid w:val="004C5693"/>
    <w:rsid w:val="004C572D"/>
    <w:rsid w:val="004C67A5"/>
    <w:rsid w:val="004D027A"/>
    <w:rsid w:val="004D3E29"/>
    <w:rsid w:val="004D6377"/>
    <w:rsid w:val="004D7A52"/>
    <w:rsid w:val="004E03AD"/>
    <w:rsid w:val="004E12DB"/>
    <w:rsid w:val="004E1559"/>
    <w:rsid w:val="004E28D8"/>
    <w:rsid w:val="004E2ED0"/>
    <w:rsid w:val="004E3F87"/>
    <w:rsid w:val="004E4275"/>
    <w:rsid w:val="004E4EBD"/>
    <w:rsid w:val="004E502D"/>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6757"/>
    <w:rsid w:val="005170A5"/>
    <w:rsid w:val="00522F23"/>
    <w:rsid w:val="00523BB1"/>
    <w:rsid w:val="00525235"/>
    <w:rsid w:val="005257E2"/>
    <w:rsid w:val="00525ABD"/>
    <w:rsid w:val="00526EC5"/>
    <w:rsid w:val="00527A5D"/>
    <w:rsid w:val="00530AC8"/>
    <w:rsid w:val="00535B4B"/>
    <w:rsid w:val="00541304"/>
    <w:rsid w:val="00541DA0"/>
    <w:rsid w:val="00541E0D"/>
    <w:rsid w:val="00542BDD"/>
    <w:rsid w:val="00543B42"/>
    <w:rsid w:val="00545AC0"/>
    <w:rsid w:val="00550F27"/>
    <w:rsid w:val="0055230B"/>
    <w:rsid w:val="005600EC"/>
    <w:rsid w:val="00566338"/>
    <w:rsid w:val="00570A02"/>
    <w:rsid w:val="00573ED4"/>
    <w:rsid w:val="00575D04"/>
    <w:rsid w:val="005766C7"/>
    <w:rsid w:val="00576C41"/>
    <w:rsid w:val="005830B0"/>
    <w:rsid w:val="00584823"/>
    <w:rsid w:val="00584E64"/>
    <w:rsid w:val="00585158"/>
    <w:rsid w:val="0058612A"/>
    <w:rsid w:val="005901DD"/>
    <w:rsid w:val="00596438"/>
    <w:rsid w:val="00597088"/>
    <w:rsid w:val="00597604"/>
    <w:rsid w:val="00597A44"/>
    <w:rsid w:val="005A1C32"/>
    <w:rsid w:val="005A2E43"/>
    <w:rsid w:val="005A45A5"/>
    <w:rsid w:val="005B0BF1"/>
    <w:rsid w:val="005B1814"/>
    <w:rsid w:val="005B21E3"/>
    <w:rsid w:val="005B7553"/>
    <w:rsid w:val="005B75E3"/>
    <w:rsid w:val="005C6DC1"/>
    <w:rsid w:val="005C713C"/>
    <w:rsid w:val="005C7991"/>
    <w:rsid w:val="005C7994"/>
    <w:rsid w:val="005D0CC2"/>
    <w:rsid w:val="005D0E49"/>
    <w:rsid w:val="005D16BA"/>
    <w:rsid w:val="005D326A"/>
    <w:rsid w:val="005D4DD4"/>
    <w:rsid w:val="005D5133"/>
    <w:rsid w:val="005D57B4"/>
    <w:rsid w:val="005D6829"/>
    <w:rsid w:val="005D74D1"/>
    <w:rsid w:val="005E1006"/>
    <w:rsid w:val="005E3748"/>
    <w:rsid w:val="005E3FE6"/>
    <w:rsid w:val="005E58C3"/>
    <w:rsid w:val="005F072A"/>
    <w:rsid w:val="005F082D"/>
    <w:rsid w:val="005F37DA"/>
    <w:rsid w:val="005F5360"/>
    <w:rsid w:val="005F6C91"/>
    <w:rsid w:val="00600009"/>
    <w:rsid w:val="006008AE"/>
    <w:rsid w:val="00610785"/>
    <w:rsid w:val="0061107A"/>
    <w:rsid w:val="00611C56"/>
    <w:rsid w:val="00612313"/>
    <w:rsid w:val="0061340F"/>
    <w:rsid w:val="00614F72"/>
    <w:rsid w:val="006153EB"/>
    <w:rsid w:val="00616DD2"/>
    <w:rsid w:val="006172A2"/>
    <w:rsid w:val="00617F62"/>
    <w:rsid w:val="00620F31"/>
    <w:rsid w:val="006210B4"/>
    <w:rsid w:val="00622975"/>
    <w:rsid w:val="0062363E"/>
    <w:rsid w:val="006240F5"/>
    <w:rsid w:val="00626F0F"/>
    <w:rsid w:val="0062788E"/>
    <w:rsid w:val="0063150C"/>
    <w:rsid w:val="0063163D"/>
    <w:rsid w:val="00631927"/>
    <w:rsid w:val="00631994"/>
    <w:rsid w:val="006319C9"/>
    <w:rsid w:val="00632D7C"/>
    <w:rsid w:val="00635B24"/>
    <w:rsid w:val="00641535"/>
    <w:rsid w:val="006419A1"/>
    <w:rsid w:val="0064259D"/>
    <w:rsid w:val="00644966"/>
    <w:rsid w:val="00645411"/>
    <w:rsid w:val="00646734"/>
    <w:rsid w:val="00647B85"/>
    <w:rsid w:val="00653449"/>
    <w:rsid w:val="006547D5"/>
    <w:rsid w:val="00654A6A"/>
    <w:rsid w:val="0066294C"/>
    <w:rsid w:val="00665DC0"/>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D9C"/>
    <w:rsid w:val="006A3908"/>
    <w:rsid w:val="006A6924"/>
    <w:rsid w:val="006A697C"/>
    <w:rsid w:val="006A6BD0"/>
    <w:rsid w:val="006A6F9A"/>
    <w:rsid w:val="006A7684"/>
    <w:rsid w:val="006B4996"/>
    <w:rsid w:val="006B565C"/>
    <w:rsid w:val="006B6642"/>
    <w:rsid w:val="006B697F"/>
    <w:rsid w:val="006B71A8"/>
    <w:rsid w:val="006B74C2"/>
    <w:rsid w:val="006C091C"/>
    <w:rsid w:val="006C1DE7"/>
    <w:rsid w:val="006C28E3"/>
    <w:rsid w:val="006C2925"/>
    <w:rsid w:val="006C4848"/>
    <w:rsid w:val="006C4E28"/>
    <w:rsid w:val="006C5032"/>
    <w:rsid w:val="006C6D59"/>
    <w:rsid w:val="006C6E25"/>
    <w:rsid w:val="006D3F7D"/>
    <w:rsid w:val="006D45FF"/>
    <w:rsid w:val="006D4FB4"/>
    <w:rsid w:val="006D58EF"/>
    <w:rsid w:val="006D7D20"/>
    <w:rsid w:val="006E3F97"/>
    <w:rsid w:val="006E40BE"/>
    <w:rsid w:val="006F25AD"/>
    <w:rsid w:val="006F2F68"/>
    <w:rsid w:val="006F3CBC"/>
    <w:rsid w:val="006F6A85"/>
    <w:rsid w:val="006F7CB3"/>
    <w:rsid w:val="00700ADB"/>
    <w:rsid w:val="007024C5"/>
    <w:rsid w:val="00704ACE"/>
    <w:rsid w:val="00705EFB"/>
    <w:rsid w:val="00706FD2"/>
    <w:rsid w:val="00707171"/>
    <w:rsid w:val="00707B57"/>
    <w:rsid w:val="00707CC8"/>
    <w:rsid w:val="00710B43"/>
    <w:rsid w:val="00712414"/>
    <w:rsid w:val="007127D1"/>
    <w:rsid w:val="00712C9C"/>
    <w:rsid w:val="00720397"/>
    <w:rsid w:val="007213C7"/>
    <w:rsid w:val="0072141B"/>
    <w:rsid w:val="00721509"/>
    <w:rsid w:val="00727C02"/>
    <w:rsid w:val="00730EC4"/>
    <w:rsid w:val="00731D8B"/>
    <w:rsid w:val="00732BF6"/>
    <w:rsid w:val="0073305A"/>
    <w:rsid w:val="00733C18"/>
    <w:rsid w:val="00735E22"/>
    <w:rsid w:val="007365B6"/>
    <w:rsid w:val="00736664"/>
    <w:rsid w:val="00736BD5"/>
    <w:rsid w:val="00743808"/>
    <w:rsid w:val="00744571"/>
    <w:rsid w:val="00746CBE"/>
    <w:rsid w:val="007473CE"/>
    <w:rsid w:val="00747C22"/>
    <w:rsid w:val="00750071"/>
    <w:rsid w:val="0075300D"/>
    <w:rsid w:val="007547FD"/>
    <w:rsid w:val="00754996"/>
    <w:rsid w:val="00754F74"/>
    <w:rsid w:val="00755173"/>
    <w:rsid w:val="007555E6"/>
    <w:rsid w:val="00755910"/>
    <w:rsid w:val="00755D75"/>
    <w:rsid w:val="0075776A"/>
    <w:rsid w:val="00760B0E"/>
    <w:rsid w:val="0076313E"/>
    <w:rsid w:val="00764985"/>
    <w:rsid w:val="00767158"/>
    <w:rsid w:val="007708D0"/>
    <w:rsid w:val="00771A68"/>
    <w:rsid w:val="00774F0B"/>
    <w:rsid w:val="00780942"/>
    <w:rsid w:val="007819CC"/>
    <w:rsid w:val="00787623"/>
    <w:rsid w:val="00787836"/>
    <w:rsid w:val="00791FB7"/>
    <w:rsid w:val="00792255"/>
    <w:rsid w:val="00792C89"/>
    <w:rsid w:val="00797F2B"/>
    <w:rsid w:val="007A3BA9"/>
    <w:rsid w:val="007A7CC8"/>
    <w:rsid w:val="007B2D1C"/>
    <w:rsid w:val="007B3F84"/>
    <w:rsid w:val="007B600E"/>
    <w:rsid w:val="007B63C3"/>
    <w:rsid w:val="007B7199"/>
    <w:rsid w:val="007C12F0"/>
    <w:rsid w:val="007C4898"/>
    <w:rsid w:val="007C7282"/>
    <w:rsid w:val="007D24F1"/>
    <w:rsid w:val="007D2D38"/>
    <w:rsid w:val="007D2E33"/>
    <w:rsid w:val="007D449D"/>
    <w:rsid w:val="007D5E44"/>
    <w:rsid w:val="007D606E"/>
    <w:rsid w:val="007D64CD"/>
    <w:rsid w:val="007E051E"/>
    <w:rsid w:val="007E4753"/>
    <w:rsid w:val="007E4A49"/>
    <w:rsid w:val="007E5DBE"/>
    <w:rsid w:val="007E7C4E"/>
    <w:rsid w:val="007E7CE0"/>
    <w:rsid w:val="007F1480"/>
    <w:rsid w:val="007F2519"/>
    <w:rsid w:val="007F303D"/>
    <w:rsid w:val="007F7D23"/>
    <w:rsid w:val="00801DAA"/>
    <w:rsid w:val="008025CC"/>
    <w:rsid w:val="00810E2C"/>
    <w:rsid w:val="00811B2B"/>
    <w:rsid w:val="00817B72"/>
    <w:rsid w:val="00821456"/>
    <w:rsid w:val="0082186F"/>
    <w:rsid w:val="00824C8A"/>
    <w:rsid w:val="00825FAC"/>
    <w:rsid w:val="008300F6"/>
    <w:rsid w:val="008307DA"/>
    <w:rsid w:val="00833196"/>
    <w:rsid w:val="00834A00"/>
    <w:rsid w:val="00834B80"/>
    <w:rsid w:val="00834F0D"/>
    <w:rsid w:val="00835FAA"/>
    <w:rsid w:val="008364B3"/>
    <w:rsid w:val="00841555"/>
    <w:rsid w:val="0084669E"/>
    <w:rsid w:val="008473C6"/>
    <w:rsid w:val="0085332F"/>
    <w:rsid w:val="008534FD"/>
    <w:rsid w:val="00861A09"/>
    <w:rsid w:val="00861CCA"/>
    <w:rsid w:val="008626EA"/>
    <w:rsid w:val="00862A03"/>
    <w:rsid w:val="00862B91"/>
    <w:rsid w:val="00865C33"/>
    <w:rsid w:val="00867DBC"/>
    <w:rsid w:val="00867DBF"/>
    <w:rsid w:val="00871711"/>
    <w:rsid w:val="00872DAB"/>
    <w:rsid w:val="00872FAE"/>
    <w:rsid w:val="00873F7B"/>
    <w:rsid w:val="00874490"/>
    <w:rsid w:val="00876212"/>
    <w:rsid w:val="00880FBC"/>
    <w:rsid w:val="00883451"/>
    <w:rsid w:val="00883718"/>
    <w:rsid w:val="0088456C"/>
    <w:rsid w:val="00891D4F"/>
    <w:rsid w:val="00892F38"/>
    <w:rsid w:val="00893370"/>
    <w:rsid w:val="008944FE"/>
    <w:rsid w:val="00895682"/>
    <w:rsid w:val="008A02D8"/>
    <w:rsid w:val="008A1654"/>
    <w:rsid w:val="008A572D"/>
    <w:rsid w:val="008A7729"/>
    <w:rsid w:val="008B17DE"/>
    <w:rsid w:val="008B1849"/>
    <w:rsid w:val="008B235F"/>
    <w:rsid w:val="008B33EE"/>
    <w:rsid w:val="008B4D5C"/>
    <w:rsid w:val="008B53A7"/>
    <w:rsid w:val="008B6027"/>
    <w:rsid w:val="008C0F07"/>
    <w:rsid w:val="008C2D28"/>
    <w:rsid w:val="008C35B7"/>
    <w:rsid w:val="008C3EC4"/>
    <w:rsid w:val="008D0544"/>
    <w:rsid w:val="008D20D2"/>
    <w:rsid w:val="008D30E0"/>
    <w:rsid w:val="008D3ACD"/>
    <w:rsid w:val="008D66A4"/>
    <w:rsid w:val="008D6DE8"/>
    <w:rsid w:val="008E1560"/>
    <w:rsid w:val="008E5B79"/>
    <w:rsid w:val="008E66AA"/>
    <w:rsid w:val="008E76F9"/>
    <w:rsid w:val="008E7B06"/>
    <w:rsid w:val="008F1968"/>
    <w:rsid w:val="008F3394"/>
    <w:rsid w:val="008F3C56"/>
    <w:rsid w:val="008F3EAE"/>
    <w:rsid w:val="009024CB"/>
    <w:rsid w:val="00902A91"/>
    <w:rsid w:val="00903C2D"/>
    <w:rsid w:val="00906F56"/>
    <w:rsid w:val="009104E4"/>
    <w:rsid w:val="00910DBE"/>
    <w:rsid w:val="00913CF5"/>
    <w:rsid w:val="00914B86"/>
    <w:rsid w:val="00916ABC"/>
    <w:rsid w:val="00917665"/>
    <w:rsid w:val="009203F9"/>
    <w:rsid w:val="00921CA4"/>
    <w:rsid w:val="00927194"/>
    <w:rsid w:val="00931770"/>
    <w:rsid w:val="0094011F"/>
    <w:rsid w:val="009401D9"/>
    <w:rsid w:val="00942784"/>
    <w:rsid w:val="00943C4E"/>
    <w:rsid w:val="00943E92"/>
    <w:rsid w:val="00943FC8"/>
    <w:rsid w:val="00946A45"/>
    <w:rsid w:val="009474C6"/>
    <w:rsid w:val="009474E7"/>
    <w:rsid w:val="00947E30"/>
    <w:rsid w:val="00951825"/>
    <w:rsid w:val="00956184"/>
    <w:rsid w:val="00957376"/>
    <w:rsid w:val="009576C4"/>
    <w:rsid w:val="009603F0"/>
    <w:rsid w:val="00965C41"/>
    <w:rsid w:val="00966CFD"/>
    <w:rsid w:val="00970EA2"/>
    <w:rsid w:val="00971C36"/>
    <w:rsid w:val="009738A3"/>
    <w:rsid w:val="00975EA1"/>
    <w:rsid w:val="00976D3F"/>
    <w:rsid w:val="00977185"/>
    <w:rsid w:val="00977A7F"/>
    <w:rsid w:val="00977D88"/>
    <w:rsid w:val="0098092B"/>
    <w:rsid w:val="00981E9D"/>
    <w:rsid w:val="00982169"/>
    <w:rsid w:val="00982A33"/>
    <w:rsid w:val="009837B6"/>
    <w:rsid w:val="00983C8D"/>
    <w:rsid w:val="00987329"/>
    <w:rsid w:val="009902C2"/>
    <w:rsid w:val="00993C92"/>
    <w:rsid w:val="00995C35"/>
    <w:rsid w:val="009978DE"/>
    <w:rsid w:val="009A525E"/>
    <w:rsid w:val="009B2C44"/>
    <w:rsid w:val="009B73D0"/>
    <w:rsid w:val="009C1E4D"/>
    <w:rsid w:val="009C2043"/>
    <w:rsid w:val="009C3725"/>
    <w:rsid w:val="009C3A75"/>
    <w:rsid w:val="009C3AB8"/>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399"/>
    <w:rsid w:val="009E5CCC"/>
    <w:rsid w:val="009E6747"/>
    <w:rsid w:val="009F18E5"/>
    <w:rsid w:val="009F4B45"/>
    <w:rsid w:val="009F75FC"/>
    <w:rsid w:val="00A002FC"/>
    <w:rsid w:val="00A00660"/>
    <w:rsid w:val="00A025A1"/>
    <w:rsid w:val="00A05154"/>
    <w:rsid w:val="00A05A57"/>
    <w:rsid w:val="00A12C0D"/>
    <w:rsid w:val="00A15330"/>
    <w:rsid w:val="00A15481"/>
    <w:rsid w:val="00A17B37"/>
    <w:rsid w:val="00A2276B"/>
    <w:rsid w:val="00A23476"/>
    <w:rsid w:val="00A23670"/>
    <w:rsid w:val="00A25F5D"/>
    <w:rsid w:val="00A2775B"/>
    <w:rsid w:val="00A40144"/>
    <w:rsid w:val="00A416DD"/>
    <w:rsid w:val="00A43059"/>
    <w:rsid w:val="00A440B4"/>
    <w:rsid w:val="00A4627B"/>
    <w:rsid w:val="00A47A6E"/>
    <w:rsid w:val="00A5027D"/>
    <w:rsid w:val="00A50495"/>
    <w:rsid w:val="00A50E54"/>
    <w:rsid w:val="00A51FC4"/>
    <w:rsid w:val="00A52B39"/>
    <w:rsid w:val="00A546DC"/>
    <w:rsid w:val="00A55E23"/>
    <w:rsid w:val="00A571C4"/>
    <w:rsid w:val="00A574CF"/>
    <w:rsid w:val="00A5786D"/>
    <w:rsid w:val="00A60D54"/>
    <w:rsid w:val="00A630D2"/>
    <w:rsid w:val="00A63127"/>
    <w:rsid w:val="00A65878"/>
    <w:rsid w:val="00A66F38"/>
    <w:rsid w:val="00A7043C"/>
    <w:rsid w:val="00A70485"/>
    <w:rsid w:val="00A729E1"/>
    <w:rsid w:val="00A73908"/>
    <w:rsid w:val="00A772EB"/>
    <w:rsid w:val="00A77547"/>
    <w:rsid w:val="00A77660"/>
    <w:rsid w:val="00A80030"/>
    <w:rsid w:val="00A83BCA"/>
    <w:rsid w:val="00A84003"/>
    <w:rsid w:val="00A857D2"/>
    <w:rsid w:val="00A85E99"/>
    <w:rsid w:val="00A86CCD"/>
    <w:rsid w:val="00A90654"/>
    <w:rsid w:val="00A962F5"/>
    <w:rsid w:val="00A9695B"/>
    <w:rsid w:val="00AA55DC"/>
    <w:rsid w:val="00AA75B3"/>
    <w:rsid w:val="00AB0590"/>
    <w:rsid w:val="00AB2538"/>
    <w:rsid w:val="00AB6A10"/>
    <w:rsid w:val="00AB7B34"/>
    <w:rsid w:val="00AC180A"/>
    <w:rsid w:val="00AC34BE"/>
    <w:rsid w:val="00AC6041"/>
    <w:rsid w:val="00AC61F4"/>
    <w:rsid w:val="00AC6A28"/>
    <w:rsid w:val="00AC6EF4"/>
    <w:rsid w:val="00AC700D"/>
    <w:rsid w:val="00AD0794"/>
    <w:rsid w:val="00AD2DAA"/>
    <w:rsid w:val="00AD3A82"/>
    <w:rsid w:val="00AD4502"/>
    <w:rsid w:val="00AD4C8E"/>
    <w:rsid w:val="00AD5082"/>
    <w:rsid w:val="00AD69FD"/>
    <w:rsid w:val="00AE0788"/>
    <w:rsid w:val="00AE1E2C"/>
    <w:rsid w:val="00AE3590"/>
    <w:rsid w:val="00AE3A68"/>
    <w:rsid w:val="00AE415B"/>
    <w:rsid w:val="00AE5FEB"/>
    <w:rsid w:val="00AF0008"/>
    <w:rsid w:val="00AF0981"/>
    <w:rsid w:val="00AF5417"/>
    <w:rsid w:val="00AF5921"/>
    <w:rsid w:val="00AF62D3"/>
    <w:rsid w:val="00B004A7"/>
    <w:rsid w:val="00B00614"/>
    <w:rsid w:val="00B00BF5"/>
    <w:rsid w:val="00B01DE8"/>
    <w:rsid w:val="00B033FB"/>
    <w:rsid w:val="00B051BF"/>
    <w:rsid w:val="00B0665F"/>
    <w:rsid w:val="00B076D5"/>
    <w:rsid w:val="00B07D19"/>
    <w:rsid w:val="00B1082B"/>
    <w:rsid w:val="00B12650"/>
    <w:rsid w:val="00B135E0"/>
    <w:rsid w:val="00B15B19"/>
    <w:rsid w:val="00B231E5"/>
    <w:rsid w:val="00B24FEC"/>
    <w:rsid w:val="00B254CC"/>
    <w:rsid w:val="00B2578C"/>
    <w:rsid w:val="00B25B01"/>
    <w:rsid w:val="00B2689D"/>
    <w:rsid w:val="00B27F30"/>
    <w:rsid w:val="00B30284"/>
    <w:rsid w:val="00B302A7"/>
    <w:rsid w:val="00B318C1"/>
    <w:rsid w:val="00B327FB"/>
    <w:rsid w:val="00B331B6"/>
    <w:rsid w:val="00B42772"/>
    <w:rsid w:val="00B4387F"/>
    <w:rsid w:val="00B43B12"/>
    <w:rsid w:val="00B4723E"/>
    <w:rsid w:val="00B50DD9"/>
    <w:rsid w:val="00B55F8F"/>
    <w:rsid w:val="00B56D29"/>
    <w:rsid w:val="00B60DEA"/>
    <w:rsid w:val="00B63B34"/>
    <w:rsid w:val="00B6621A"/>
    <w:rsid w:val="00B667B7"/>
    <w:rsid w:val="00B71E21"/>
    <w:rsid w:val="00B73BDF"/>
    <w:rsid w:val="00B74603"/>
    <w:rsid w:val="00B75582"/>
    <w:rsid w:val="00B803EC"/>
    <w:rsid w:val="00B82BE7"/>
    <w:rsid w:val="00B832CC"/>
    <w:rsid w:val="00B86024"/>
    <w:rsid w:val="00B86570"/>
    <w:rsid w:val="00B8697A"/>
    <w:rsid w:val="00B8748E"/>
    <w:rsid w:val="00B91E16"/>
    <w:rsid w:val="00B9376C"/>
    <w:rsid w:val="00B94E7D"/>
    <w:rsid w:val="00B96371"/>
    <w:rsid w:val="00BA04E4"/>
    <w:rsid w:val="00BA441B"/>
    <w:rsid w:val="00BA5AEA"/>
    <w:rsid w:val="00BA61C8"/>
    <w:rsid w:val="00BA7774"/>
    <w:rsid w:val="00BB14AA"/>
    <w:rsid w:val="00BB16A4"/>
    <w:rsid w:val="00BB4054"/>
    <w:rsid w:val="00BB405C"/>
    <w:rsid w:val="00BB46B5"/>
    <w:rsid w:val="00BB7CDA"/>
    <w:rsid w:val="00BB7DD0"/>
    <w:rsid w:val="00BC24E5"/>
    <w:rsid w:val="00BC3250"/>
    <w:rsid w:val="00BC489C"/>
    <w:rsid w:val="00BC5035"/>
    <w:rsid w:val="00BC611C"/>
    <w:rsid w:val="00BC7955"/>
    <w:rsid w:val="00BD385F"/>
    <w:rsid w:val="00BE09E0"/>
    <w:rsid w:val="00BE6519"/>
    <w:rsid w:val="00BE70C8"/>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9F4"/>
    <w:rsid w:val="00C20F31"/>
    <w:rsid w:val="00C23C1F"/>
    <w:rsid w:val="00C2530E"/>
    <w:rsid w:val="00C25A91"/>
    <w:rsid w:val="00C25DF1"/>
    <w:rsid w:val="00C25E70"/>
    <w:rsid w:val="00C30144"/>
    <w:rsid w:val="00C30867"/>
    <w:rsid w:val="00C33A40"/>
    <w:rsid w:val="00C33B6B"/>
    <w:rsid w:val="00C35CAE"/>
    <w:rsid w:val="00C368A3"/>
    <w:rsid w:val="00C3723C"/>
    <w:rsid w:val="00C4080F"/>
    <w:rsid w:val="00C44568"/>
    <w:rsid w:val="00C4761F"/>
    <w:rsid w:val="00C50B1F"/>
    <w:rsid w:val="00C50BFC"/>
    <w:rsid w:val="00C51F92"/>
    <w:rsid w:val="00C52358"/>
    <w:rsid w:val="00C534CB"/>
    <w:rsid w:val="00C53947"/>
    <w:rsid w:val="00C557AF"/>
    <w:rsid w:val="00C56461"/>
    <w:rsid w:val="00C57C5E"/>
    <w:rsid w:val="00C628C1"/>
    <w:rsid w:val="00C629A7"/>
    <w:rsid w:val="00C62A58"/>
    <w:rsid w:val="00C633BA"/>
    <w:rsid w:val="00C6362A"/>
    <w:rsid w:val="00C6526C"/>
    <w:rsid w:val="00C658D1"/>
    <w:rsid w:val="00C6599F"/>
    <w:rsid w:val="00C6640E"/>
    <w:rsid w:val="00C67346"/>
    <w:rsid w:val="00C7578A"/>
    <w:rsid w:val="00C76600"/>
    <w:rsid w:val="00C812A6"/>
    <w:rsid w:val="00C835FF"/>
    <w:rsid w:val="00C83728"/>
    <w:rsid w:val="00C85852"/>
    <w:rsid w:val="00C85AC4"/>
    <w:rsid w:val="00C86CA7"/>
    <w:rsid w:val="00C873A5"/>
    <w:rsid w:val="00C87AC4"/>
    <w:rsid w:val="00C9313D"/>
    <w:rsid w:val="00CA13F9"/>
    <w:rsid w:val="00CA3CC2"/>
    <w:rsid w:val="00CA69DA"/>
    <w:rsid w:val="00CB10E1"/>
    <w:rsid w:val="00CB2246"/>
    <w:rsid w:val="00CB28F9"/>
    <w:rsid w:val="00CB4FF8"/>
    <w:rsid w:val="00CB549B"/>
    <w:rsid w:val="00CC0153"/>
    <w:rsid w:val="00CC0833"/>
    <w:rsid w:val="00CC1C97"/>
    <w:rsid w:val="00CC251A"/>
    <w:rsid w:val="00CC2F37"/>
    <w:rsid w:val="00CC6F08"/>
    <w:rsid w:val="00CC7327"/>
    <w:rsid w:val="00CD0722"/>
    <w:rsid w:val="00CD2799"/>
    <w:rsid w:val="00CD3A30"/>
    <w:rsid w:val="00CD431D"/>
    <w:rsid w:val="00CD43B4"/>
    <w:rsid w:val="00CD5805"/>
    <w:rsid w:val="00CD613A"/>
    <w:rsid w:val="00CD6A22"/>
    <w:rsid w:val="00CD7023"/>
    <w:rsid w:val="00CD70DD"/>
    <w:rsid w:val="00CE4D89"/>
    <w:rsid w:val="00CE750A"/>
    <w:rsid w:val="00CF1405"/>
    <w:rsid w:val="00CF650A"/>
    <w:rsid w:val="00D03F9C"/>
    <w:rsid w:val="00D04054"/>
    <w:rsid w:val="00D050F6"/>
    <w:rsid w:val="00D05CEA"/>
    <w:rsid w:val="00D06754"/>
    <w:rsid w:val="00D07170"/>
    <w:rsid w:val="00D078ED"/>
    <w:rsid w:val="00D07C41"/>
    <w:rsid w:val="00D11350"/>
    <w:rsid w:val="00D13D61"/>
    <w:rsid w:val="00D143FE"/>
    <w:rsid w:val="00D15676"/>
    <w:rsid w:val="00D23343"/>
    <w:rsid w:val="00D24495"/>
    <w:rsid w:val="00D24B29"/>
    <w:rsid w:val="00D25ABA"/>
    <w:rsid w:val="00D262EA"/>
    <w:rsid w:val="00D26901"/>
    <w:rsid w:val="00D27EE3"/>
    <w:rsid w:val="00D35DBE"/>
    <w:rsid w:val="00D40D9B"/>
    <w:rsid w:val="00D41F1B"/>
    <w:rsid w:val="00D4329E"/>
    <w:rsid w:val="00D43929"/>
    <w:rsid w:val="00D45A7D"/>
    <w:rsid w:val="00D45C92"/>
    <w:rsid w:val="00D46D54"/>
    <w:rsid w:val="00D51A0D"/>
    <w:rsid w:val="00D52443"/>
    <w:rsid w:val="00D527F5"/>
    <w:rsid w:val="00D53C31"/>
    <w:rsid w:val="00D54C51"/>
    <w:rsid w:val="00D55C2A"/>
    <w:rsid w:val="00D55EE1"/>
    <w:rsid w:val="00D57607"/>
    <w:rsid w:val="00D611D0"/>
    <w:rsid w:val="00D6236E"/>
    <w:rsid w:val="00D63DBE"/>
    <w:rsid w:val="00D64C14"/>
    <w:rsid w:val="00D6617F"/>
    <w:rsid w:val="00D672C7"/>
    <w:rsid w:val="00D708B6"/>
    <w:rsid w:val="00D75594"/>
    <w:rsid w:val="00D764FC"/>
    <w:rsid w:val="00D7689F"/>
    <w:rsid w:val="00D77F36"/>
    <w:rsid w:val="00D8054E"/>
    <w:rsid w:val="00D80714"/>
    <w:rsid w:val="00D80B1F"/>
    <w:rsid w:val="00D86EB3"/>
    <w:rsid w:val="00D90211"/>
    <w:rsid w:val="00D90C2E"/>
    <w:rsid w:val="00D921D3"/>
    <w:rsid w:val="00D93E99"/>
    <w:rsid w:val="00D95626"/>
    <w:rsid w:val="00D9612B"/>
    <w:rsid w:val="00D96D8E"/>
    <w:rsid w:val="00D97CEA"/>
    <w:rsid w:val="00DA035A"/>
    <w:rsid w:val="00DA5BF9"/>
    <w:rsid w:val="00DA5CF4"/>
    <w:rsid w:val="00DA7936"/>
    <w:rsid w:val="00DB003A"/>
    <w:rsid w:val="00DB29CF"/>
    <w:rsid w:val="00DB2B46"/>
    <w:rsid w:val="00DB61B3"/>
    <w:rsid w:val="00DB65B5"/>
    <w:rsid w:val="00DC0F1D"/>
    <w:rsid w:val="00DC5D97"/>
    <w:rsid w:val="00DC6ACC"/>
    <w:rsid w:val="00DC7825"/>
    <w:rsid w:val="00DD0E98"/>
    <w:rsid w:val="00DD180C"/>
    <w:rsid w:val="00DD1BF1"/>
    <w:rsid w:val="00DD1D69"/>
    <w:rsid w:val="00DD5184"/>
    <w:rsid w:val="00DD7D65"/>
    <w:rsid w:val="00DE1257"/>
    <w:rsid w:val="00DE226B"/>
    <w:rsid w:val="00DE5202"/>
    <w:rsid w:val="00DE624E"/>
    <w:rsid w:val="00DE6917"/>
    <w:rsid w:val="00DF5879"/>
    <w:rsid w:val="00DF7115"/>
    <w:rsid w:val="00DF73ED"/>
    <w:rsid w:val="00E00A3C"/>
    <w:rsid w:val="00E01456"/>
    <w:rsid w:val="00E0277D"/>
    <w:rsid w:val="00E039CA"/>
    <w:rsid w:val="00E06AF3"/>
    <w:rsid w:val="00E10726"/>
    <w:rsid w:val="00E1168F"/>
    <w:rsid w:val="00E12820"/>
    <w:rsid w:val="00E13E96"/>
    <w:rsid w:val="00E16195"/>
    <w:rsid w:val="00E17605"/>
    <w:rsid w:val="00E202E8"/>
    <w:rsid w:val="00E25C3A"/>
    <w:rsid w:val="00E279B4"/>
    <w:rsid w:val="00E301C7"/>
    <w:rsid w:val="00E33E1F"/>
    <w:rsid w:val="00E346AD"/>
    <w:rsid w:val="00E3497A"/>
    <w:rsid w:val="00E34BE5"/>
    <w:rsid w:val="00E36393"/>
    <w:rsid w:val="00E44369"/>
    <w:rsid w:val="00E44EF9"/>
    <w:rsid w:val="00E45B0D"/>
    <w:rsid w:val="00E51901"/>
    <w:rsid w:val="00E52560"/>
    <w:rsid w:val="00E54AD1"/>
    <w:rsid w:val="00E550A3"/>
    <w:rsid w:val="00E55F03"/>
    <w:rsid w:val="00E56645"/>
    <w:rsid w:val="00E60426"/>
    <w:rsid w:val="00E618F6"/>
    <w:rsid w:val="00E61A3B"/>
    <w:rsid w:val="00E64518"/>
    <w:rsid w:val="00E656CD"/>
    <w:rsid w:val="00E65BD5"/>
    <w:rsid w:val="00E65F92"/>
    <w:rsid w:val="00E70206"/>
    <w:rsid w:val="00E73BBB"/>
    <w:rsid w:val="00E73F61"/>
    <w:rsid w:val="00E74B72"/>
    <w:rsid w:val="00E80B65"/>
    <w:rsid w:val="00E83C9F"/>
    <w:rsid w:val="00E858E2"/>
    <w:rsid w:val="00E92E8E"/>
    <w:rsid w:val="00E94C79"/>
    <w:rsid w:val="00E9697B"/>
    <w:rsid w:val="00EA0479"/>
    <w:rsid w:val="00EA2C26"/>
    <w:rsid w:val="00EB274C"/>
    <w:rsid w:val="00EB5E98"/>
    <w:rsid w:val="00EC0EEF"/>
    <w:rsid w:val="00EC3156"/>
    <w:rsid w:val="00EC3F9B"/>
    <w:rsid w:val="00EC47F0"/>
    <w:rsid w:val="00EC6D2A"/>
    <w:rsid w:val="00ED03BC"/>
    <w:rsid w:val="00ED0D53"/>
    <w:rsid w:val="00ED2A39"/>
    <w:rsid w:val="00ED3329"/>
    <w:rsid w:val="00ED4598"/>
    <w:rsid w:val="00ED46CD"/>
    <w:rsid w:val="00ED5F29"/>
    <w:rsid w:val="00ED6409"/>
    <w:rsid w:val="00ED6829"/>
    <w:rsid w:val="00ED691A"/>
    <w:rsid w:val="00ED7B71"/>
    <w:rsid w:val="00EE0913"/>
    <w:rsid w:val="00EE0E5A"/>
    <w:rsid w:val="00EE22F0"/>
    <w:rsid w:val="00EE355B"/>
    <w:rsid w:val="00EE5E27"/>
    <w:rsid w:val="00EE658B"/>
    <w:rsid w:val="00EF1834"/>
    <w:rsid w:val="00EF1D97"/>
    <w:rsid w:val="00EF3703"/>
    <w:rsid w:val="00EF7B88"/>
    <w:rsid w:val="00F04713"/>
    <w:rsid w:val="00F076FA"/>
    <w:rsid w:val="00F07925"/>
    <w:rsid w:val="00F104BE"/>
    <w:rsid w:val="00F114EC"/>
    <w:rsid w:val="00F1337C"/>
    <w:rsid w:val="00F159B0"/>
    <w:rsid w:val="00F16FBF"/>
    <w:rsid w:val="00F20460"/>
    <w:rsid w:val="00F204C3"/>
    <w:rsid w:val="00F22017"/>
    <w:rsid w:val="00F31E7D"/>
    <w:rsid w:val="00F33309"/>
    <w:rsid w:val="00F33FA4"/>
    <w:rsid w:val="00F34ABE"/>
    <w:rsid w:val="00F3559C"/>
    <w:rsid w:val="00F36317"/>
    <w:rsid w:val="00F4065F"/>
    <w:rsid w:val="00F42626"/>
    <w:rsid w:val="00F45DB0"/>
    <w:rsid w:val="00F461C1"/>
    <w:rsid w:val="00F46233"/>
    <w:rsid w:val="00F51D90"/>
    <w:rsid w:val="00F53120"/>
    <w:rsid w:val="00F54065"/>
    <w:rsid w:val="00F55394"/>
    <w:rsid w:val="00F56E1B"/>
    <w:rsid w:val="00F5773B"/>
    <w:rsid w:val="00F600E9"/>
    <w:rsid w:val="00F60319"/>
    <w:rsid w:val="00F60CAD"/>
    <w:rsid w:val="00F60D7D"/>
    <w:rsid w:val="00F62199"/>
    <w:rsid w:val="00F674BC"/>
    <w:rsid w:val="00F700F8"/>
    <w:rsid w:val="00F719AF"/>
    <w:rsid w:val="00F76EAF"/>
    <w:rsid w:val="00F81D6F"/>
    <w:rsid w:val="00F81DFB"/>
    <w:rsid w:val="00F825AA"/>
    <w:rsid w:val="00F82EFE"/>
    <w:rsid w:val="00F8320B"/>
    <w:rsid w:val="00F856CE"/>
    <w:rsid w:val="00F95655"/>
    <w:rsid w:val="00F966CF"/>
    <w:rsid w:val="00FA5AF9"/>
    <w:rsid w:val="00FA60AD"/>
    <w:rsid w:val="00FB05A8"/>
    <w:rsid w:val="00FB18CB"/>
    <w:rsid w:val="00FB2577"/>
    <w:rsid w:val="00FB2B5D"/>
    <w:rsid w:val="00FB2B6F"/>
    <w:rsid w:val="00FB3FA4"/>
    <w:rsid w:val="00FB734A"/>
    <w:rsid w:val="00FB7783"/>
    <w:rsid w:val="00FC5915"/>
    <w:rsid w:val="00FC661C"/>
    <w:rsid w:val="00FC6C2D"/>
    <w:rsid w:val="00FC77E8"/>
    <w:rsid w:val="00FC7B11"/>
    <w:rsid w:val="00FD1F36"/>
    <w:rsid w:val="00FD3702"/>
    <w:rsid w:val="00FD3CF3"/>
    <w:rsid w:val="00FD663E"/>
    <w:rsid w:val="00FD702B"/>
    <w:rsid w:val="00FD7095"/>
    <w:rsid w:val="00FD7694"/>
    <w:rsid w:val="00FE0FB5"/>
    <w:rsid w:val="00FE1E07"/>
    <w:rsid w:val="00FE2306"/>
    <w:rsid w:val="00FF09C8"/>
    <w:rsid w:val="00FF310E"/>
    <w:rsid w:val="00FF46B5"/>
    <w:rsid w:val="00FF732B"/>
    <w:rsid w:val="00FF7C1B"/>
    <w:rsid w:val="01205980"/>
    <w:rsid w:val="01416A89"/>
    <w:rsid w:val="01B43529"/>
    <w:rsid w:val="01BE152A"/>
    <w:rsid w:val="01CA353F"/>
    <w:rsid w:val="01CF7DC5"/>
    <w:rsid w:val="021E78FA"/>
    <w:rsid w:val="02AF1522"/>
    <w:rsid w:val="02F254D6"/>
    <w:rsid w:val="03007DC9"/>
    <w:rsid w:val="03254451"/>
    <w:rsid w:val="03337776"/>
    <w:rsid w:val="03571303"/>
    <w:rsid w:val="03A87695"/>
    <w:rsid w:val="03B05003"/>
    <w:rsid w:val="03C718BF"/>
    <w:rsid w:val="03D9471E"/>
    <w:rsid w:val="041E13F0"/>
    <w:rsid w:val="0449403E"/>
    <w:rsid w:val="04FB7D1D"/>
    <w:rsid w:val="05015D85"/>
    <w:rsid w:val="053D1CC8"/>
    <w:rsid w:val="05A86320"/>
    <w:rsid w:val="05B94E3C"/>
    <w:rsid w:val="05C8346D"/>
    <w:rsid w:val="05CB716E"/>
    <w:rsid w:val="060649EE"/>
    <w:rsid w:val="060A3A39"/>
    <w:rsid w:val="06513779"/>
    <w:rsid w:val="065564A8"/>
    <w:rsid w:val="06B67247"/>
    <w:rsid w:val="06E710CA"/>
    <w:rsid w:val="073710D6"/>
    <w:rsid w:val="073A58EA"/>
    <w:rsid w:val="075923A9"/>
    <w:rsid w:val="075C16DE"/>
    <w:rsid w:val="07721484"/>
    <w:rsid w:val="078A663C"/>
    <w:rsid w:val="079564BC"/>
    <w:rsid w:val="07CC35E8"/>
    <w:rsid w:val="082D5E51"/>
    <w:rsid w:val="0868070D"/>
    <w:rsid w:val="08F5187C"/>
    <w:rsid w:val="095837D1"/>
    <w:rsid w:val="09722ECD"/>
    <w:rsid w:val="098552F6"/>
    <w:rsid w:val="09AD4C61"/>
    <w:rsid w:val="09D231E5"/>
    <w:rsid w:val="0A0E41E5"/>
    <w:rsid w:val="0AE02514"/>
    <w:rsid w:val="0B2F301B"/>
    <w:rsid w:val="0B5F1694"/>
    <w:rsid w:val="0B9A670B"/>
    <w:rsid w:val="0BB6109A"/>
    <w:rsid w:val="0BB94190"/>
    <w:rsid w:val="0C06083B"/>
    <w:rsid w:val="0C3B1F34"/>
    <w:rsid w:val="0C8D5E48"/>
    <w:rsid w:val="0CCB1D49"/>
    <w:rsid w:val="0D2A0C7B"/>
    <w:rsid w:val="0D3D7167"/>
    <w:rsid w:val="0D4126B1"/>
    <w:rsid w:val="0D6E38C4"/>
    <w:rsid w:val="0D914A8E"/>
    <w:rsid w:val="0DA2000A"/>
    <w:rsid w:val="0DE33609"/>
    <w:rsid w:val="0E4E4508"/>
    <w:rsid w:val="0F062959"/>
    <w:rsid w:val="0F105CE4"/>
    <w:rsid w:val="0F2B4D5E"/>
    <w:rsid w:val="0F5B2655"/>
    <w:rsid w:val="0F826827"/>
    <w:rsid w:val="0FD83CA6"/>
    <w:rsid w:val="0FF32D93"/>
    <w:rsid w:val="1021260D"/>
    <w:rsid w:val="10606219"/>
    <w:rsid w:val="106139C9"/>
    <w:rsid w:val="10A454D7"/>
    <w:rsid w:val="10C30095"/>
    <w:rsid w:val="10CA7D47"/>
    <w:rsid w:val="10E459FB"/>
    <w:rsid w:val="1113664E"/>
    <w:rsid w:val="111B0325"/>
    <w:rsid w:val="12C34A88"/>
    <w:rsid w:val="12DB3D6E"/>
    <w:rsid w:val="12F35D49"/>
    <w:rsid w:val="132378EF"/>
    <w:rsid w:val="135F2A62"/>
    <w:rsid w:val="145755CB"/>
    <w:rsid w:val="14AE4B1F"/>
    <w:rsid w:val="156E6CE8"/>
    <w:rsid w:val="157B75AD"/>
    <w:rsid w:val="15AF369A"/>
    <w:rsid w:val="15C11E76"/>
    <w:rsid w:val="16080C5D"/>
    <w:rsid w:val="17515952"/>
    <w:rsid w:val="175F2F06"/>
    <w:rsid w:val="17755461"/>
    <w:rsid w:val="18383533"/>
    <w:rsid w:val="185F4AB1"/>
    <w:rsid w:val="18AB2F72"/>
    <w:rsid w:val="18B8052A"/>
    <w:rsid w:val="190D676E"/>
    <w:rsid w:val="19236BFA"/>
    <w:rsid w:val="192F2B88"/>
    <w:rsid w:val="194128BC"/>
    <w:rsid w:val="19676718"/>
    <w:rsid w:val="19A538C6"/>
    <w:rsid w:val="19B47F9B"/>
    <w:rsid w:val="19EE11A8"/>
    <w:rsid w:val="1A2C5BCD"/>
    <w:rsid w:val="1AF34B1C"/>
    <w:rsid w:val="1B28329F"/>
    <w:rsid w:val="1B591EA9"/>
    <w:rsid w:val="1B5C4BFD"/>
    <w:rsid w:val="1B6E5DE3"/>
    <w:rsid w:val="1B8E2C9D"/>
    <w:rsid w:val="1BC05B5E"/>
    <w:rsid w:val="1BFE6473"/>
    <w:rsid w:val="1C1442B7"/>
    <w:rsid w:val="1C2E6B04"/>
    <w:rsid w:val="1C5D70E9"/>
    <w:rsid w:val="1C6A2129"/>
    <w:rsid w:val="1CA92C52"/>
    <w:rsid w:val="1CE745BA"/>
    <w:rsid w:val="1D735B49"/>
    <w:rsid w:val="1D7C737F"/>
    <w:rsid w:val="1D8120FB"/>
    <w:rsid w:val="1D9C602E"/>
    <w:rsid w:val="1E00424A"/>
    <w:rsid w:val="1E3A77DE"/>
    <w:rsid w:val="1E3D0FA4"/>
    <w:rsid w:val="1E5272D6"/>
    <w:rsid w:val="1E805AA9"/>
    <w:rsid w:val="1E946CF4"/>
    <w:rsid w:val="1E9F23AF"/>
    <w:rsid w:val="1EA92AF3"/>
    <w:rsid w:val="1F3D38F6"/>
    <w:rsid w:val="1F552389"/>
    <w:rsid w:val="1F693DFC"/>
    <w:rsid w:val="1F7C3AA9"/>
    <w:rsid w:val="207F74A8"/>
    <w:rsid w:val="209E2A46"/>
    <w:rsid w:val="20A3612D"/>
    <w:rsid w:val="21153713"/>
    <w:rsid w:val="22185ECF"/>
    <w:rsid w:val="22286C0E"/>
    <w:rsid w:val="222E4DD2"/>
    <w:rsid w:val="22F96DEE"/>
    <w:rsid w:val="23945B8F"/>
    <w:rsid w:val="23B8178F"/>
    <w:rsid w:val="23DB1822"/>
    <w:rsid w:val="23E5206A"/>
    <w:rsid w:val="244E004E"/>
    <w:rsid w:val="24FE365E"/>
    <w:rsid w:val="25076DCD"/>
    <w:rsid w:val="25085159"/>
    <w:rsid w:val="25125E0C"/>
    <w:rsid w:val="26031CCF"/>
    <w:rsid w:val="26050030"/>
    <w:rsid w:val="264C4E51"/>
    <w:rsid w:val="26ED40AB"/>
    <w:rsid w:val="271436BE"/>
    <w:rsid w:val="27C03D6A"/>
    <w:rsid w:val="27C960A8"/>
    <w:rsid w:val="28183C98"/>
    <w:rsid w:val="286A73F6"/>
    <w:rsid w:val="28A62365"/>
    <w:rsid w:val="28B65E35"/>
    <w:rsid w:val="28DD4FD7"/>
    <w:rsid w:val="29114B38"/>
    <w:rsid w:val="291A2453"/>
    <w:rsid w:val="29AF0813"/>
    <w:rsid w:val="2A406566"/>
    <w:rsid w:val="2A622D30"/>
    <w:rsid w:val="2AAD1B0F"/>
    <w:rsid w:val="2ABD5EE7"/>
    <w:rsid w:val="2AF507E5"/>
    <w:rsid w:val="2AF75169"/>
    <w:rsid w:val="2B386292"/>
    <w:rsid w:val="2B6D3002"/>
    <w:rsid w:val="2C783060"/>
    <w:rsid w:val="2C7F03F5"/>
    <w:rsid w:val="2C9B25E3"/>
    <w:rsid w:val="2CA86FA2"/>
    <w:rsid w:val="2CCF0424"/>
    <w:rsid w:val="2CD71546"/>
    <w:rsid w:val="2CD87D48"/>
    <w:rsid w:val="2CE01732"/>
    <w:rsid w:val="2D0B0DBF"/>
    <w:rsid w:val="2D4E3251"/>
    <w:rsid w:val="2D6128FB"/>
    <w:rsid w:val="2D660092"/>
    <w:rsid w:val="2D6800A6"/>
    <w:rsid w:val="2DAD1E76"/>
    <w:rsid w:val="2DAD6700"/>
    <w:rsid w:val="2DF42E65"/>
    <w:rsid w:val="2E0E37DF"/>
    <w:rsid w:val="2E227539"/>
    <w:rsid w:val="2FBB22D7"/>
    <w:rsid w:val="2FF50698"/>
    <w:rsid w:val="2FF84291"/>
    <w:rsid w:val="30080A01"/>
    <w:rsid w:val="303845F7"/>
    <w:rsid w:val="303A341A"/>
    <w:rsid w:val="306F6F50"/>
    <w:rsid w:val="30946DC7"/>
    <w:rsid w:val="30C23716"/>
    <w:rsid w:val="30CB63CD"/>
    <w:rsid w:val="315D723F"/>
    <w:rsid w:val="319E2E7C"/>
    <w:rsid w:val="31CB5550"/>
    <w:rsid w:val="322F72FD"/>
    <w:rsid w:val="326C67DD"/>
    <w:rsid w:val="32786BD0"/>
    <w:rsid w:val="32AB3839"/>
    <w:rsid w:val="32B66A7F"/>
    <w:rsid w:val="32D0288E"/>
    <w:rsid w:val="330122F8"/>
    <w:rsid w:val="33393327"/>
    <w:rsid w:val="334E0780"/>
    <w:rsid w:val="33525A2D"/>
    <w:rsid w:val="3405416F"/>
    <w:rsid w:val="34316DD9"/>
    <w:rsid w:val="34476AC9"/>
    <w:rsid w:val="34950328"/>
    <w:rsid w:val="34A65A78"/>
    <w:rsid w:val="34D42053"/>
    <w:rsid w:val="351D53E5"/>
    <w:rsid w:val="35597A34"/>
    <w:rsid w:val="35635827"/>
    <w:rsid w:val="358D5C62"/>
    <w:rsid w:val="35AC33C3"/>
    <w:rsid w:val="36064819"/>
    <w:rsid w:val="36971640"/>
    <w:rsid w:val="36D304B7"/>
    <w:rsid w:val="36E1167E"/>
    <w:rsid w:val="370F21EE"/>
    <w:rsid w:val="374A08A8"/>
    <w:rsid w:val="375B2943"/>
    <w:rsid w:val="37A67475"/>
    <w:rsid w:val="37D71198"/>
    <w:rsid w:val="383721ED"/>
    <w:rsid w:val="3863754A"/>
    <w:rsid w:val="38731872"/>
    <w:rsid w:val="38953E1E"/>
    <w:rsid w:val="38996B76"/>
    <w:rsid w:val="38F13920"/>
    <w:rsid w:val="394D36BD"/>
    <w:rsid w:val="39BD313E"/>
    <w:rsid w:val="39DA3FF3"/>
    <w:rsid w:val="3A127C30"/>
    <w:rsid w:val="3A5F4B34"/>
    <w:rsid w:val="3A68306B"/>
    <w:rsid w:val="3A8E4B85"/>
    <w:rsid w:val="3AE96209"/>
    <w:rsid w:val="3AFC20F4"/>
    <w:rsid w:val="3B4C57E7"/>
    <w:rsid w:val="3B767A17"/>
    <w:rsid w:val="3B84690C"/>
    <w:rsid w:val="3C011F5A"/>
    <w:rsid w:val="3C1202CC"/>
    <w:rsid w:val="3C593BD5"/>
    <w:rsid w:val="3C6F3118"/>
    <w:rsid w:val="3C7007E2"/>
    <w:rsid w:val="3CD379DC"/>
    <w:rsid w:val="3CF57A03"/>
    <w:rsid w:val="3CF724F3"/>
    <w:rsid w:val="3D346BA3"/>
    <w:rsid w:val="3D436353"/>
    <w:rsid w:val="3D691D46"/>
    <w:rsid w:val="3DE043F9"/>
    <w:rsid w:val="3E1C7E05"/>
    <w:rsid w:val="3E714BEE"/>
    <w:rsid w:val="3E7B7F91"/>
    <w:rsid w:val="3E813130"/>
    <w:rsid w:val="3EC2309F"/>
    <w:rsid w:val="3EE52BC1"/>
    <w:rsid w:val="3F474B51"/>
    <w:rsid w:val="3F740A45"/>
    <w:rsid w:val="3F7451F1"/>
    <w:rsid w:val="3FB543D0"/>
    <w:rsid w:val="40036490"/>
    <w:rsid w:val="402143A1"/>
    <w:rsid w:val="402D1DBB"/>
    <w:rsid w:val="41404ED1"/>
    <w:rsid w:val="41743195"/>
    <w:rsid w:val="417C1382"/>
    <w:rsid w:val="41C91752"/>
    <w:rsid w:val="41D50C39"/>
    <w:rsid w:val="424610AD"/>
    <w:rsid w:val="43010842"/>
    <w:rsid w:val="4326474D"/>
    <w:rsid w:val="432E715D"/>
    <w:rsid w:val="43BF5807"/>
    <w:rsid w:val="43FF77FF"/>
    <w:rsid w:val="44330765"/>
    <w:rsid w:val="446077EA"/>
    <w:rsid w:val="45356B63"/>
    <w:rsid w:val="453F0FEE"/>
    <w:rsid w:val="454D6252"/>
    <w:rsid w:val="45995A03"/>
    <w:rsid w:val="45C56907"/>
    <w:rsid w:val="45DD4BCF"/>
    <w:rsid w:val="46B9564B"/>
    <w:rsid w:val="46F01133"/>
    <w:rsid w:val="470030EB"/>
    <w:rsid w:val="471643E8"/>
    <w:rsid w:val="4743767B"/>
    <w:rsid w:val="476B1023"/>
    <w:rsid w:val="47DA3887"/>
    <w:rsid w:val="48095A2A"/>
    <w:rsid w:val="482C4853"/>
    <w:rsid w:val="48FB5D34"/>
    <w:rsid w:val="495546C7"/>
    <w:rsid w:val="49A64F9E"/>
    <w:rsid w:val="49AE5E23"/>
    <w:rsid w:val="49E14211"/>
    <w:rsid w:val="4A245BEF"/>
    <w:rsid w:val="4A514110"/>
    <w:rsid w:val="4A7844B5"/>
    <w:rsid w:val="4AD17F8D"/>
    <w:rsid w:val="4B0338F6"/>
    <w:rsid w:val="4B737BB0"/>
    <w:rsid w:val="4BC97E76"/>
    <w:rsid w:val="4C3C0F3C"/>
    <w:rsid w:val="4C5E2892"/>
    <w:rsid w:val="4C9328F6"/>
    <w:rsid w:val="4CCA6AC5"/>
    <w:rsid w:val="4CD41F47"/>
    <w:rsid w:val="4CF46FC1"/>
    <w:rsid w:val="4D1711DE"/>
    <w:rsid w:val="4D3F01E3"/>
    <w:rsid w:val="4DCF58B5"/>
    <w:rsid w:val="4E350CC6"/>
    <w:rsid w:val="4E370D61"/>
    <w:rsid w:val="4E652615"/>
    <w:rsid w:val="4EA00AF6"/>
    <w:rsid w:val="4FAC5863"/>
    <w:rsid w:val="4FF96FDB"/>
    <w:rsid w:val="502532EF"/>
    <w:rsid w:val="505B4A64"/>
    <w:rsid w:val="5074136C"/>
    <w:rsid w:val="50E174FF"/>
    <w:rsid w:val="51201974"/>
    <w:rsid w:val="515F20B8"/>
    <w:rsid w:val="51B24008"/>
    <w:rsid w:val="523425A3"/>
    <w:rsid w:val="5263037D"/>
    <w:rsid w:val="53251900"/>
    <w:rsid w:val="535D766F"/>
    <w:rsid w:val="539E6ED0"/>
    <w:rsid w:val="53AE2320"/>
    <w:rsid w:val="541231B6"/>
    <w:rsid w:val="5461491C"/>
    <w:rsid w:val="5463295C"/>
    <w:rsid w:val="548E0B95"/>
    <w:rsid w:val="54CA712B"/>
    <w:rsid w:val="54CC4308"/>
    <w:rsid w:val="54D3051C"/>
    <w:rsid w:val="54FD2527"/>
    <w:rsid w:val="55701EE7"/>
    <w:rsid w:val="55AE776F"/>
    <w:rsid w:val="55F136BA"/>
    <w:rsid w:val="57810ADD"/>
    <w:rsid w:val="57826FAF"/>
    <w:rsid w:val="57C843EC"/>
    <w:rsid w:val="57D57CC4"/>
    <w:rsid w:val="57D60097"/>
    <w:rsid w:val="580E762D"/>
    <w:rsid w:val="58226FD1"/>
    <w:rsid w:val="582F63BA"/>
    <w:rsid w:val="58CD1E56"/>
    <w:rsid w:val="58DC695F"/>
    <w:rsid w:val="59E25D87"/>
    <w:rsid w:val="59E57951"/>
    <w:rsid w:val="59ED78A7"/>
    <w:rsid w:val="5A1924BD"/>
    <w:rsid w:val="5A407DB3"/>
    <w:rsid w:val="5A647270"/>
    <w:rsid w:val="5A79F3A6"/>
    <w:rsid w:val="5A830B68"/>
    <w:rsid w:val="5AAE7485"/>
    <w:rsid w:val="5ACB37EF"/>
    <w:rsid w:val="5B4F7D18"/>
    <w:rsid w:val="5B825055"/>
    <w:rsid w:val="5B864F1F"/>
    <w:rsid w:val="5B9D6B62"/>
    <w:rsid w:val="5BB12D04"/>
    <w:rsid w:val="5BCE7050"/>
    <w:rsid w:val="5BD13050"/>
    <w:rsid w:val="5C3235F1"/>
    <w:rsid w:val="5C4C26D6"/>
    <w:rsid w:val="5C804E33"/>
    <w:rsid w:val="5C837434"/>
    <w:rsid w:val="5CAC4D2B"/>
    <w:rsid w:val="5D032CF0"/>
    <w:rsid w:val="5D0977C1"/>
    <w:rsid w:val="5D1F1B0B"/>
    <w:rsid w:val="5D320547"/>
    <w:rsid w:val="5D431E9C"/>
    <w:rsid w:val="5D9D535C"/>
    <w:rsid w:val="5E30786B"/>
    <w:rsid w:val="5E3A52FB"/>
    <w:rsid w:val="5EB639EF"/>
    <w:rsid w:val="5EC7073A"/>
    <w:rsid w:val="5F456062"/>
    <w:rsid w:val="5FF249EF"/>
    <w:rsid w:val="5FF62DBD"/>
    <w:rsid w:val="600B656E"/>
    <w:rsid w:val="60597A1B"/>
    <w:rsid w:val="606B2625"/>
    <w:rsid w:val="60B46A9C"/>
    <w:rsid w:val="61483C25"/>
    <w:rsid w:val="61C26203"/>
    <w:rsid w:val="61FB17B3"/>
    <w:rsid w:val="62190D6E"/>
    <w:rsid w:val="626D05A3"/>
    <w:rsid w:val="62885157"/>
    <w:rsid w:val="62CE3148"/>
    <w:rsid w:val="62D306D9"/>
    <w:rsid w:val="62D53F3A"/>
    <w:rsid w:val="62EC1FFF"/>
    <w:rsid w:val="639B3344"/>
    <w:rsid w:val="63CA1543"/>
    <w:rsid w:val="641D6FA7"/>
    <w:rsid w:val="642A1DDA"/>
    <w:rsid w:val="648278F9"/>
    <w:rsid w:val="64DA4ED6"/>
    <w:rsid w:val="64EC49C1"/>
    <w:rsid w:val="64EC711E"/>
    <w:rsid w:val="6565713D"/>
    <w:rsid w:val="664479B4"/>
    <w:rsid w:val="66866E91"/>
    <w:rsid w:val="66A23A86"/>
    <w:rsid w:val="67392CA1"/>
    <w:rsid w:val="67BB6442"/>
    <w:rsid w:val="67CD5013"/>
    <w:rsid w:val="67DA4F59"/>
    <w:rsid w:val="681D48E0"/>
    <w:rsid w:val="685A7E68"/>
    <w:rsid w:val="685E4764"/>
    <w:rsid w:val="69042F73"/>
    <w:rsid w:val="691C52DA"/>
    <w:rsid w:val="69341D96"/>
    <w:rsid w:val="696134D8"/>
    <w:rsid w:val="696815BE"/>
    <w:rsid w:val="69920367"/>
    <w:rsid w:val="69ED72FB"/>
    <w:rsid w:val="6A0E0E84"/>
    <w:rsid w:val="6A19076E"/>
    <w:rsid w:val="6A8A6A9D"/>
    <w:rsid w:val="6ACF606C"/>
    <w:rsid w:val="6B3A7F02"/>
    <w:rsid w:val="6B883DC0"/>
    <w:rsid w:val="6B8D2D42"/>
    <w:rsid w:val="6BCA0B67"/>
    <w:rsid w:val="6BDE0BE5"/>
    <w:rsid w:val="6C286AE2"/>
    <w:rsid w:val="6C44161C"/>
    <w:rsid w:val="6C6E761A"/>
    <w:rsid w:val="6D1F4B77"/>
    <w:rsid w:val="6D2E6B97"/>
    <w:rsid w:val="6D8223FC"/>
    <w:rsid w:val="6D940134"/>
    <w:rsid w:val="6E0D2249"/>
    <w:rsid w:val="6E301E58"/>
    <w:rsid w:val="6E6614EF"/>
    <w:rsid w:val="6EA83EA0"/>
    <w:rsid w:val="6EC9618D"/>
    <w:rsid w:val="6F3B520E"/>
    <w:rsid w:val="6F871717"/>
    <w:rsid w:val="6F87409D"/>
    <w:rsid w:val="701575AC"/>
    <w:rsid w:val="70493993"/>
    <w:rsid w:val="706D12CD"/>
    <w:rsid w:val="709578E2"/>
    <w:rsid w:val="70D25C6C"/>
    <w:rsid w:val="70DA0B0C"/>
    <w:rsid w:val="710650F2"/>
    <w:rsid w:val="712F2CA6"/>
    <w:rsid w:val="71357785"/>
    <w:rsid w:val="713B23AB"/>
    <w:rsid w:val="71AB5C99"/>
    <w:rsid w:val="71C261BE"/>
    <w:rsid w:val="721B0316"/>
    <w:rsid w:val="724759C2"/>
    <w:rsid w:val="72C423ED"/>
    <w:rsid w:val="72E750A9"/>
    <w:rsid w:val="73292AF0"/>
    <w:rsid w:val="73321ED2"/>
    <w:rsid w:val="733F7BB9"/>
    <w:rsid w:val="73697E40"/>
    <w:rsid w:val="73B0553E"/>
    <w:rsid w:val="73B3262D"/>
    <w:rsid w:val="73F60B09"/>
    <w:rsid w:val="744E6438"/>
    <w:rsid w:val="748A00E6"/>
    <w:rsid w:val="74B51C26"/>
    <w:rsid w:val="74D053FB"/>
    <w:rsid w:val="74E34EF9"/>
    <w:rsid w:val="7527021C"/>
    <w:rsid w:val="75AF4DA0"/>
    <w:rsid w:val="76117AFB"/>
    <w:rsid w:val="763B6C1E"/>
    <w:rsid w:val="7660657F"/>
    <w:rsid w:val="76D31F09"/>
    <w:rsid w:val="77481D6B"/>
    <w:rsid w:val="778A052A"/>
    <w:rsid w:val="77A05B6A"/>
    <w:rsid w:val="77CA5E4C"/>
    <w:rsid w:val="78A911F5"/>
    <w:rsid w:val="78C32A04"/>
    <w:rsid w:val="79F24DF4"/>
    <w:rsid w:val="79F25580"/>
    <w:rsid w:val="7A063731"/>
    <w:rsid w:val="7A0B3779"/>
    <w:rsid w:val="7A567F6D"/>
    <w:rsid w:val="7A8B380A"/>
    <w:rsid w:val="7A9674E6"/>
    <w:rsid w:val="7AA65250"/>
    <w:rsid w:val="7AB2447B"/>
    <w:rsid w:val="7AF4285A"/>
    <w:rsid w:val="7B21165B"/>
    <w:rsid w:val="7B482B62"/>
    <w:rsid w:val="7B4E0BD3"/>
    <w:rsid w:val="7C49573D"/>
    <w:rsid w:val="7D0719F6"/>
    <w:rsid w:val="7D6C49B3"/>
    <w:rsid w:val="7D81366D"/>
    <w:rsid w:val="7D8D0D86"/>
    <w:rsid w:val="7E6751C5"/>
    <w:rsid w:val="7E703649"/>
    <w:rsid w:val="7F56086C"/>
    <w:rsid w:val="7FA039E2"/>
    <w:rsid w:val="A9EB21F2"/>
    <w:rsid w:val="DFFD50F5"/>
    <w:rsid w:val="EA6F99D0"/>
    <w:rsid w:val="F3E79868"/>
    <w:rsid w:val="F6366ABC"/>
    <w:rsid w:val="F6FA4A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0" w:semiHidden="0"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1"/>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84"/>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7"/>
    <w:link w:val="63"/>
    <w:qFormat/>
    <w:uiPriority w:val="99"/>
    <w:pPr>
      <w:keepNext/>
      <w:keepLines/>
      <w:spacing w:before="260" w:after="260" w:line="416" w:lineRule="auto"/>
      <w:outlineLvl w:val="2"/>
    </w:pPr>
    <w:rPr>
      <w:b/>
      <w:bCs/>
      <w:sz w:val="32"/>
      <w:szCs w:val="32"/>
    </w:rPr>
  </w:style>
  <w:style w:type="paragraph" w:styleId="8">
    <w:name w:val="heading 4"/>
    <w:basedOn w:val="1"/>
    <w:next w:val="1"/>
    <w:link w:val="64"/>
    <w:qFormat/>
    <w:uiPriority w:val="99"/>
    <w:pPr>
      <w:keepNext/>
      <w:keepLines/>
      <w:spacing w:before="280" w:after="290" w:line="372" w:lineRule="auto"/>
      <w:outlineLvl w:val="3"/>
    </w:pPr>
    <w:rPr>
      <w:rFonts w:ascii="Arial" w:hAnsi="Arial" w:eastAsia="黑体" w:cs="Arial"/>
      <w:b/>
      <w:bCs/>
      <w:sz w:val="28"/>
      <w:szCs w:val="28"/>
    </w:rPr>
  </w:style>
  <w:style w:type="paragraph" w:styleId="9">
    <w:name w:val="heading 5"/>
    <w:basedOn w:val="1"/>
    <w:next w:val="1"/>
    <w:link w:val="65"/>
    <w:qFormat/>
    <w:uiPriority w:val="99"/>
    <w:pPr>
      <w:keepNext/>
      <w:keepLines/>
      <w:spacing w:before="280" w:after="290" w:line="372" w:lineRule="auto"/>
      <w:outlineLvl w:val="4"/>
    </w:pPr>
    <w:rPr>
      <w:b/>
      <w:bCs/>
      <w:sz w:val="28"/>
      <w:szCs w:val="28"/>
    </w:rPr>
  </w:style>
  <w:style w:type="paragraph" w:styleId="10">
    <w:name w:val="heading 6"/>
    <w:basedOn w:val="1"/>
    <w:next w:val="1"/>
    <w:link w:val="66"/>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67"/>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68"/>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69"/>
    <w:qFormat/>
    <w:uiPriority w:val="99"/>
    <w:pPr>
      <w:keepNext/>
      <w:keepLines/>
      <w:spacing w:before="240" w:after="64" w:line="317" w:lineRule="auto"/>
      <w:outlineLvl w:val="8"/>
    </w:pPr>
    <w:rPr>
      <w:rFonts w:ascii="Cambria" w:hAnsi="Cambria" w:cs="Cambria"/>
    </w:rPr>
  </w:style>
  <w:style w:type="character" w:default="1" w:styleId="46">
    <w:name w:val="Default Paragraph Font"/>
    <w:semiHidden/>
    <w:qFormat/>
    <w:uiPriority w:val="99"/>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2"/>
    <w:qFormat/>
    <w:uiPriority w:val="99"/>
    <w:pPr>
      <w:spacing w:after="120"/>
    </w:pPr>
  </w:style>
  <w:style w:type="paragraph" w:styleId="3">
    <w:name w:val="Plain Text"/>
    <w:basedOn w:val="1"/>
    <w:link w:val="74"/>
    <w:qFormat/>
    <w:uiPriority w:val="99"/>
    <w:pPr>
      <w:autoSpaceDE w:val="0"/>
      <w:autoSpaceDN w:val="0"/>
      <w:adjustRightInd w:val="0"/>
    </w:pPr>
    <w:rPr>
      <w:rFonts w:ascii="宋体" w:hAnsi="Tms Rmn" w:cs="宋体"/>
    </w:rPr>
  </w:style>
  <w:style w:type="paragraph" w:styleId="7">
    <w:name w:val="Normal Indent"/>
    <w:basedOn w:val="1"/>
    <w:link w:val="91"/>
    <w:qFormat/>
    <w:uiPriority w:val="99"/>
    <w:pPr>
      <w:ind w:firstLine="420" w:firstLineChars="200"/>
    </w:pPr>
    <w:rPr>
      <w:kern w:val="0"/>
      <w:sz w:val="24"/>
      <w:szCs w:val="24"/>
    </w:rPr>
  </w:style>
  <w:style w:type="paragraph" w:styleId="14">
    <w:name w:val="toc 7"/>
    <w:basedOn w:val="1"/>
    <w:next w:val="1"/>
    <w:semiHidden/>
    <w:qFormat/>
    <w:uiPriority w:val="99"/>
    <w:pPr>
      <w:ind w:left="2520" w:leftChars="1200"/>
    </w:pPr>
    <w:rPr>
      <w:rFonts w:ascii="Calibri" w:hAnsi="Calibri" w:cs="Calibri"/>
    </w:rPr>
  </w:style>
  <w:style w:type="paragraph" w:styleId="15">
    <w:name w:val="caption"/>
    <w:basedOn w:val="1"/>
    <w:next w:val="1"/>
    <w:qFormat/>
    <w:uiPriority w:val="99"/>
    <w:pPr>
      <w:ind w:firstLine="6290" w:firstLineChars="2282"/>
    </w:pPr>
    <w:rPr>
      <w:b/>
      <w:bCs/>
      <w:color w:val="000080"/>
      <w:sz w:val="28"/>
      <w:szCs w:val="28"/>
    </w:rPr>
  </w:style>
  <w:style w:type="paragraph" w:styleId="16">
    <w:name w:val="Document Map"/>
    <w:basedOn w:val="1"/>
    <w:link w:val="70"/>
    <w:semiHidden/>
    <w:qFormat/>
    <w:uiPriority w:val="99"/>
    <w:rPr>
      <w:rFonts w:ascii="宋体" w:cs="宋体"/>
      <w:sz w:val="18"/>
      <w:szCs w:val="18"/>
    </w:rPr>
  </w:style>
  <w:style w:type="paragraph" w:styleId="17">
    <w:name w:val="annotation text"/>
    <w:basedOn w:val="1"/>
    <w:link w:val="71"/>
    <w:semiHidden/>
    <w:qFormat/>
    <w:uiPriority w:val="99"/>
    <w:pPr>
      <w:jc w:val="left"/>
    </w:pPr>
    <w:rPr>
      <w:rFonts w:ascii="Calibri" w:hAnsi="Calibri" w:cs="Calibri"/>
      <w:sz w:val="18"/>
      <w:szCs w:val="18"/>
    </w:rPr>
  </w:style>
  <w:style w:type="paragraph" w:styleId="18">
    <w:name w:val="Salutation"/>
    <w:basedOn w:val="1"/>
    <w:next w:val="1"/>
    <w:qFormat/>
    <w:locked/>
    <w:uiPriority w:val="0"/>
    <w:rPr>
      <w:rFonts w:ascii="Times New Roman" w:hAnsi="Times New Roman"/>
    </w:rPr>
  </w:style>
  <w:style w:type="paragraph" w:styleId="19">
    <w:name w:val="Body Text Indent"/>
    <w:basedOn w:val="1"/>
    <w:link w:val="73"/>
    <w:qFormat/>
    <w:uiPriority w:val="99"/>
    <w:pPr>
      <w:ind w:firstLine="630"/>
    </w:pPr>
    <w:rPr>
      <w:sz w:val="32"/>
      <w:szCs w:val="32"/>
    </w:rPr>
  </w:style>
  <w:style w:type="paragraph" w:styleId="20">
    <w:name w:val="List 2"/>
    <w:basedOn w:val="1"/>
    <w:qFormat/>
    <w:locked/>
    <w:uiPriority w:val="0"/>
    <w:pPr>
      <w:ind w:left="100" w:leftChars="200" w:hanging="200" w:hangingChars="200"/>
    </w:p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style>
  <w:style w:type="paragraph" w:styleId="24">
    <w:name w:val="toc 8"/>
    <w:basedOn w:val="1"/>
    <w:next w:val="1"/>
    <w:semiHidden/>
    <w:qFormat/>
    <w:uiPriority w:val="99"/>
    <w:pPr>
      <w:ind w:left="2940" w:leftChars="1400"/>
    </w:pPr>
    <w:rPr>
      <w:rFonts w:ascii="Calibri" w:hAnsi="Calibri" w:cs="Calibri"/>
    </w:rPr>
  </w:style>
  <w:style w:type="paragraph" w:styleId="25">
    <w:name w:val="Date"/>
    <w:basedOn w:val="1"/>
    <w:next w:val="1"/>
    <w:link w:val="75"/>
    <w:qFormat/>
    <w:uiPriority w:val="99"/>
  </w:style>
  <w:style w:type="paragraph" w:styleId="26">
    <w:name w:val="Body Text Indent 2"/>
    <w:basedOn w:val="1"/>
    <w:link w:val="76"/>
    <w:qFormat/>
    <w:uiPriority w:val="99"/>
    <w:pPr>
      <w:spacing w:after="120" w:line="480" w:lineRule="auto"/>
      <w:ind w:left="420" w:leftChars="200"/>
    </w:pPr>
  </w:style>
  <w:style w:type="paragraph" w:styleId="27">
    <w:name w:val="Balloon Text"/>
    <w:basedOn w:val="1"/>
    <w:link w:val="77"/>
    <w:semiHidden/>
    <w:qFormat/>
    <w:uiPriority w:val="99"/>
    <w:rPr>
      <w:sz w:val="18"/>
      <w:szCs w:val="18"/>
    </w:rPr>
  </w:style>
  <w:style w:type="paragraph" w:styleId="28">
    <w:name w:val="footer"/>
    <w:basedOn w:val="1"/>
    <w:link w:val="78"/>
    <w:qFormat/>
    <w:uiPriority w:val="99"/>
    <w:pPr>
      <w:tabs>
        <w:tab w:val="center" w:pos="4153"/>
        <w:tab w:val="right" w:pos="8306"/>
      </w:tabs>
      <w:snapToGrid w:val="0"/>
      <w:jc w:val="left"/>
    </w:pPr>
    <w:rPr>
      <w:sz w:val="18"/>
      <w:szCs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spacing w:line="480" w:lineRule="auto"/>
    </w:pPr>
    <w:rPr>
      <w:sz w:val="24"/>
      <w:szCs w:val="24"/>
    </w:rPr>
  </w:style>
  <w:style w:type="paragraph" w:styleId="31">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2">
    <w:name w:val="Subtitle"/>
    <w:basedOn w:val="1"/>
    <w:next w:val="1"/>
    <w:link w:val="157"/>
    <w:qFormat/>
    <w:uiPriority w:val="99"/>
    <w:pPr>
      <w:spacing w:before="240" w:after="60" w:line="312" w:lineRule="auto"/>
      <w:jc w:val="center"/>
      <w:outlineLvl w:val="1"/>
    </w:pPr>
    <w:rPr>
      <w:rFonts w:ascii="Cambria" w:hAnsi="Cambria" w:cs="Cambria"/>
      <w:b/>
      <w:bCs/>
      <w:kern w:val="28"/>
      <w:sz w:val="32"/>
      <w:szCs w:val="32"/>
    </w:rPr>
  </w:style>
  <w:style w:type="paragraph" w:styleId="33">
    <w:name w:val="toc 6"/>
    <w:basedOn w:val="1"/>
    <w:next w:val="1"/>
    <w:semiHidden/>
    <w:qFormat/>
    <w:uiPriority w:val="99"/>
    <w:pPr>
      <w:ind w:left="2100" w:leftChars="1000"/>
    </w:pPr>
    <w:rPr>
      <w:rFonts w:ascii="Calibri" w:hAnsi="Calibri" w:cs="Calibri"/>
    </w:rPr>
  </w:style>
  <w:style w:type="paragraph" w:styleId="34">
    <w:name w:val="Body Text Indent 3"/>
    <w:basedOn w:val="1"/>
    <w:link w:val="81"/>
    <w:qFormat/>
    <w:uiPriority w:val="99"/>
    <w:pPr>
      <w:spacing w:after="120"/>
      <w:ind w:left="420" w:leftChars="200"/>
    </w:pPr>
    <w:rPr>
      <w:sz w:val="16"/>
      <w:szCs w:val="16"/>
    </w:rPr>
  </w:style>
  <w:style w:type="paragraph" w:styleId="35">
    <w:name w:val="index 7"/>
    <w:basedOn w:val="1"/>
    <w:next w:val="1"/>
    <w:semiHidden/>
    <w:qFormat/>
    <w:uiPriority w:val="99"/>
    <w:pPr>
      <w:ind w:left="1200" w:leftChars="1200"/>
    </w:pPr>
  </w:style>
  <w:style w:type="paragraph" w:styleId="36">
    <w:name w:val="toc 2"/>
    <w:basedOn w:val="1"/>
    <w:next w:val="1"/>
    <w:semiHidden/>
    <w:qFormat/>
    <w:uiPriority w:val="99"/>
    <w:pPr>
      <w:ind w:left="420" w:leftChars="200"/>
    </w:pPr>
  </w:style>
  <w:style w:type="paragraph" w:styleId="37">
    <w:name w:val="toc 9"/>
    <w:basedOn w:val="1"/>
    <w:next w:val="1"/>
    <w:semiHidden/>
    <w:qFormat/>
    <w:uiPriority w:val="99"/>
    <w:pPr>
      <w:ind w:left="3360" w:leftChars="1600"/>
    </w:pPr>
    <w:rPr>
      <w:rFonts w:ascii="Calibri" w:hAnsi="Calibri" w:cs="Calibri"/>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9">
    <w:name w:val="Title"/>
    <w:basedOn w:val="1"/>
    <w:next w:val="1"/>
    <w:link w:val="113"/>
    <w:qFormat/>
    <w:uiPriority w:val="99"/>
    <w:pPr>
      <w:spacing w:before="240" w:after="60"/>
      <w:jc w:val="center"/>
      <w:outlineLvl w:val="0"/>
    </w:pPr>
    <w:rPr>
      <w:rFonts w:ascii="Cambria" w:hAnsi="Cambria" w:cs="Cambria"/>
      <w:b/>
      <w:bCs/>
      <w:sz w:val="32"/>
      <w:szCs w:val="32"/>
    </w:rPr>
  </w:style>
  <w:style w:type="paragraph" w:styleId="40">
    <w:name w:val="annotation subject"/>
    <w:basedOn w:val="17"/>
    <w:next w:val="17"/>
    <w:link w:val="83"/>
    <w:semiHidden/>
    <w:qFormat/>
    <w:uiPriority w:val="99"/>
    <w:rPr>
      <w:b/>
      <w:bCs/>
      <w:sz w:val="21"/>
      <w:szCs w:val="21"/>
    </w:rPr>
  </w:style>
  <w:style w:type="paragraph" w:styleId="41">
    <w:name w:val="Body Text First Indent"/>
    <w:basedOn w:val="2"/>
    <w:next w:val="42"/>
    <w:unhideWhenUsed/>
    <w:qFormat/>
    <w:locked/>
    <w:uiPriority w:val="99"/>
    <w:pPr>
      <w:ind w:firstLine="420" w:firstLineChars="100"/>
    </w:pPr>
  </w:style>
  <w:style w:type="paragraph" w:customStyle="1" w:styleId="42">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43">
    <w:name w:val="Body Text First Indent 2"/>
    <w:basedOn w:val="19"/>
    <w:qFormat/>
    <w:locked/>
    <w:uiPriority w:val="0"/>
    <w:pPr>
      <w:ind w:firstLine="420"/>
    </w:pPr>
  </w:style>
  <w:style w:type="table" w:styleId="45">
    <w:name w:val="Table Grid"/>
    <w:basedOn w:val="4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99"/>
    <w:rPr>
      <w:b/>
      <w:bCs/>
    </w:rPr>
  </w:style>
  <w:style w:type="character" w:styleId="48">
    <w:name w:val="page number"/>
    <w:basedOn w:val="46"/>
    <w:qFormat/>
    <w:uiPriority w:val="99"/>
  </w:style>
  <w:style w:type="character" w:styleId="49">
    <w:name w:val="FollowedHyperlink"/>
    <w:basedOn w:val="46"/>
    <w:semiHidden/>
    <w:unhideWhenUsed/>
    <w:qFormat/>
    <w:locked/>
    <w:uiPriority w:val="99"/>
    <w:rPr>
      <w:color w:val="3D3D3D"/>
      <w:u w:val="none"/>
    </w:rPr>
  </w:style>
  <w:style w:type="character" w:styleId="50">
    <w:name w:val="Emphasis"/>
    <w:basedOn w:val="46"/>
    <w:qFormat/>
    <w:uiPriority w:val="99"/>
    <w:rPr>
      <w:i/>
      <w:iCs/>
    </w:rPr>
  </w:style>
  <w:style w:type="character" w:styleId="51">
    <w:name w:val="HTML Definition"/>
    <w:basedOn w:val="46"/>
    <w:semiHidden/>
    <w:unhideWhenUsed/>
    <w:qFormat/>
    <w:locked/>
    <w:uiPriority w:val="99"/>
  </w:style>
  <w:style w:type="character" w:styleId="52">
    <w:name w:val="HTML Variable"/>
    <w:basedOn w:val="46"/>
    <w:semiHidden/>
    <w:unhideWhenUsed/>
    <w:qFormat/>
    <w:locked/>
    <w:uiPriority w:val="99"/>
  </w:style>
  <w:style w:type="character" w:styleId="53">
    <w:name w:val="Hyperlink"/>
    <w:basedOn w:val="46"/>
    <w:qFormat/>
    <w:uiPriority w:val="99"/>
    <w:rPr>
      <w:color w:val="0000FF"/>
      <w:u w:val="single"/>
    </w:rPr>
  </w:style>
  <w:style w:type="character" w:styleId="54">
    <w:name w:val="HTML Code"/>
    <w:basedOn w:val="46"/>
    <w:semiHidden/>
    <w:unhideWhenUsed/>
    <w:qFormat/>
    <w:locked/>
    <w:uiPriority w:val="99"/>
    <w:rPr>
      <w:rFonts w:ascii="Courier New" w:hAnsi="Courier New"/>
      <w:sz w:val="20"/>
    </w:rPr>
  </w:style>
  <w:style w:type="character" w:styleId="55">
    <w:name w:val="annotation reference"/>
    <w:basedOn w:val="46"/>
    <w:semiHidden/>
    <w:qFormat/>
    <w:uiPriority w:val="99"/>
    <w:rPr>
      <w:sz w:val="21"/>
      <w:szCs w:val="21"/>
    </w:rPr>
  </w:style>
  <w:style w:type="character" w:styleId="56">
    <w:name w:val="HTML Cite"/>
    <w:basedOn w:val="46"/>
    <w:semiHidden/>
    <w:unhideWhenUsed/>
    <w:qFormat/>
    <w:locked/>
    <w:uiPriority w:val="99"/>
  </w:style>
  <w:style w:type="paragraph" w:customStyle="1" w:styleId="57">
    <w:name w:val="BodyText1I2"/>
    <w:basedOn w:val="58"/>
    <w:qFormat/>
    <w:uiPriority w:val="0"/>
    <w:pPr>
      <w:ind w:firstLine="200" w:firstLineChars="200"/>
    </w:pPr>
  </w:style>
  <w:style w:type="paragraph" w:customStyle="1" w:styleId="58">
    <w:name w:val="BodyTextIndent"/>
    <w:basedOn w:val="1"/>
    <w:qFormat/>
    <w:uiPriority w:val="0"/>
    <w:pPr>
      <w:spacing w:after="120"/>
      <w:ind w:left="200" w:leftChars="200"/>
    </w:pPr>
  </w:style>
  <w:style w:type="paragraph" w:customStyle="1" w:styleId="59">
    <w:name w:val="Default"/>
    <w:next w:val="1"/>
    <w:qFormat/>
    <w:uiPriority w:val="99"/>
    <w:pPr>
      <w:widowControl w:val="0"/>
      <w:autoSpaceDE w:val="0"/>
      <w:autoSpaceDN w:val="0"/>
      <w:adjustRightInd w:val="0"/>
      <w:spacing w:after="200" w:line="276" w:lineRule="auto"/>
    </w:pPr>
    <w:rPr>
      <w:rFonts w:ascii="黑体" w:hAnsi="Calibri" w:eastAsia="黑体" w:cs="黑体"/>
      <w:color w:val="000000"/>
      <w:sz w:val="24"/>
      <w:szCs w:val="24"/>
      <w:lang w:val="en-US" w:eastAsia="zh-CN" w:bidi="ar-SA"/>
    </w:rPr>
  </w:style>
  <w:style w:type="paragraph" w:customStyle="1" w:styleId="60">
    <w:name w:val="_Style 3"/>
    <w:basedOn w:val="1"/>
    <w:qFormat/>
    <w:uiPriority w:val="0"/>
    <w:rPr>
      <w:szCs w:val="21"/>
    </w:rPr>
  </w:style>
  <w:style w:type="character" w:customStyle="1" w:styleId="61">
    <w:name w:val="Heading 1 Char"/>
    <w:basedOn w:val="46"/>
    <w:link w:val="4"/>
    <w:qFormat/>
    <w:locked/>
    <w:uiPriority w:val="99"/>
    <w:rPr>
      <w:rFonts w:ascii="Times New Roman" w:hAnsi="Times New Roman" w:eastAsia="宋体" w:cs="Times New Roman"/>
      <w:b/>
      <w:bCs/>
      <w:kern w:val="44"/>
      <w:sz w:val="44"/>
      <w:szCs w:val="44"/>
    </w:rPr>
  </w:style>
  <w:style w:type="character" w:customStyle="1" w:styleId="62">
    <w:name w:val="Heading 2 Char"/>
    <w:basedOn w:val="46"/>
    <w:link w:val="5"/>
    <w:semiHidden/>
    <w:qFormat/>
    <w:locked/>
    <w:uiPriority w:val="99"/>
    <w:rPr>
      <w:rFonts w:ascii="Cambria" w:hAnsi="Cambria" w:eastAsia="宋体" w:cs="Cambria"/>
      <w:b/>
      <w:bCs/>
      <w:sz w:val="32"/>
      <w:szCs w:val="32"/>
    </w:rPr>
  </w:style>
  <w:style w:type="character" w:customStyle="1" w:styleId="63">
    <w:name w:val="Heading 3 Char"/>
    <w:basedOn w:val="46"/>
    <w:link w:val="6"/>
    <w:qFormat/>
    <w:locked/>
    <w:uiPriority w:val="99"/>
    <w:rPr>
      <w:rFonts w:ascii="Times New Roman" w:hAnsi="Times New Roman" w:eastAsia="宋体" w:cs="Times New Roman"/>
      <w:b/>
      <w:bCs/>
      <w:sz w:val="32"/>
      <w:szCs w:val="32"/>
    </w:rPr>
  </w:style>
  <w:style w:type="character" w:customStyle="1" w:styleId="64">
    <w:name w:val="Heading 4 Char"/>
    <w:basedOn w:val="46"/>
    <w:link w:val="8"/>
    <w:qFormat/>
    <w:locked/>
    <w:uiPriority w:val="99"/>
    <w:rPr>
      <w:rFonts w:ascii="Arial" w:hAnsi="Arial" w:eastAsia="黑体" w:cs="Arial"/>
      <w:b/>
      <w:bCs/>
      <w:kern w:val="2"/>
      <w:sz w:val="28"/>
      <w:szCs w:val="28"/>
    </w:rPr>
  </w:style>
  <w:style w:type="character" w:customStyle="1" w:styleId="65">
    <w:name w:val="Heading 5 Char"/>
    <w:basedOn w:val="46"/>
    <w:link w:val="9"/>
    <w:qFormat/>
    <w:locked/>
    <w:uiPriority w:val="99"/>
    <w:rPr>
      <w:rFonts w:ascii="Times New Roman" w:hAnsi="Times New Roman" w:eastAsia="宋体" w:cs="Times New Roman"/>
      <w:b/>
      <w:bCs/>
      <w:kern w:val="2"/>
      <w:sz w:val="28"/>
      <w:szCs w:val="28"/>
    </w:rPr>
  </w:style>
  <w:style w:type="character" w:customStyle="1" w:styleId="66">
    <w:name w:val="Heading 6 Char"/>
    <w:basedOn w:val="46"/>
    <w:link w:val="10"/>
    <w:qFormat/>
    <w:locked/>
    <w:uiPriority w:val="99"/>
    <w:rPr>
      <w:rFonts w:ascii="Cambria" w:hAnsi="Cambria" w:eastAsia="宋体" w:cs="Cambria"/>
      <w:b/>
      <w:bCs/>
      <w:kern w:val="2"/>
      <w:sz w:val="24"/>
      <w:szCs w:val="24"/>
    </w:rPr>
  </w:style>
  <w:style w:type="character" w:customStyle="1" w:styleId="67">
    <w:name w:val="Heading 7 Char"/>
    <w:basedOn w:val="46"/>
    <w:link w:val="11"/>
    <w:qFormat/>
    <w:locked/>
    <w:uiPriority w:val="99"/>
    <w:rPr>
      <w:rFonts w:ascii="Calibri" w:hAnsi="Calibri" w:eastAsia="宋体" w:cs="Calibri"/>
      <w:b/>
      <w:bCs/>
      <w:kern w:val="2"/>
      <w:sz w:val="24"/>
      <w:szCs w:val="24"/>
    </w:rPr>
  </w:style>
  <w:style w:type="character" w:customStyle="1" w:styleId="68">
    <w:name w:val="Heading 8 Char"/>
    <w:basedOn w:val="46"/>
    <w:link w:val="12"/>
    <w:qFormat/>
    <w:locked/>
    <w:uiPriority w:val="99"/>
    <w:rPr>
      <w:rFonts w:ascii="Cambria" w:hAnsi="Cambria" w:eastAsia="宋体" w:cs="Cambria"/>
      <w:kern w:val="2"/>
      <w:sz w:val="24"/>
      <w:szCs w:val="24"/>
    </w:rPr>
  </w:style>
  <w:style w:type="character" w:customStyle="1" w:styleId="69">
    <w:name w:val="Heading 9 Char"/>
    <w:basedOn w:val="46"/>
    <w:link w:val="13"/>
    <w:qFormat/>
    <w:locked/>
    <w:uiPriority w:val="99"/>
    <w:rPr>
      <w:rFonts w:ascii="Cambria" w:hAnsi="Cambria" w:eastAsia="宋体" w:cs="Cambria"/>
      <w:kern w:val="2"/>
      <w:sz w:val="21"/>
      <w:szCs w:val="21"/>
    </w:rPr>
  </w:style>
  <w:style w:type="character" w:customStyle="1" w:styleId="70">
    <w:name w:val="Document Map Char"/>
    <w:basedOn w:val="46"/>
    <w:link w:val="16"/>
    <w:qFormat/>
    <w:locked/>
    <w:uiPriority w:val="99"/>
    <w:rPr>
      <w:rFonts w:ascii="宋体" w:hAnsi="Times New Roman" w:eastAsia="宋体" w:cs="宋体"/>
      <w:sz w:val="18"/>
      <w:szCs w:val="18"/>
    </w:rPr>
  </w:style>
  <w:style w:type="character" w:customStyle="1" w:styleId="71">
    <w:name w:val="Comment Text Char"/>
    <w:basedOn w:val="46"/>
    <w:link w:val="17"/>
    <w:qFormat/>
    <w:locked/>
    <w:uiPriority w:val="99"/>
    <w:rPr>
      <w:rFonts w:ascii="Times New Roman" w:hAnsi="Times New Roman" w:eastAsia="宋体" w:cs="Times New Roman"/>
      <w:sz w:val="24"/>
      <w:szCs w:val="24"/>
    </w:rPr>
  </w:style>
  <w:style w:type="character" w:customStyle="1" w:styleId="72">
    <w:name w:val="Body Text Char"/>
    <w:basedOn w:val="46"/>
    <w:link w:val="2"/>
    <w:qFormat/>
    <w:locked/>
    <w:uiPriority w:val="99"/>
    <w:rPr>
      <w:rFonts w:ascii="Times New Roman" w:hAnsi="Times New Roman" w:eastAsia="宋体" w:cs="Times New Roman"/>
      <w:sz w:val="24"/>
      <w:szCs w:val="24"/>
    </w:rPr>
  </w:style>
  <w:style w:type="character" w:customStyle="1" w:styleId="73">
    <w:name w:val="Body Text Indent Char"/>
    <w:basedOn w:val="46"/>
    <w:link w:val="19"/>
    <w:qFormat/>
    <w:locked/>
    <w:uiPriority w:val="99"/>
    <w:rPr>
      <w:rFonts w:ascii="Times New Roman" w:hAnsi="Times New Roman" w:eastAsia="宋体" w:cs="Times New Roman"/>
      <w:sz w:val="20"/>
      <w:szCs w:val="20"/>
    </w:rPr>
  </w:style>
  <w:style w:type="character" w:customStyle="1" w:styleId="74">
    <w:name w:val="Plain Text Char"/>
    <w:basedOn w:val="46"/>
    <w:link w:val="3"/>
    <w:qFormat/>
    <w:locked/>
    <w:uiPriority w:val="99"/>
    <w:rPr>
      <w:rFonts w:ascii="宋体" w:hAnsi="Courier New" w:eastAsia="宋体" w:cs="宋体"/>
      <w:sz w:val="21"/>
      <w:szCs w:val="21"/>
    </w:rPr>
  </w:style>
  <w:style w:type="character" w:customStyle="1" w:styleId="75">
    <w:name w:val="Date Char"/>
    <w:basedOn w:val="46"/>
    <w:link w:val="25"/>
    <w:qFormat/>
    <w:locked/>
    <w:uiPriority w:val="99"/>
    <w:rPr>
      <w:rFonts w:ascii="Times New Roman" w:hAnsi="Times New Roman" w:eastAsia="宋体" w:cs="Times New Roman"/>
      <w:kern w:val="2"/>
      <w:sz w:val="21"/>
      <w:szCs w:val="21"/>
    </w:rPr>
  </w:style>
  <w:style w:type="character" w:customStyle="1" w:styleId="76">
    <w:name w:val="Body Text Indent 2 Char"/>
    <w:basedOn w:val="46"/>
    <w:link w:val="26"/>
    <w:qFormat/>
    <w:locked/>
    <w:uiPriority w:val="99"/>
    <w:rPr>
      <w:rFonts w:ascii="Times New Roman" w:hAnsi="Times New Roman" w:eastAsia="宋体" w:cs="Times New Roman"/>
      <w:sz w:val="24"/>
      <w:szCs w:val="24"/>
    </w:rPr>
  </w:style>
  <w:style w:type="character" w:customStyle="1" w:styleId="77">
    <w:name w:val="Balloon Text Char"/>
    <w:basedOn w:val="46"/>
    <w:link w:val="27"/>
    <w:qFormat/>
    <w:locked/>
    <w:uiPriority w:val="99"/>
    <w:rPr>
      <w:rFonts w:ascii="Times New Roman" w:hAnsi="Times New Roman" w:eastAsia="宋体" w:cs="Times New Roman"/>
      <w:sz w:val="18"/>
      <w:szCs w:val="18"/>
    </w:rPr>
  </w:style>
  <w:style w:type="character" w:customStyle="1" w:styleId="78">
    <w:name w:val="Footer Char"/>
    <w:basedOn w:val="46"/>
    <w:link w:val="28"/>
    <w:qFormat/>
    <w:locked/>
    <w:uiPriority w:val="99"/>
    <w:rPr>
      <w:sz w:val="18"/>
      <w:szCs w:val="18"/>
    </w:rPr>
  </w:style>
  <w:style w:type="character" w:customStyle="1" w:styleId="79">
    <w:name w:val="Header Char"/>
    <w:basedOn w:val="46"/>
    <w:link w:val="29"/>
    <w:qFormat/>
    <w:locked/>
    <w:uiPriority w:val="99"/>
    <w:rPr>
      <w:sz w:val="18"/>
      <w:szCs w:val="18"/>
    </w:rPr>
  </w:style>
  <w:style w:type="character" w:customStyle="1" w:styleId="80">
    <w:name w:val="Subtitle Char"/>
    <w:basedOn w:val="46"/>
    <w:link w:val="32"/>
    <w:qFormat/>
    <w:locked/>
    <w:uiPriority w:val="99"/>
    <w:rPr>
      <w:rFonts w:ascii="Cambria" w:hAnsi="Cambria" w:cs="Cambria"/>
      <w:b/>
      <w:bCs/>
      <w:kern w:val="28"/>
      <w:sz w:val="32"/>
      <w:szCs w:val="32"/>
    </w:rPr>
  </w:style>
  <w:style w:type="character" w:customStyle="1" w:styleId="81">
    <w:name w:val="Body Text Indent 3 Char"/>
    <w:basedOn w:val="46"/>
    <w:link w:val="34"/>
    <w:qFormat/>
    <w:locked/>
    <w:uiPriority w:val="99"/>
    <w:rPr>
      <w:rFonts w:ascii="Times New Roman" w:hAnsi="Times New Roman" w:eastAsia="宋体" w:cs="Times New Roman"/>
      <w:sz w:val="16"/>
      <w:szCs w:val="16"/>
    </w:rPr>
  </w:style>
  <w:style w:type="character" w:customStyle="1" w:styleId="82">
    <w:name w:val="Title Char"/>
    <w:basedOn w:val="46"/>
    <w:link w:val="39"/>
    <w:qFormat/>
    <w:locked/>
    <w:uiPriority w:val="99"/>
    <w:rPr>
      <w:rFonts w:ascii="Cambria" w:hAnsi="Cambria" w:cs="Cambria"/>
      <w:b/>
      <w:bCs/>
      <w:kern w:val="2"/>
      <w:sz w:val="32"/>
      <w:szCs w:val="32"/>
    </w:rPr>
  </w:style>
  <w:style w:type="character" w:customStyle="1" w:styleId="83">
    <w:name w:val="Comment Subject Char"/>
    <w:basedOn w:val="71"/>
    <w:link w:val="40"/>
    <w:qFormat/>
    <w:locked/>
    <w:uiPriority w:val="99"/>
    <w:rPr>
      <w:b/>
      <w:bCs/>
    </w:rPr>
  </w:style>
  <w:style w:type="character" w:customStyle="1" w:styleId="84">
    <w:name w:val="Heading 2 Char1"/>
    <w:basedOn w:val="46"/>
    <w:link w:val="5"/>
    <w:qFormat/>
    <w:locked/>
    <w:uiPriority w:val="99"/>
    <w:rPr>
      <w:rFonts w:ascii="Arial" w:hAnsi="Arial" w:eastAsia="黑体" w:cs="Arial"/>
      <w:b/>
      <w:bCs/>
      <w:sz w:val="32"/>
      <w:szCs w:val="32"/>
    </w:rPr>
  </w:style>
  <w:style w:type="paragraph" w:customStyle="1" w:styleId="85">
    <w:name w:val="正文首行缩进两字符"/>
    <w:basedOn w:val="1"/>
    <w:qFormat/>
    <w:uiPriority w:val="99"/>
    <w:pPr>
      <w:spacing w:line="360" w:lineRule="auto"/>
      <w:ind w:firstLine="200" w:firstLineChars="200"/>
    </w:pPr>
  </w:style>
  <w:style w:type="paragraph" w:customStyle="1" w:styleId="86">
    <w:name w:val="正文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87">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88">
    <w:name w:val="表格"/>
    <w:basedOn w:val="1"/>
    <w:qFormat/>
    <w:uiPriority w:val="99"/>
    <w:pPr>
      <w:spacing w:line="400" w:lineRule="exact"/>
    </w:pPr>
    <w:rPr>
      <w:sz w:val="24"/>
      <w:szCs w:val="24"/>
    </w:rPr>
  </w:style>
  <w:style w:type="paragraph" w:customStyle="1" w:styleId="89">
    <w:name w:val="样式 首行缩进:  2 字符"/>
    <w:basedOn w:val="1"/>
    <w:qFormat/>
    <w:uiPriority w:val="99"/>
    <w:pPr>
      <w:spacing w:line="400" w:lineRule="exact"/>
      <w:ind w:firstLine="200" w:firstLineChars="200"/>
    </w:pPr>
    <w:rPr>
      <w:sz w:val="24"/>
      <w:szCs w:val="24"/>
    </w:rPr>
  </w:style>
  <w:style w:type="character" w:customStyle="1" w:styleId="90">
    <w:name w:val="（符号）邀请函中一、"/>
    <w:basedOn w:val="46"/>
    <w:qFormat/>
    <w:uiPriority w:val="99"/>
    <w:rPr>
      <w:rFonts w:ascii="黑体" w:hAnsi="黑体" w:eastAsia="黑体" w:cs="黑体"/>
      <w:b/>
      <w:bCs/>
      <w:sz w:val="24"/>
      <w:szCs w:val="24"/>
    </w:rPr>
  </w:style>
  <w:style w:type="character" w:customStyle="1" w:styleId="91">
    <w:name w:val="Normal Indent Char"/>
    <w:link w:val="7"/>
    <w:qFormat/>
    <w:locked/>
    <w:uiPriority w:val="99"/>
    <w:rPr>
      <w:rFonts w:ascii="Times New Roman" w:hAnsi="Times New Roman" w:eastAsia="宋体" w:cs="Times New Roman"/>
      <w:sz w:val="24"/>
      <w:szCs w:val="24"/>
    </w:rPr>
  </w:style>
  <w:style w:type="character" w:customStyle="1" w:styleId="92">
    <w:name w:val="Char Char9"/>
    <w:qFormat/>
    <w:uiPriority w:val="99"/>
    <w:rPr>
      <w:kern w:val="2"/>
      <w:sz w:val="21"/>
      <w:szCs w:val="21"/>
    </w:rPr>
  </w:style>
  <w:style w:type="character" w:customStyle="1" w:styleId="93">
    <w:name w:val="批注文字 Char"/>
    <w:qFormat/>
    <w:uiPriority w:val="99"/>
    <w:rPr>
      <w:sz w:val="18"/>
      <w:szCs w:val="18"/>
    </w:rPr>
  </w:style>
  <w:style w:type="character" w:customStyle="1" w:styleId="94">
    <w:name w:val="纯文本 Char"/>
    <w:qFormat/>
    <w:uiPriority w:val="99"/>
    <w:rPr>
      <w:rFonts w:ascii="宋体" w:hAnsi="Tms Rmn" w:eastAsia="宋体" w:cs="宋体"/>
    </w:rPr>
  </w:style>
  <w:style w:type="paragraph" w:customStyle="1" w:styleId="95">
    <w:name w:val="GW-正文"/>
    <w:basedOn w:val="1"/>
    <w:link w:val="96"/>
    <w:qFormat/>
    <w:uiPriority w:val="99"/>
    <w:pPr>
      <w:spacing w:line="360" w:lineRule="auto"/>
      <w:ind w:firstLine="200" w:firstLineChars="200"/>
    </w:pPr>
    <w:rPr>
      <w:rFonts w:eastAsia="仿宋_GB2312"/>
      <w:kern w:val="0"/>
      <w:sz w:val="24"/>
      <w:szCs w:val="24"/>
    </w:rPr>
  </w:style>
  <w:style w:type="character" w:customStyle="1" w:styleId="96">
    <w:name w:val="GW-正文 Char"/>
    <w:link w:val="95"/>
    <w:qFormat/>
    <w:locked/>
    <w:uiPriority w:val="99"/>
    <w:rPr>
      <w:rFonts w:ascii="Times New Roman" w:hAnsi="Times New Roman" w:eastAsia="仿宋_GB2312" w:cs="Times New Roman"/>
      <w:sz w:val="24"/>
      <w:szCs w:val="24"/>
    </w:rPr>
  </w:style>
  <w:style w:type="paragraph" w:styleId="97">
    <w:name w:val="List Paragraph"/>
    <w:basedOn w:val="1"/>
    <w:link w:val="98"/>
    <w:qFormat/>
    <w:uiPriority w:val="99"/>
    <w:pPr>
      <w:ind w:firstLine="420" w:firstLineChars="200"/>
    </w:pPr>
    <w:rPr>
      <w:kern w:val="0"/>
      <w:sz w:val="24"/>
      <w:szCs w:val="24"/>
    </w:rPr>
  </w:style>
  <w:style w:type="character" w:customStyle="1" w:styleId="98">
    <w:name w:val="List Paragraph Char"/>
    <w:link w:val="97"/>
    <w:qFormat/>
    <w:locked/>
    <w:uiPriority w:val="99"/>
    <w:rPr>
      <w:rFonts w:ascii="Times New Roman" w:hAnsi="Times New Roman" w:eastAsia="宋体" w:cs="Times New Roman"/>
      <w:sz w:val="24"/>
      <w:szCs w:val="24"/>
    </w:rPr>
  </w:style>
  <w:style w:type="paragraph" w:customStyle="1" w:styleId="99">
    <w:name w:val="Char Char Char Char Char Char Char Char Char Char Char Char Char Char1 Char Char Char Char"/>
    <w:basedOn w:val="1"/>
    <w:qFormat/>
    <w:uiPriority w:val="99"/>
  </w:style>
  <w:style w:type="paragraph" w:customStyle="1" w:styleId="100">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101">
    <w:name w:val="font31"/>
    <w:basedOn w:val="46"/>
    <w:qFormat/>
    <w:uiPriority w:val="99"/>
    <w:rPr>
      <w:rFonts w:ascii="宋体" w:hAnsi="宋体" w:eastAsia="宋体" w:cs="宋体"/>
      <w:color w:val="000000"/>
      <w:sz w:val="21"/>
      <w:szCs w:val="21"/>
      <w:u w:val="none"/>
    </w:rPr>
  </w:style>
  <w:style w:type="character" w:customStyle="1" w:styleId="102">
    <w:name w:val="正文缩进 Char1"/>
    <w:qFormat/>
    <w:locked/>
    <w:uiPriority w:val="99"/>
    <w:rPr>
      <w:rFonts w:eastAsia="宋体"/>
      <w:kern w:val="2"/>
      <w:sz w:val="24"/>
      <w:szCs w:val="24"/>
      <w:lang w:val="en-US" w:eastAsia="zh-CN"/>
    </w:rPr>
  </w:style>
  <w:style w:type="paragraph" w:customStyle="1" w:styleId="103">
    <w:name w:val="Plain Text1"/>
    <w:basedOn w:val="1"/>
    <w:qFormat/>
    <w:uiPriority w:val="99"/>
    <w:pPr>
      <w:adjustRightInd w:val="0"/>
      <w:jc w:val="left"/>
      <w:textAlignment w:val="baseline"/>
    </w:pPr>
    <w:rPr>
      <w:rFonts w:ascii="宋体" w:hAnsi="Courier New" w:cs="宋体"/>
      <w:sz w:val="24"/>
      <w:szCs w:val="24"/>
    </w:rPr>
  </w:style>
  <w:style w:type="character" w:customStyle="1" w:styleId="104">
    <w:name w:val="Char Char3"/>
    <w:qFormat/>
    <w:uiPriority w:val="99"/>
    <w:rPr>
      <w:rFonts w:ascii="Arial" w:hAnsi="Arial" w:eastAsia="黑体" w:cs="Arial"/>
      <w:b/>
      <w:bCs/>
      <w:kern w:val="2"/>
      <w:sz w:val="32"/>
      <w:szCs w:val="32"/>
      <w:lang w:val="en-US" w:eastAsia="zh-CN"/>
    </w:rPr>
  </w:style>
  <w:style w:type="character" w:customStyle="1" w:styleId="105">
    <w:name w:val="Char Char Char"/>
    <w:link w:val="106"/>
    <w:qFormat/>
    <w:locked/>
    <w:uiPriority w:val="99"/>
    <w:rPr>
      <w:rFonts w:ascii="Arial" w:hAnsi="Arial" w:eastAsia="黑体" w:cs="Arial"/>
      <w:b/>
      <w:bCs/>
      <w:kern w:val="2"/>
      <w:sz w:val="32"/>
      <w:szCs w:val="32"/>
    </w:rPr>
  </w:style>
  <w:style w:type="paragraph" w:customStyle="1" w:styleId="106">
    <w:name w:val="Char"/>
    <w:basedOn w:val="1"/>
    <w:link w:val="105"/>
    <w:qFormat/>
    <w:uiPriority w:val="99"/>
    <w:rPr>
      <w:rFonts w:ascii="Arial" w:hAnsi="Arial" w:eastAsia="黑体" w:cs="Arial"/>
      <w:b/>
      <w:bCs/>
      <w:sz w:val="32"/>
      <w:szCs w:val="32"/>
    </w:rPr>
  </w:style>
  <w:style w:type="character" w:customStyle="1" w:styleId="107">
    <w:name w:val="无间距字符"/>
    <w:link w:val="108"/>
    <w:qFormat/>
    <w:locked/>
    <w:uiPriority w:val="99"/>
    <w:rPr>
      <w:rFonts w:ascii="Calibri" w:hAnsi="Calibri" w:cs="Calibri"/>
      <w:sz w:val="22"/>
      <w:szCs w:val="22"/>
      <w:lang w:val="en-US" w:eastAsia="zh-CN"/>
    </w:rPr>
  </w:style>
  <w:style w:type="paragraph" w:customStyle="1" w:styleId="108">
    <w:name w:val="无间距"/>
    <w:link w:val="107"/>
    <w:qFormat/>
    <w:uiPriority w:val="99"/>
    <w:rPr>
      <w:rFonts w:ascii="Calibri" w:hAnsi="Calibri" w:eastAsia="宋体" w:cs="Calibri"/>
      <w:kern w:val="0"/>
      <w:sz w:val="22"/>
      <w:szCs w:val="22"/>
      <w:lang w:val="en-US" w:eastAsia="zh-CN" w:bidi="ar-SA"/>
    </w:rPr>
  </w:style>
  <w:style w:type="character" w:customStyle="1" w:styleId="109">
    <w:name w:val="tdrownotice1"/>
    <w:qFormat/>
    <w:uiPriority w:val="99"/>
    <w:rPr>
      <w:sz w:val="22"/>
      <w:szCs w:val="22"/>
    </w:rPr>
  </w:style>
  <w:style w:type="character" w:customStyle="1" w:styleId="110">
    <w:name w:val="页眉 Char1"/>
    <w:basedOn w:val="46"/>
    <w:semiHidden/>
    <w:qFormat/>
    <w:uiPriority w:val="99"/>
    <w:rPr>
      <w:kern w:val="2"/>
      <w:sz w:val="18"/>
      <w:szCs w:val="18"/>
    </w:rPr>
  </w:style>
  <w:style w:type="character" w:customStyle="1" w:styleId="111">
    <w:name w:val="正文文本缩进 Char1"/>
    <w:basedOn w:val="46"/>
    <w:semiHidden/>
    <w:qFormat/>
    <w:uiPriority w:val="99"/>
    <w:rPr>
      <w:kern w:val="2"/>
      <w:sz w:val="21"/>
      <w:szCs w:val="21"/>
    </w:rPr>
  </w:style>
  <w:style w:type="character" w:customStyle="1" w:styleId="112">
    <w:name w:val="批注主题 Char1"/>
    <w:basedOn w:val="71"/>
    <w:qFormat/>
    <w:uiPriority w:val="99"/>
    <w:rPr>
      <w:b/>
      <w:bCs/>
      <w:kern w:val="2"/>
    </w:rPr>
  </w:style>
  <w:style w:type="character" w:customStyle="1" w:styleId="113">
    <w:name w:val="Title Char1"/>
    <w:basedOn w:val="46"/>
    <w:link w:val="39"/>
    <w:qFormat/>
    <w:locked/>
    <w:uiPriority w:val="99"/>
    <w:rPr>
      <w:rFonts w:ascii="Cambria" w:hAnsi="Cambria" w:cs="Cambria"/>
      <w:b/>
      <w:bCs/>
      <w:sz w:val="32"/>
      <w:szCs w:val="32"/>
    </w:rPr>
  </w:style>
  <w:style w:type="character" w:customStyle="1" w:styleId="114">
    <w:name w:val="标题 Char1"/>
    <w:basedOn w:val="46"/>
    <w:qFormat/>
    <w:uiPriority w:val="99"/>
    <w:rPr>
      <w:rFonts w:ascii="Cambria" w:hAnsi="Cambria" w:eastAsia="宋体" w:cs="Cambria"/>
      <w:b/>
      <w:bCs/>
      <w:kern w:val="2"/>
      <w:sz w:val="32"/>
      <w:szCs w:val="32"/>
    </w:rPr>
  </w:style>
  <w:style w:type="character" w:customStyle="1" w:styleId="115">
    <w:name w:val="页脚 Char1"/>
    <w:basedOn w:val="46"/>
    <w:semiHidden/>
    <w:qFormat/>
    <w:uiPriority w:val="99"/>
    <w:rPr>
      <w:kern w:val="2"/>
      <w:sz w:val="18"/>
      <w:szCs w:val="18"/>
    </w:rPr>
  </w:style>
  <w:style w:type="paragraph" w:customStyle="1" w:styleId="116">
    <w:name w:val="Char1"/>
    <w:basedOn w:val="1"/>
    <w:qFormat/>
    <w:uiPriority w:val="99"/>
  </w:style>
  <w:style w:type="paragraph" w:customStyle="1" w:styleId="117">
    <w:name w:val="样式 标题 2 + Times New Roman 四号 非加粗 段前: 5 磅 段后: 0 磅 行距: 固定值 20..."/>
    <w:basedOn w:val="5"/>
    <w:qFormat/>
    <w:uiPriority w:val="99"/>
    <w:pPr>
      <w:spacing w:before="100" w:after="0" w:line="400" w:lineRule="exact"/>
    </w:pPr>
    <w:rPr>
      <w:rFonts w:ascii="Times New Roman" w:hAnsi="Times New Roman" w:cs="Times New Roman"/>
      <w:b w:val="0"/>
      <w:bCs w:val="0"/>
      <w:sz w:val="28"/>
      <w:szCs w:val="28"/>
    </w:rPr>
  </w:style>
  <w:style w:type="paragraph" w:customStyle="1" w:styleId="118">
    <w:name w:val="样式 首行缩进:  2 字符1"/>
    <w:basedOn w:val="1"/>
    <w:qFormat/>
    <w:uiPriority w:val="99"/>
    <w:pPr>
      <w:spacing w:line="400" w:lineRule="exact"/>
      <w:ind w:firstLine="200" w:firstLineChars="200"/>
    </w:pPr>
    <w:rPr>
      <w:sz w:val="24"/>
      <w:szCs w:val="24"/>
    </w:rPr>
  </w:style>
  <w:style w:type="paragraph" w:customStyle="1" w:styleId="119">
    <w:name w:val="Char2"/>
    <w:basedOn w:val="1"/>
    <w:qFormat/>
    <w:uiPriority w:val="99"/>
  </w:style>
  <w:style w:type="paragraph" w:customStyle="1" w:styleId="120">
    <w:name w:val="Char Char Char Char Char Char Char"/>
    <w:basedOn w:val="1"/>
    <w:qFormat/>
    <w:uiPriority w:val="99"/>
  </w:style>
  <w:style w:type="paragraph" w:customStyle="1" w:styleId="121">
    <w:name w:val="bf.1"/>
    <w:basedOn w:val="7"/>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22">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23">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24">
    <w:name w:val="样式1"/>
    <w:basedOn w:val="4"/>
    <w:qFormat/>
    <w:uiPriority w:val="99"/>
    <w:pPr>
      <w:spacing w:line="576" w:lineRule="auto"/>
    </w:pPr>
  </w:style>
  <w:style w:type="paragraph" w:customStyle="1" w:styleId="125">
    <w:name w:val="Char Char1 Char"/>
    <w:basedOn w:val="1"/>
    <w:qFormat/>
    <w:uiPriority w:val="99"/>
  </w:style>
  <w:style w:type="paragraph" w:customStyle="1" w:styleId="126">
    <w:name w:val="Char Char Char Char"/>
    <w:basedOn w:val="1"/>
    <w:qFormat/>
    <w:uiPriority w:val="99"/>
  </w:style>
  <w:style w:type="paragraph" w:customStyle="1" w:styleId="127">
    <w:name w:val="样式3"/>
    <w:basedOn w:val="4"/>
    <w:qFormat/>
    <w:uiPriority w:val="99"/>
    <w:pPr>
      <w:spacing w:line="576" w:lineRule="auto"/>
    </w:pPr>
  </w:style>
  <w:style w:type="paragraph" w:customStyle="1" w:styleId="128">
    <w:name w:val="p0"/>
    <w:basedOn w:val="1"/>
    <w:qFormat/>
    <w:uiPriority w:val="99"/>
    <w:pPr>
      <w:widowControl/>
    </w:pPr>
    <w:rPr>
      <w:kern w:val="0"/>
    </w:rPr>
  </w:style>
  <w:style w:type="paragraph" w:customStyle="1" w:styleId="129">
    <w:name w:val="Char Char Char Char Char Char Char Char Char Char Char Char Char"/>
    <w:basedOn w:val="1"/>
    <w:qFormat/>
    <w:uiPriority w:val="99"/>
    <w:pPr>
      <w:widowControl/>
      <w:spacing w:after="160" w:line="240" w:lineRule="exact"/>
      <w:jc w:val="left"/>
    </w:pPr>
  </w:style>
  <w:style w:type="paragraph" w:customStyle="1" w:styleId="130">
    <w:name w:val="样式2"/>
    <w:basedOn w:val="1"/>
    <w:qFormat/>
    <w:uiPriority w:val="99"/>
    <w:pPr>
      <w:ind w:firstLine="420" w:firstLineChars="150"/>
    </w:pPr>
    <w:rPr>
      <w:sz w:val="24"/>
      <w:szCs w:val="24"/>
      <w:lang w:val="en-GB"/>
    </w:rPr>
  </w:style>
  <w:style w:type="paragraph" w:customStyle="1" w:styleId="131">
    <w:name w:val="Blockquote"/>
    <w:basedOn w:val="1"/>
    <w:qFormat/>
    <w:uiPriority w:val="99"/>
    <w:pPr>
      <w:autoSpaceDE w:val="0"/>
      <w:autoSpaceDN w:val="0"/>
      <w:adjustRightInd w:val="0"/>
      <w:spacing w:before="100" w:after="100"/>
      <w:ind w:left="360"/>
    </w:pPr>
    <w:rPr>
      <w:kern w:val="0"/>
      <w:sz w:val="24"/>
      <w:szCs w:val="24"/>
    </w:rPr>
  </w:style>
  <w:style w:type="paragraph" w:customStyle="1" w:styleId="132">
    <w:name w:val="Char1 Char Char Char"/>
    <w:basedOn w:val="1"/>
    <w:qFormat/>
    <w:uiPriority w:val="99"/>
  </w:style>
  <w:style w:type="character" w:customStyle="1" w:styleId="133">
    <w:name w:val="正文文本 Char1"/>
    <w:qFormat/>
    <w:uiPriority w:val="99"/>
    <w:rPr>
      <w:kern w:val="2"/>
      <w:sz w:val="22"/>
      <w:szCs w:val="22"/>
    </w:rPr>
  </w:style>
  <w:style w:type="character" w:customStyle="1" w:styleId="134">
    <w:name w:val="Intense Quote Char"/>
    <w:qFormat/>
    <w:locked/>
    <w:uiPriority w:val="99"/>
    <w:rPr>
      <w:b/>
      <w:bCs/>
      <w:i/>
      <w:iCs/>
      <w:color w:val="4F81BD"/>
      <w:kern w:val="2"/>
      <w:sz w:val="22"/>
      <w:szCs w:val="22"/>
    </w:rPr>
  </w:style>
  <w:style w:type="character" w:customStyle="1" w:styleId="135">
    <w:name w:val="Subtle Emphasis1"/>
    <w:basedOn w:val="46"/>
    <w:qFormat/>
    <w:uiPriority w:val="99"/>
    <w:rPr>
      <w:i/>
      <w:iCs/>
      <w:color w:val="808080"/>
    </w:rPr>
  </w:style>
  <w:style w:type="character" w:customStyle="1" w:styleId="136">
    <w:name w:val="标题4 Char Char"/>
    <w:link w:val="137"/>
    <w:qFormat/>
    <w:locked/>
    <w:uiPriority w:val="99"/>
    <w:rPr>
      <w:rFonts w:ascii="Arial" w:hAnsi="Arial" w:cs="Arial"/>
      <w:b/>
      <w:bCs/>
      <w:sz w:val="32"/>
      <w:szCs w:val="32"/>
    </w:rPr>
  </w:style>
  <w:style w:type="paragraph" w:customStyle="1" w:styleId="137">
    <w:name w:val="标题4"/>
    <w:basedOn w:val="5"/>
    <w:next w:val="21"/>
    <w:link w:val="136"/>
    <w:qFormat/>
    <w:uiPriority w:val="99"/>
    <w:pPr>
      <w:spacing w:line="413" w:lineRule="auto"/>
    </w:pPr>
    <w:rPr>
      <w:rFonts w:eastAsia="宋体"/>
      <w:kern w:val="0"/>
    </w:rPr>
  </w:style>
  <w:style w:type="character" w:customStyle="1" w:styleId="138">
    <w:name w:val="标题5 Char Char"/>
    <w:link w:val="139"/>
    <w:qFormat/>
    <w:locked/>
    <w:uiPriority w:val="99"/>
    <w:rPr>
      <w:rFonts w:ascii="Arial" w:hAnsi="Arial" w:cs="Arial"/>
      <w:b/>
      <w:bCs/>
      <w:sz w:val="32"/>
      <w:szCs w:val="32"/>
    </w:rPr>
  </w:style>
  <w:style w:type="paragraph" w:customStyle="1" w:styleId="139">
    <w:name w:val="标题5"/>
    <w:basedOn w:val="6"/>
    <w:link w:val="138"/>
    <w:qFormat/>
    <w:uiPriority w:val="99"/>
    <w:pPr>
      <w:spacing w:line="413" w:lineRule="auto"/>
    </w:pPr>
    <w:rPr>
      <w:rFonts w:ascii="Arial" w:hAnsi="Arial" w:cs="Arial"/>
      <w:kern w:val="0"/>
    </w:rPr>
  </w:style>
  <w:style w:type="character" w:customStyle="1" w:styleId="140">
    <w:name w:val="Intense Reference1"/>
    <w:basedOn w:val="46"/>
    <w:qFormat/>
    <w:uiPriority w:val="99"/>
    <w:rPr>
      <w:b/>
      <w:bCs/>
      <w:smallCaps/>
      <w:color w:val="auto"/>
      <w:spacing w:val="5"/>
      <w:u w:val="single"/>
    </w:rPr>
  </w:style>
  <w:style w:type="character" w:customStyle="1" w:styleId="141">
    <w:name w:val="Book Title1"/>
    <w:basedOn w:val="46"/>
    <w:qFormat/>
    <w:uiPriority w:val="99"/>
    <w:rPr>
      <w:b/>
      <w:bCs/>
      <w:smallCaps/>
      <w:spacing w:val="5"/>
    </w:rPr>
  </w:style>
  <w:style w:type="character" w:customStyle="1" w:styleId="142">
    <w:name w:val="批注框文本 Char1"/>
    <w:qFormat/>
    <w:uiPriority w:val="99"/>
    <w:rPr>
      <w:kern w:val="2"/>
      <w:sz w:val="18"/>
      <w:szCs w:val="18"/>
    </w:rPr>
  </w:style>
  <w:style w:type="character" w:customStyle="1" w:styleId="143">
    <w:name w:val="Quote Char"/>
    <w:qFormat/>
    <w:locked/>
    <w:uiPriority w:val="99"/>
    <w:rPr>
      <w:i/>
      <w:iCs/>
      <w:color w:val="000000"/>
      <w:kern w:val="2"/>
      <w:sz w:val="22"/>
      <w:szCs w:val="22"/>
    </w:rPr>
  </w:style>
  <w:style w:type="character" w:customStyle="1" w:styleId="144">
    <w:name w:val="日期 Char1"/>
    <w:qFormat/>
    <w:uiPriority w:val="99"/>
    <w:rPr>
      <w:kern w:val="2"/>
      <w:sz w:val="22"/>
      <w:szCs w:val="22"/>
    </w:rPr>
  </w:style>
  <w:style w:type="character" w:customStyle="1" w:styleId="145">
    <w:name w:val="Intense Emphasis1"/>
    <w:basedOn w:val="46"/>
    <w:qFormat/>
    <w:uiPriority w:val="99"/>
    <w:rPr>
      <w:b/>
      <w:bCs/>
      <w:i/>
      <w:iCs/>
      <w:color w:val="4F81BD"/>
    </w:rPr>
  </w:style>
  <w:style w:type="character" w:customStyle="1" w:styleId="146">
    <w:name w:val="textcontents"/>
    <w:qFormat/>
    <w:uiPriority w:val="99"/>
  </w:style>
  <w:style w:type="character" w:customStyle="1" w:styleId="147">
    <w:name w:val="Subtle Reference1"/>
    <w:basedOn w:val="46"/>
    <w:qFormat/>
    <w:uiPriority w:val="99"/>
    <w:rPr>
      <w:smallCaps/>
      <w:color w:val="auto"/>
      <w:u w:val="single"/>
    </w:rPr>
  </w:style>
  <w:style w:type="character" w:customStyle="1" w:styleId="148">
    <w:name w:val="批注文字 Char Char"/>
    <w:qFormat/>
    <w:uiPriority w:val="99"/>
    <w:rPr>
      <w:rFonts w:ascii="宋体" w:hAnsi="Times New Roman" w:eastAsia="宋体" w:cs="宋体"/>
      <w:sz w:val="20"/>
      <w:szCs w:val="20"/>
    </w:rPr>
  </w:style>
  <w:style w:type="character" w:customStyle="1" w:styleId="149">
    <w:name w:val="文档结构图 Char1"/>
    <w:qFormat/>
    <w:uiPriority w:val="99"/>
    <w:rPr>
      <w:rFonts w:ascii="宋体" w:cs="宋体"/>
      <w:kern w:val="2"/>
      <w:sz w:val="18"/>
      <w:szCs w:val="18"/>
    </w:rPr>
  </w:style>
  <w:style w:type="paragraph" w:customStyle="1" w:styleId="150">
    <w:name w:val="Revision1"/>
    <w:qFormat/>
    <w:uiPriority w:val="99"/>
    <w:rPr>
      <w:rFonts w:ascii="Times New Roman" w:hAnsi="Times New Roman" w:eastAsia="宋体" w:cs="Times New Roman"/>
      <w:kern w:val="2"/>
      <w:sz w:val="21"/>
      <w:szCs w:val="21"/>
      <w:lang w:val="en-US" w:eastAsia="zh-CN" w:bidi="ar-SA"/>
    </w:rPr>
  </w:style>
  <w:style w:type="character" w:customStyle="1" w:styleId="151">
    <w:name w:val="批注框文本 Char2"/>
    <w:semiHidden/>
    <w:qFormat/>
    <w:uiPriority w:val="99"/>
    <w:rPr>
      <w:kern w:val="2"/>
      <w:sz w:val="18"/>
      <w:szCs w:val="18"/>
    </w:rPr>
  </w:style>
  <w:style w:type="character" w:customStyle="1" w:styleId="152">
    <w:name w:val="批注主题 Char2"/>
    <w:semiHidden/>
    <w:qFormat/>
    <w:uiPriority w:val="99"/>
    <w:rPr>
      <w:b/>
      <w:bCs/>
      <w:kern w:val="2"/>
      <w:sz w:val="22"/>
      <w:szCs w:val="22"/>
    </w:rPr>
  </w:style>
  <w:style w:type="character" w:customStyle="1" w:styleId="153">
    <w:name w:val="文档结构图 Char2"/>
    <w:semiHidden/>
    <w:qFormat/>
    <w:uiPriority w:val="99"/>
    <w:rPr>
      <w:rFonts w:ascii="宋体" w:cs="宋体"/>
      <w:kern w:val="2"/>
      <w:sz w:val="18"/>
      <w:szCs w:val="18"/>
    </w:rPr>
  </w:style>
  <w:style w:type="character" w:customStyle="1" w:styleId="154">
    <w:name w:val="日期 Char2"/>
    <w:semiHidden/>
    <w:qFormat/>
    <w:uiPriority w:val="99"/>
    <w:rPr>
      <w:kern w:val="2"/>
      <w:sz w:val="22"/>
      <w:szCs w:val="22"/>
    </w:rPr>
  </w:style>
  <w:style w:type="character" w:customStyle="1" w:styleId="155">
    <w:name w:val="正文文本 Char2"/>
    <w:basedOn w:val="46"/>
    <w:semiHidden/>
    <w:qFormat/>
    <w:uiPriority w:val="99"/>
    <w:rPr>
      <w:kern w:val="2"/>
      <w:sz w:val="21"/>
      <w:szCs w:val="21"/>
    </w:rPr>
  </w:style>
  <w:style w:type="paragraph" w:customStyle="1" w:styleId="156">
    <w:name w:val="TOC Heading1"/>
    <w:basedOn w:val="4"/>
    <w:next w:val="1"/>
    <w:qFormat/>
    <w:uiPriority w:val="99"/>
    <w:pPr>
      <w:spacing w:line="576" w:lineRule="auto"/>
      <w:outlineLvl w:val="9"/>
    </w:pPr>
    <w:rPr>
      <w:rFonts w:ascii="Calibri" w:hAnsi="Calibri" w:cs="Calibri"/>
    </w:rPr>
  </w:style>
  <w:style w:type="character" w:customStyle="1" w:styleId="157">
    <w:name w:val="Subtitle Char1"/>
    <w:basedOn w:val="46"/>
    <w:link w:val="32"/>
    <w:qFormat/>
    <w:locked/>
    <w:uiPriority w:val="99"/>
    <w:rPr>
      <w:rFonts w:ascii="Cambria" w:hAnsi="Cambria" w:cs="Cambria"/>
      <w:b/>
      <w:bCs/>
      <w:kern w:val="28"/>
      <w:sz w:val="32"/>
      <w:szCs w:val="32"/>
    </w:rPr>
  </w:style>
  <w:style w:type="character" w:customStyle="1" w:styleId="158">
    <w:name w:val="副标题 Char1"/>
    <w:basedOn w:val="46"/>
    <w:qFormat/>
    <w:uiPriority w:val="99"/>
    <w:rPr>
      <w:rFonts w:ascii="Cambria" w:hAnsi="Cambria" w:eastAsia="宋体" w:cs="Cambria"/>
      <w:b/>
      <w:bCs/>
      <w:kern w:val="28"/>
      <w:sz w:val="32"/>
      <w:szCs w:val="32"/>
    </w:rPr>
  </w:style>
  <w:style w:type="paragraph" w:styleId="159">
    <w:name w:val="Intense Quote"/>
    <w:basedOn w:val="1"/>
    <w:next w:val="1"/>
    <w:link w:val="160"/>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60">
    <w:name w:val="Intense Quote Char1"/>
    <w:basedOn w:val="46"/>
    <w:link w:val="159"/>
    <w:qFormat/>
    <w:locked/>
    <w:uiPriority w:val="99"/>
    <w:rPr>
      <w:rFonts w:ascii="Times New Roman" w:hAnsi="Times New Roman" w:cs="Times New Roman"/>
      <w:b/>
      <w:bCs/>
      <w:i/>
      <w:iCs/>
      <w:color w:val="4F81BD"/>
      <w:sz w:val="21"/>
      <w:szCs w:val="21"/>
    </w:rPr>
  </w:style>
  <w:style w:type="character" w:customStyle="1" w:styleId="161">
    <w:name w:val="明显引用 Char1"/>
    <w:basedOn w:val="46"/>
    <w:qFormat/>
    <w:uiPriority w:val="99"/>
    <w:rPr>
      <w:rFonts w:ascii="Times New Roman" w:hAnsi="Times New Roman" w:eastAsia="宋体" w:cs="Times New Roman"/>
      <w:b/>
      <w:bCs/>
      <w:i/>
      <w:iCs/>
      <w:color w:val="4F81BD"/>
      <w:kern w:val="2"/>
      <w:sz w:val="24"/>
      <w:szCs w:val="24"/>
    </w:rPr>
  </w:style>
  <w:style w:type="paragraph" w:customStyle="1" w:styleId="162">
    <w:name w:val="样式 标题 3 + (中文) 黑体 小四 非加粗 段前: 7.8 磅 段后: 0 磅 行距: 固定值 20 磅"/>
    <w:basedOn w:val="6"/>
    <w:qFormat/>
    <w:uiPriority w:val="99"/>
    <w:pPr>
      <w:spacing w:before="0" w:after="0" w:line="400" w:lineRule="exact"/>
    </w:pPr>
    <w:rPr>
      <w:rFonts w:eastAsia="黑体"/>
      <w:b w:val="0"/>
      <w:bCs w:val="0"/>
      <w:sz w:val="24"/>
      <w:szCs w:val="24"/>
    </w:rPr>
  </w:style>
  <w:style w:type="paragraph" w:customStyle="1" w:styleId="16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64">
    <w:name w:val="No Spacing"/>
    <w:qFormat/>
    <w:uiPriority w:val="99"/>
    <w:pPr>
      <w:widowControl w:val="0"/>
      <w:jc w:val="both"/>
    </w:pPr>
    <w:rPr>
      <w:rFonts w:ascii="Calibri" w:hAnsi="Calibri" w:eastAsia="宋体" w:cs="Calibri"/>
      <w:kern w:val="2"/>
      <w:sz w:val="21"/>
      <w:szCs w:val="21"/>
      <w:lang w:val="en-US" w:eastAsia="zh-CN" w:bidi="ar-SA"/>
    </w:rPr>
  </w:style>
  <w:style w:type="paragraph" w:styleId="165">
    <w:name w:val="Quote"/>
    <w:basedOn w:val="1"/>
    <w:next w:val="1"/>
    <w:link w:val="166"/>
    <w:qFormat/>
    <w:uiPriority w:val="99"/>
    <w:rPr>
      <w:rFonts w:ascii="Calibri" w:hAnsi="Calibri" w:cs="Calibri"/>
      <w:i/>
      <w:iCs/>
      <w:color w:val="000000"/>
      <w:sz w:val="22"/>
      <w:szCs w:val="22"/>
    </w:rPr>
  </w:style>
  <w:style w:type="character" w:customStyle="1" w:styleId="166">
    <w:name w:val="Quote Char1"/>
    <w:basedOn w:val="46"/>
    <w:link w:val="165"/>
    <w:qFormat/>
    <w:locked/>
    <w:uiPriority w:val="99"/>
    <w:rPr>
      <w:rFonts w:ascii="Times New Roman" w:hAnsi="Times New Roman" w:cs="Times New Roman"/>
      <w:i/>
      <w:iCs/>
      <w:color w:val="000000"/>
      <w:sz w:val="21"/>
      <w:szCs w:val="21"/>
    </w:rPr>
  </w:style>
  <w:style w:type="character" w:customStyle="1" w:styleId="167">
    <w:name w:val="引用 Char1"/>
    <w:basedOn w:val="46"/>
    <w:qFormat/>
    <w:uiPriority w:val="99"/>
    <w:rPr>
      <w:rFonts w:ascii="Times New Roman" w:hAnsi="Times New Roman" w:eastAsia="宋体" w:cs="Times New Roman"/>
      <w:i/>
      <w:iCs/>
      <w:color w:val="000000"/>
      <w:kern w:val="2"/>
      <w:sz w:val="24"/>
      <w:szCs w:val="24"/>
    </w:rPr>
  </w:style>
  <w:style w:type="paragraph" w:customStyle="1" w:styleId="16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9">
    <w:name w:val="CD正文"/>
    <w:basedOn w:val="1"/>
    <w:qFormat/>
    <w:uiPriority w:val="99"/>
    <w:pPr>
      <w:spacing w:line="360" w:lineRule="auto"/>
      <w:ind w:firstLine="493"/>
    </w:pPr>
    <w:rPr>
      <w:sz w:val="30"/>
      <w:szCs w:val="30"/>
    </w:rPr>
  </w:style>
  <w:style w:type="character" w:customStyle="1" w:styleId="170">
    <w:name w:val="NormalCharacter"/>
    <w:link w:val="1"/>
    <w:qFormat/>
    <w:uiPriority w:val="0"/>
    <w:rPr>
      <w:rFonts w:ascii="Times New Roman" w:hAnsi="Times New Roman" w:eastAsia="宋体" w:cs="Times New Roman"/>
      <w:kern w:val="2"/>
      <w:sz w:val="21"/>
      <w:szCs w:val="21"/>
      <w:lang w:val="en-US" w:eastAsia="zh-CN" w:bidi="ar-SA"/>
    </w:rPr>
  </w:style>
  <w:style w:type="paragraph" w:customStyle="1" w:styleId="171">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72">
    <w:name w:val="UserStyle_30"/>
    <w:qFormat/>
    <w:uiPriority w:val="0"/>
    <w:pPr>
      <w:textAlignment w:val="baseline"/>
    </w:pPr>
    <w:rPr>
      <w:rFonts w:ascii="宋体" w:hAnsi="宋体" w:eastAsia="宋体" w:cstheme="minorBidi"/>
      <w:sz w:val="24"/>
      <w:szCs w:val="24"/>
      <w:lang w:val="en-US" w:eastAsia="zh-CN" w:bidi="ar-SA"/>
    </w:rPr>
  </w:style>
  <w:style w:type="character" w:customStyle="1" w:styleId="173">
    <w:name w:val="img"/>
    <w:basedOn w:val="46"/>
    <w:qFormat/>
    <w:uiPriority w:val="0"/>
  </w:style>
  <w:style w:type="character" w:customStyle="1" w:styleId="174">
    <w:name w:val="img1"/>
    <w:basedOn w:val="46"/>
    <w:qFormat/>
    <w:uiPriority w:val="0"/>
  </w:style>
  <w:style w:type="paragraph" w:customStyle="1" w:styleId="175">
    <w:name w:val="Table Paragraph"/>
    <w:basedOn w:val="1"/>
    <w:qFormat/>
    <w:uiPriority w:val="0"/>
    <w:pPr>
      <w:autoSpaceDE w:val="0"/>
      <w:autoSpaceDN w:val="0"/>
      <w:jc w:val="left"/>
    </w:pPr>
    <w:rPr>
      <w:rFonts w:ascii="宋体" w:hAnsi="宋体" w:eastAsia="宋体" w:cs="宋体"/>
      <w:kern w:val="0"/>
      <w:sz w:val="22"/>
      <w:szCs w:val="22"/>
      <w:lang w:val="zh-CN" w:bidi="zh-CN"/>
    </w:rPr>
  </w:style>
  <w:style w:type="character" w:customStyle="1" w:styleId="176">
    <w:name w:val="font51"/>
    <w:basedOn w:val="46"/>
    <w:qFormat/>
    <w:uiPriority w:val="0"/>
    <w:rPr>
      <w:rFonts w:hint="eastAsia" w:ascii="宋体" w:hAnsi="宋体" w:eastAsia="宋体" w:cs="宋体"/>
      <w:color w:val="000000"/>
      <w:sz w:val="18"/>
      <w:szCs w:val="18"/>
      <w:u w:val="none"/>
    </w:rPr>
  </w:style>
  <w:style w:type="character" w:customStyle="1" w:styleId="177">
    <w:name w:val="font61"/>
    <w:basedOn w:val="46"/>
    <w:qFormat/>
    <w:uiPriority w:val="0"/>
    <w:rPr>
      <w:rFonts w:hint="default" w:ascii="Calibri" w:hAnsi="Calibri" w:cs="Calibri"/>
      <w:color w:val="000000"/>
      <w:sz w:val="18"/>
      <w:szCs w:val="18"/>
      <w:u w:val="none"/>
    </w:rPr>
  </w:style>
  <w:style w:type="paragraph" w:customStyle="1" w:styleId="178">
    <w:name w:val="正文 New"/>
    <w:basedOn w:val="1"/>
    <w:qFormat/>
    <w:uiPriority w:val="0"/>
    <w:pPr>
      <w:spacing w:before="100" w:beforeAutospacing="1" w:after="100" w:afterAutospacing="1" w:line="440" w:lineRule="exact"/>
      <w:ind w:left="357" w:hanging="357"/>
    </w:pPr>
    <w:rPr>
      <w:szCs w:val="21"/>
    </w:rPr>
  </w:style>
  <w:style w:type="paragraph" w:customStyle="1" w:styleId="17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86</Pages>
  <Words>36774</Words>
  <Characters>38622</Characters>
  <Lines>0</Lines>
  <Paragraphs>0</Paragraphs>
  <TotalTime>4</TotalTime>
  <ScaleCrop>false</ScaleCrop>
  <LinksUpToDate>false</LinksUpToDate>
  <CharactersWithSpaces>39088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2020-05-27T20:43:00Z</dcterms:created>
  <dc:creator>刘春阳</dc:creator>
  <cp:lastModifiedBy>user</cp:lastModifiedBy>
  <cp:lastPrinted>2023-07-15T23:36:00Z</cp:lastPrinted>
  <dcterms:modified xsi:type="dcterms:W3CDTF">2025-12-02T09:50:05Z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DEF66F32B4EB433AB323102E37885AAD_13</vt:lpwstr>
  </property>
  <property fmtid="{D5CDD505-2E9C-101B-9397-08002B2CF9AE}" pid="4" name="KSOTemplateDocerSaveRecord">
    <vt:lpwstr>eyJoZGlkIjoiOGQ1NjVlNDhmNDU2ZmNlMWNiOWVmZGUxNmIyZmZmZDciLCJ1c2VySWQiOiIzNjE1NzM4NTAifQ==</vt:lpwstr>
  </property>
</Properties>
</file>